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CA5801">
      <w:pPr>
        <w:rPr>
          <w:rFonts w:hint="default" w:ascii="仿宋_GB2312" w:hAnsi="仿宋_GB2312" w:eastAsia="仿宋_GB2312" w:cs="仿宋_GB2312"/>
          <w:color w:val="auto"/>
          <w:sz w:val="36"/>
          <w:szCs w:val="36"/>
          <w:lang w:val="en-US" w:eastAsia="zh-CN"/>
        </w:rPr>
      </w:pPr>
      <w:bookmarkStart w:id="0" w:name="_Hlk57883707"/>
    </w:p>
    <w:p w14:paraId="042E257B">
      <w:pPr>
        <w:rPr>
          <w:rFonts w:ascii="仿宋_GB2312" w:hAnsi="仿宋_GB2312" w:eastAsia="仿宋_GB2312" w:cs="仿宋_GB2312"/>
          <w:color w:val="auto"/>
          <w:sz w:val="36"/>
          <w:szCs w:val="36"/>
        </w:rPr>
      </w:pPr>
    </w:p>
    <w:p w14:paraId="07A34524">
      <w:pPr>
        <w:rPr>
          <w:rFonts w:hint="eastAsia" w:ascii="仿宋_GB2312" w:hAnsi="仿宋_GB2312" w:eastAsia="仿宋_GB2312" w:cs="仿宋_GB2312"/>
          <w:color w:val="auto"/>
          <w:sz w:val="36"/>
          <w:szCs w:val="36"/>
          <w:lang w:val="en-US" w:eastAsia="zh-CN"/>
        </w:rPr>
      </w:pPr>
    </w:p>
    <w:bookmarkEnd w:id="0"/>
    <w:p w14:paraId="24C82C58">
      <w:pPr>
        <w:adjustRightInd w:val="0"/>
        <w:snapToGrid w:val="0"/>
        <w:jc w:val="center"/>
        <w:rPr>
          <w:rFonts w:ascii="方正小标宋_GBK" w:eastAsia="方正小标宋_GBK"/>
          <w:bCs/>
          <w:color w:val="auto"/>
          <w:sz w:val="72"/>
          <w:szCs w:val="72"/>
        </w:rPr>
      </w:pPr>
      <w:r>
        <w:rPr>
          <w:rFonts w:hint="eastAsia" w:ascii="方正小标宋_GBK" w:eastAsia="方正小标宋_GBK"/>
          <w:bCs/>
          <w:color w:val="auto"/>
          <w:sz w:val="72"/>
          <w:szCs w:val="72"/>
        </w:rPr>
        <w:t>建设项目环境影响报告表</w:t>
      </w:r>
    </w:p>
    <w:p w14:paraId="27910FED">
      <w:pPr>
        <w:adjustRightInd w:val="0"/>
        <w:snapToGrid w:val="0"/>
        <w:spacing w:before="249" w:beforeLines="80"/>
        <w:jc w:val="center"/>
        <w:rPr>
          <w:rFonts w:ascii="楷体_GB2312" w:eastAsia="楷体_GB2312"/>
          <w:bCs/>
          <w:color w:val="auto"/>
          <w:sz w:val="48"/>
          <w:szCs w:val="48"/>
        </w:rPr>
      </w:pPr>
      <w:r>
        <w:rPr>
          <w:rFonts w:hint="eastAsia" w:ascii="楷体_GB2312" w:eastAsia="楷体_GB2312"/>
          <w:bCs/>
          <w:color w:val="auto"/>
          <w:sz w:val="48"/>
          <w:szCs w:val="48"/>
        </w:rPr>
        <w:t>（生态影响类）</w:t>
      </w:r>
    </w:p>
    <w:p w14:paraId="4F6518F4">
      <w:pPr>
        <w:jc w:val="center"/>
        <w:rPr>
          <w:rFonts w:eastAsia="仿宋"/>
          <w:color w:val="auto"/>
          <w:sz w:val="52"/>
          <w:szCs w:val="52"/>
        </w:rPr>
      </w:pPr>
      <w:bookmarkStart w:id="1" w:name="_Hlk57883728"/>
    </w:p>
    <w:p w14:paraId="375C3F81">
      <w:pPr>
        <w:pStyle w:val="36"/>
        <w:rPr>
          <w:color w:val="auto"/>
        </w:rPr>
      </w:pPr>
    </w:p>
    <w:p w14:paraId="5822BFF2">
      <w:pPr>
        <w:ind w:firstLine="1040"/>
        <w:rPr>
          <w:rFonts w:eastAsia="仿宋"/>
          <w:color w:val="auto"/>
          <w:sz w:val="44"/>
          <w:szCs w:val="44"/>
        </w:rPr>
      </w:pPr>
    </w:p>
    <w:p w14:paraId="122BBD62">
      <w:pPr>
        <w:ind w:firstLine="1040"/>
        <w:rPr>
          <w:rFonts w:eastAsia="仿宋"/>
          <w:color w:val="auto"/>
          <w:sz w:val="44"/>
          <w:szCs w:val="44"/>
        </w:rPr>
      </w:pPr>
    </w:p>
    <w:p w14:paraId="6F622996">
      <w:pPr>
        <w:ind w:firstLine="1040"/>
        <w:rPr>
          <w:rFonts w:eastAsia="仿宋"/>
          <w:color w:val="auto"/>
          <w:sz w:val="44"/>
          <w:szCs w:val="44"/>
        </w:rPr>
      </w:pPr>
    </w:p>
    <w:p w14:paraId="41C8E202">
      <w:pPr>
        <w:pStyle w:val="34"/>
      </w:pPr>
    </w:p>
    <w:p w14:paraId="1C2AE1C4">
      <w:pPr>
        <w:pStyle w:val="34"/>
      </w:pPr>
    </w:p>
    <w:p w14:paraId="58731F24">
      <w:pPr>
        <w:pStyle w:val="34"/>
      </w:pPr>
    </w:p>
    <w:p w14:paraId="1CE4D1FF">
      <w:pPr>
        <w:pStyle w:val="34"/>
      </w:pPr>
    </w:p>
    <w:bookmarkEnd w:id="1"/>
    <w:p w14:paraId="1EEFFFE0">
      <w:pPr>
        <w:adjustRightInd w:val="0"/>
        <w:snapToGrid w:val="0"/>
        <w:spacing w:line="360" w:lineRule="auto"/>
        <w:ind w:firstLine="640" w:firstLineChars="200"/>
        <w:jc w:val="both"/>
        <w:rPr>
          <w:rFonts w:hint="eastAsia" w:ascii="仿宋_GB2312" w:eastAsia="仿宋_GB2312"/>
          <w:color w:val="auto"/>
          <w:sz w:val="32"/>
          <w:szCs w:val="32"/>
          <w:u w:val="single"/>
          <w:lang w:eastAsia="zh-CN"/>
        </w:rPr>
      </w:pPr>
      <w:r>
        <w:rPr>
          <w:rFonts w:hint="eastAsia" w:ascii="仿宋_GB2312" w:eastAsia="仿宋_GB2312"/>
          <w:color w:val="auto"/>
          <w:sz w:val="32"/>
          <w:szCs w:val="32"/>
        </w:rPr>
        <w:t>项目名称：</w:t>
      </w:r>
      <w:r>
        <w:rPr>
          <w:rFonts w:hint="eastAsia" w:ascii="仿宋_GB2312" w:eastAsia="仿宋_GB2312"/>
          <w:color w:val="auto"/>
          <w:sz w:val="32"/>
          <w:szCs w:val="32"/>
          <w:u w:val="single"/>
          <w:lang w:eastAsia="zh-CN"/>
        </w:rPr>
        <w:t>临湘市城区雨水调蓄及行泄通道工程项目</w:t>
      </w:r>
    </w:p>
    <w:p w14:paraId="319CF9C6">
      <w:pPr>
        <w:adjustRightInd w:val="0"/>
        <w:snapToGrid w:val="0"/>
        <w:spacing w:line="360" w:lineRule="auto"/>
        <w:jc w:val="center"/>
        <w:rPr>
          <w:rFonts w:hint="default" w:ascii="仿宋_GB2312" w:eastAsia="仿宋_GB2312"/>
          <w:color w:val="auto"/>
          <w:sz w:val="32"/>
          <w:szCs w:val="32"/>
          <w:u w:val="single"/>
          <w:lang w:val="en-US" w:eastAsia="zh-CN"/>
        </w:rPr>
      </w:pPr>
      <w:r>
        <w:rPr>
          <w:rFonts w:hint="eastAsia" w:ascii="仿宋_GB2312" w:eastAsia="仿宋_GB2312"/>
          <w:color w:val="auto"/>
          <w:sz w:val="32"/>
          <w:szCs w:val="32"/>
          <w:u w:val="none"/>
          <w:lang w:val="en-US" w:eastAsia="zh-CN"/>
        </w:rPr>
        <w:t xml:space="preserve">   </w:t>
      </w:r>
      <w:r>
        <w:rPr>
          <w:rFonts w:hint="eastAsia" w:ascii="仿宋_GB2312" w:eastAsia="仿宋_GB2312"/>
          <w:color w:val="auto"/>
          <w:sz w:val="32"/>
          <w:szCs w:val="32"/>
          <w:u w:val="single"/>
          <w:lang w:eastAsia="zh-CN"/>
        </w:rPr>
        <w:t>（雨水行泄通道及城区内涝点改造）</w:t>
      </w:r>
      <w:r>
        <w:rPr>
          <w:rFonts w:hint="eastAsia" w:ascii="仿宋_GB2312" w:eastAsia="仿宋_GB2312"/>
          <w:color w:val="auto"/>
          <w:sz w:val="32"/>
          <w:szCs w:val="32"/>
          <w:u w:val="single"/>
          <w:lang w:val="en-US" w:eastAsia="zh-CN"/>
        </w:rPr>
        <w:t xml:space="preserve">     </w:t>
      </w:r>
    </w:p>
    <w:p w14:paraId="2CC2DB5B">
      <w:pPr>
        <w:adjustRightInd w:val="0"/>
        <w:snapToGrid w:val="0"/>
        <w:spacing w:line="360" w:lineRule="auto"/>
        <w:ind w:firstLine="640" w:firstLineChars="200"/>
        <w:jc w:val="both"/>
        <w:rPr>
          <w:rFonts w:hint="default" w:ascii="仿宋_GB2312" w:eastAsia="仿宋_GB2312"/>
          <w:color w:val="auto"/>
          <w:sz w:val="32"/>
          <w:szCs w:val="32"/>
          <w:u w:val="single"/>
          <w:lang w:val="en-US" w:eastAsia="zh-CN"/>
        </w:rPr>
      </w:pPr>
      <w:r>
        <w:rPr>
          <w:rFonts w:hint="eastAsia" w:ascii="仿宋_GB2312" w:eastAsia="仿宋_GB2312"/>
          <w:color w:val="auto"/>
          <w:sz w:val="32"/>
          <w:szCs w:val="32"/>
        </w:rPr>
        <w:t>建设单位（盖章）：</w:t>
      </w:r>
      <w:r>
        <w:rPr>
          <w:rFonts w:hint="eastAsia" w:ascii="仿宋_GB2312" w:eastAsia="仿宋_GB2312"/>
          <w:color w:val="auto"/>
          <w:sz w:val="32"/>
          <w:szCs w:val="32"/>
          <w:u w:val="single"/>
          <w:lang w:val="en-US" w:eastAsia="zh-CN"/>
        </w:rPr>
        <w:t>临湘</w:t>
      </w:r>
      <w:r>
        <w:rPr>
          <w:rFonts w:hint="eastAsia" w:ascii="仿宋_GB2312" w:eastAsia="仿宋_GB2312"/>
          <w:color w:val="auto"/>
          <w:sz w:val="32"/>
          <w:szCs w:val="32"/>
          <w:u w:val="single"/>
        </w:rPr>
        <w:t>市</w:t>
      </w:r>
      <w:r>
        <w:rPr>
          <w:rFonts w:hint="eastAsia" w:ascii="仿宋_GB2312" w:eastAsia="仿宋_GB2312"/>
          <w:color w:val="auto"/>
          <w:sz w:val="32"/>
          <w:szCs w:val="32"/>
          <w:u w:val="single"/>
          <w:lang w:val="en-US" w:eastAsia="zh-CN"/>
        </w:rPr>
        <w:t xml:space="preserve">住房和城乡建设局      </w:t>
      </w:r>
    </w:p>
    <w:p w14:paraId="15DF4B41">
      <w:pPr>
        <w:adjustRightInd w:val="0"/>
        <w:snapToGrid w:val="0"/>
        <w:spacing w:line="288" w:lineRule="auto"/>
        <w:ind w:firstLine="640" w:firstLineChars="200"/>
        <w:jc w:val="both"/>
        <w:rPr>
          <w:rFonts w:hint="default" w:ascii="仿宋_GB2312" w:eastAsia="仿宋_GB2312"/>
          <w:color w:val="auto"/>
          <w:sz w:val="32"/>
          <w:szCs w:val="32"/>
          <w:u w:val="single"/>
          <w:lang w:val="en-US" w:eastAsia="zh-CN"/>
        </w:rPr>
      </w:pPr>
      <w:r>
        <w:rPr>
          <w:rFonts w:hint="eastAsia" w:ascii="仿宋_GB2312" w:eastAsia="仿宋_GB2312"/>
          <w:color w:val="auto"/>
          <w:sz w:val="32"/>
          <w:szCs w:val="32"/>
        </w:rPr>
        <w:t>编制日期：</w:t>
      </w:r>
      <w:r>
        <w:rPr>
          <w:rFonts w:hint="eastAsia" w:ascii="仿宋_GB2312" w:eastAsia="仿宋_GB2312"/>
          <w:color w:val="auto"/>
          <w:sz w:val="32"/>
          <w:szCs w:val="32"/>
          <w:u w:val="single"/>
          <w:lang w:val="en-US" w:eastAsia="zh-CN"/>
        </w:rPr>
        <w:t xml:space="preserve">           </w:t>
      </w:r>
      <w:r>
        <w:rPr>
          <w:rFonts w:eastAsia="仿宋_GB2312"/>
          <w:color w:val="auto"/>
          <w:sz w:val="32"/>
          <w:szCs w:val="32"/>
          <w:u w:val="single"/>
        </w:rPr>
        <w:t>20</w:t>
      </w:r>
      <w:r>
        <w:rPr>
          <w:rFonts w:hint="eastAsia" w:eastAsia="仿宋_GB2312"/>
          <w:color w:val="auto"/>
          <w:sz w:val="32"/>
          <w:szCs w:val="32"/>
          <w:u w:val="single"/>
          <w:lang w:val="en-US" w:eastAsia="zh-CN"/>
        </w:rPr>
        <w:t>24</w:t>
      </w:r>
      <w:r>
        <w:rPr>
          <w:rFonts w:eastAsia="仿宋_GB2312"/>
          <w:color w:val="auto"/>
          <w:sz w:val="32"/>
          <w:szCs w:val="32"/>
          <w:u w:val="single"/>
        </w:rPr>
        <w:t>年</w:t>
      </w:r>
      <w:r>
        <w:rPr>
          <w:rFonts w:hint="eastAsia" w:eastAsia="仿宋_GB2312"/>
          <w:color w:val="auto"/>
          <w:sz w:val="32"/>
          <w:szCs w:val="32"/>
          <w:u w:val="single"/>
          <w:lang w:val="en-US" w:eastAsia="zh-CN"/>
        </w:rPr>
        <w:t>5</w:t>
      </w:r>
      <w:r>
        <w:rPr>
          <w:rFonts w:eastAsia="仿宋_GB2312"/>
          <w:color w:val="auto"/>
          <w:sz w:val="32"/>
          <w:szCs w:val="32"/>
          <w:u w:val="single"/>
        </w:rPr>
        <w:t>月</w:t>
      </w:r>
      <w:r>
        <w:rPr>
          <w:rFonts w:hint="eastAsia" w:eastAsia="仿宋_GB2312"/>
          <w:color w:val="auto"/>
          <w:sz w:val="32"/>
          <w:szCs w:val="32"/>
          <w:u w:val="single"/>
          <w:lang w:val="en-US" w:eastAsia="zh-CN"/>
        </w:rPr>
        <w:t xml:space="preserve">               </w:t>
      </w:r>
    </w:p>
    <w:p w14:paraId="7828AAB8">
      <w:pPr>
        <w:adjustRightInd w:val="0"/>
        <w:snapToGrid w:val="0"/>
        <w:spacing w:line="288" w:lineRule="auto"/>
        <w:ind w:firstLine="1040"/>
        <w:rPr>
          <w:rFonts w:ascii="仿宋_GB2312" w:eastAsia="仿宋_GB2312"/>
          <w:color w:val="auto"/>
          <w:sz w:val="36"/>
          <w:szCs w:val="36"/>
          <w:u w:val="single"/>
        </w:rPr>
      </w:pPr>
    </w:p>
    <w:p w14:paraId="32035701">
      <w:pPr>
        <w:adjustRightInd w:val="0"/>
        <w:snapToGrid w:val="0"/>
        <w:spacing w:line="288" w:lineRule="auto"/>
        <w:ind w:firstLine="1040"/>
        <w:rPr>
          <w:rFonts w:ascii="仿宋_GB2312" w:eastAsia="仿宋_GB2312"/>
          <w:color w:val="auto"/>
          <w:sz w:val="36"/>
          <w:szCs w:val="36"/>
        </w:rPr>
      </w:pPr>
    </w:p>
    <w:p w14:paraId="168958B5">
      <w:pPr>
        <w:adjustRightInd w:val="0"/>
        <w:snapToGrid w:val="0"/>
        <w:spacing w:line="288" w:lineRule="auto"/>
        <w:ind w:firstLine="1040"/>
        <w:rPr>
          <w:rFonts w:ascii="仿宋_GB2312" w:eastAsia="仿宋_GB2312"/>
          <w:color w:val="auto"/>
          <w:sz w:val="36"/>
          <w:szCs w:val="36"/>
        </w:rPr>
      </w:pPr>
    </w:p>
    <w:p w14:paraId="33F1EA76">
      <w:pPr>
        <w:adjustRightInd w:val="0"/>
        <w:snapToGrid w:val="0"/>
        <w:spacing w:line="288" w:lineRule="auto"/>
        <w:jc w:val="center"/>
        <w:rPr>
          <w:rFonts w:ascii="楷体_GB2312" w:eastAsia="楷体_GB2312"/>
          <w:color w:val="auto"/>
          <w:sz w:val="36"/>
          <w:szCs w:val="36"/>
        </w:rPr>
        <w:sectPr>
          <w:footerReference r:id="rId3" w:type="default"/>
          <w:pgSz w:w="11906" w:h="16838"/>
          <w:pgMar w:top="1418" w:right="1701" w:bottom="1418" w:left="1304"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楷体_GB2312" w:eastAsia="楷体_GB2312"/>
          <w:color w:val="auto"/>
          <w:sz w:val="36"/>
          <w:szCs w:val="36"/>
        </w:rPr>
        <w:t>中华人民共和国生态环境部制</w:t>
      </w:r>
    </w:p>
    <w:p w14:paraId="47FCE61E">
      <w:r>
        <w:drawing>
          <wp:inline distT="0" distB="0" distL="114300" distR="114300">
            <wp:extent cx="5271770" cy="7994650"/>
            <wp:effectExtent l="0" t="0" r="1270" b="6350"/>
            <wp:docPr id="35" name="图片 35" descr="84b24e32323f6898ace99a4d83974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84b24e32323f6898ace99a4d839743c"/>
                    <pic:cNvPicPr>
                      <a:picLocks noChangeAspect="1"/>
                    </pic:cNvPicPr>
                  </pic:nvPicPr>
                  <pic:blipFill>
                    <a:blip r:embed="rId6"/>
                    <a:stretch>
                      <a:fillRect/>
                    </a:stretch>
                  </pic:blipFill>
                  <pic:spPr>
                    <a:xfrm>
                      <a:off x="0" y="0"/>
                      <a:ext cx="5271770" cy="7994650"/>
                    </a:xfrm>
                    <a:prstGeom prst="rect">
                      <a:avLst/>
                    </a:prstGeom>
                  </pic:spPr>
                </pic:pic>
              </a:graphicData>
            </a:graphic>
          </wp:inline>
        </w:drawing>
      </w:r>
      <w:r>
        <w:br w:type="page"/>
      </w:r>
      <w:r>
        <w:drawing>
          <wp:inline distT="0" distB="0" distL="114300" distR="114300">
            <wp:extent cx="5271770" cy="7891145"/>
            <wp:effectExtent l="0" t="0" r="1270" b="3175"/>
            <wp:docPr id="36" name="图片 36" descr="0bdd3482b5194d23603ad423805b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bdd3482b5194d23603ad423805b534"/>
                    <pic:cNvPicPr>
                      <a:picLocks noChangeAspect="1"/>
                    </pic:cNvPicPr>
                  </pic:nvPicPr>
                  <pic:blipFill>
                    <a:blip r:embed="rId7"/>
                    <a:stretch>
                      <a:fillRect/>
                    </a:stretch>
                  </pic:blipFill>
                  <pic:spPr>
                    <a:xfrm>
                      <a:off x="0" y="0"/>
                      <a:ext cx="5271770" cy="7891145"/>
                    </a:xfrm>
                    <a:prstGeom prst="rect">
                      <a:avLst/>
                    </a:prstGeom>
                  </pic:spPr>
                </pic:pic>
              </a:graphicData>
            </a:graphic>
          </wp:inline>
        </w:drawing>
      </w:r>
      <w:r>
        <w:br w:type="page"/>
      </w:r>
    </w:p>
    <w:p w14:paraId="53D3B93A"/>
    <w:p w14:paraId="3BB5C2FC">
      <w:pPr>
        <w:adjustRightInd w:val="0"/>
        <w:snapToGrid w:val="0"/>
        <w:jc w:val="center"/>
      </w:pPr>
    </w:p>
    <w:p w14:paraId="19F6252B">
      <w:p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sz w:val="21"/>
        </w:rPr>
        <mc:AlternateContent>
          <mc:Choice Requires="wps">
            <w:drawing>
              <wp:anchor distT="0" distB="0" distL="114300" distR="114300" simplePos="0" relativeHeight="251667456" behindDoc="0" locked="0" layoutInCell="1" allowOverlap="1">
                <wp:simplePos x="0" y="0"/>
                <wp:positionH relativeFrom="column">
                  <wp:posOffset>-528320</wp:posOffset>
                </wp:positionH>
                <wp:positionV relativeFrom="paragraph">
                  <wp:posOffset>2747645</wp:posOffset>
                </wp:positionV>
                <wp:extent cx="6788785" cy="2108200"/>
                <wp:effectExtent l="0" t="0" r="0" b="0"/>
                <wp:wrapNone/>
                <wp:docPr id="41" name="文本框 41"/>
                <wp:cNvGraphicFramePr/>
                <a:graphic xmlns:a="http://schemas.openxmlformats.org/drawingml/2006/main">
                  <a:graphicData uri="http://schemas.microsoft.com/office/word/2010/wordprocessingShape">
                    <wps:wsp>
                      <wps:cNvSpPr txBox="1"/>
                      <wps:spPr>
                        <a:xfrm rot="19140000">
                          <a:off x="0" y="0"/>
                          <a:ext cx="6788785" cy="210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C691E3">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pt;margin-top:216.35pt;height:166pt;width:534.55pt;rotation:-2686976f;z-index:251667456;mso-width-relative:page;mso-height-relative:page;" filled="f" stroked="f" coordsize="21600,21600" o:gfxdata="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VVwVc2wAAAAsBAAAPAAAA&#10;AAAAAAEAIAAAACIAAABkcnMvZG93bnJldi54bWxQSwECFAAUAAAACACHTuJApvglgksCAACGBAAA&#10;DgAAAAAAAAABACAAAAAqAQAAZHJzL2Uyb0RvYy54bWxQSwUGAAAAAAYABgBZAQAA5wUAAAAA&#10;">
                <v:fill on="f" focussize="0,0"/>
                <v:stroke on="f" weight="0.5pt"/>
                <v:imagedata o:title=""/>
                <o:lock v:ext="edit" aspectratio="f"/>
                <v:textbox>
                  <w:txbxContent>
                    <w:p w14:paraId="5EC691E3">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v:textbox>
              </v:shape>
            </w:pict>
          </mc:Fallback>
        </mc:AlternateContent>
      </w:r>
      <w:r>
        <w:drawing>
          <wp:anchor distT="0" distB="0" distL="114300" distR="114300" simplePos="0" relativeHeight="251660288" behindDoc="0" locked="0" layoutInCell="1" allowOverlap="1">
            <wp:simplePos x="0" y="0"/>
            <wp:positionH relativeFrom="column">
              <wp:posOffset>-2726055</wp:posOffset>
            </wp:positionH>
            <wp:positionV relativeFrom="paragraph">
              <wp:posOffset>689610</wp:posOffset>
            </wp:positionV>
            <wp:extent cx="10687050" cy="7600315"/>
            <wp:effectExtent l="0" t="0" r="4445" b="11430"/>
            <wp:wrapNone/>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8"/>
                    <a:stretch>
                      <a:fillRect/>
                    </a:stretch>
                  </pic:blipFill>
                  <pic:spPr>
                    <a:xfrm rot="16200000">
                      <a:off x="0" y="0"/>
                      <a:ext cx="10687050" cy="7600315"/>
                    </a:xfrm>
                    <a:prstGeom prst="rect">
                      <a:avLst/>
                    </a:prstGeom>
                    <a:noFill/>
                    <a:ln>
                      <a:noFill/>
                    </a:ln>
                  </pic:spPr>
                </pic:pic>
              </a:graphicData>
            </a:graphic>
          </wp:anchor>
        </w:drawing>
      </w:r>
    </w:p>
    <w:p w14:paraId="489EB055">
      <w:r>
        <w:drawing>
          <wp:anchor distT="0" distB="0" distL="114300" distR="114300" simplePos="0" relativeHeight="251662336" behindDoc="1" locked="0" layoutInCell="1" allowOverlap="1">
            <wp:simplePos x="0" y="0"/>
            <wp:positionH relativeFrom="column">
              <wp:posOffset>-750570</wp:posOffset>
            </wp:positionH>
            <wp:positionV relativeFrom="paragraph">
              <wp:posOffset>123190</wp:posOffset>
            </wp:positionV>
            <wp:extent cx="6920865" cy="2503170"/>
            <wp:effectExtent l="0" t="0" r="13335" b="11430"/>
            <wp:wrapNone/>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9">
                      <a:lum bright="-6000" contrast="12000"/>
                    </a:blip>
                    <a:stretch>
                      <a:fillRect/>
                    </a:stretch>
                  </pic:blipFill>
                  <pic:spPr>
                    <a:xfrm>
                      <a:off x="0" y="0"/>
                      <a:ext cx="6920865" cy="2503170"/>
                    </a:xfrm>
                    <a:prstGeom prst="rect">
                      <a:avLst/>
                    </a:prstGeom>
                    <a:noFill/>
                    <a:ln>
                      <a:noFill/>
                    </a:ln>
                  </pic:spPr>
                </pic:pic>
              </a:graphicData>
            </a:graphic>
          </wp:anchor>
        </w:drawing>
      </w:r>
    </w:p>
    <w:p w14:paraId="7FBFAE4F">
      <w:pPr>
        <w:adjustRightInd w:val="0"/>
        <w:snapToGrid w:val="0"/>
        <w:jc w:val="center"/>
      </w:pPr>
    </w:p>
    <w:p w14:paraId="2CB658C9">
      <w:pPr>
        <w:rPr>
          <w:rFonts w:hint="eastAsia" w:eastAsia="宋体"/>
          <w:lang w:eastAsia="zh-CN"/>
        </w:rPr>
      </w:pPr>
      <w:r>
        <w:rPr>
          <w:sz w:val="21"/>
        </w:rPr>
        <mc:AlternateContent>
          <mc:Choice Requires="wps">
            <w:drawing>
              <wp:anchor distT="0" distB="0" distL="114300" distR="114300" simplePos="0" relativeHeight="251668480" behindDoc="0" locked="0" layoutInCell="1" allowOverlap="1">
                <wp:simplePos x="0" y="0"/>
                <wp:positionH relativeFrom="column">
                  <wp:posOffset>-528320</wp:posOffset>
                </wp:positionH>
                <wp:positionV relativeFrom="paragraph">
                  <wp:posOffset>2747645</wp:posOffset>
                </wp:positionV>
                <wp:extent cx="6788785" cy="2108200"/>
                <wp:effectExtent l="0" t="0" r="0" b="0"/>
                <wp:wrapNone/>
                <wp:docPr id="42" name="文本框 42"/>
                <wp:cNvGraphicFramePr/>
                <a:graphic xmlns:a="http://schemas.openxmlformats.org/drawingml/2006/main">
                  <a:graphicData uri="http://schemas.microsoft.com/office/word/2010/wordprocessingShape">
                    <wps:wsp>
                      <wps:cNvSpPr txBox="1"/>
                      <wps:spPr>
                        <a:xfrm rot="19140000">
                          <a:off x="0" y="0"/>
                          <a:ext cx="6788785" cy="210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A5CFD5">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pt;margin-top:216.35pt;height:166pt;width:534.55pt;rotation:-2686976f;z-index:251668480;mso-width-relative:page;mso-height-relative:page;" filled="f" stroked="f" coordsize="21600,21600" o:gfxdata="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VXBVzbAAAACwEAAA8AAAAA&#10;AAAAAQAgAAAAIgAAAGRycy9kb3ducmV2LnhtbFBLAQIUABQAAAAIAIdO4kCTb6PFSgIAAIYEAAAO&#10;AAAAAAAAAAEAIAAAACoBAABkcnMvZTJvRG9jLnhtbFBLBQYAAAAABgAGAFkBAADmBQAAAAA=&#10;">
                <v:fill on="f" focussize="0,0"/>
                <v:stroke on="f" weight="0.5pt"/>
                <v:imagedata o:title=""/>
                <o:lock v:ext="edit" aspectratio="f"/>
                <v:textbox>
                  <w:txbxContent>
                    <w:p w14:paraId="14A5CFD5">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v:textbox>
              </v:shape>
            </w:pict>
          </mc:Fallback>
        </mc:AlternateContent>
      </w:r>
      <w:r>
        <w:drawing>
          <wp:anchor distT="0" distB="0" distL="114300" distR="114300" simplePos="0" relativeHeight="251662336" behindDoc="1" locked="0" layoutInCell="1" allowOverlap="1">
            <wp:simplePos x="0" y="0"/>
            <wp:positionH relativeFrom="column">
              <wp:posOffset>-887730</wp:posOffset>
            </wp:positionH>
            <wp:positionV relativeFrom="paragraph">
              <wp:posOffset>2473325</wp:posOffset>
            </wp:positionV>
            <wp:extent cx="7064375" cy="3658235"/>
            <wp:effectExtent l="0" t="0" r="6985" b="14605"/>
            <wp:wrapNone/>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10">
                      <a:lum bright="-24000" contrast="42000"/>
                    </a:blip>
                    <a:stretch>
                      <a:fillRect/>
                    </a:stretch>
                  </pic:blipFill>
                  <pic:spPr>
                    <a:xfrm>
                      <a:off x="0" y="0"/>
                      <a:ext cx="7064375" cy="3658235"/>
                    </a:xfrm>
                    <a:prstGeom prst="rect">
                      <a:avLst/>
                    </a:prstGeom>
                    <a:noFill/>
                    <a:ln>
                      <a:noFill/>
                    </a:ln>
                  </pic:spPr>
                </pic:pic>
              </a:graphicData>
            </a:graphic>
          </wp:anchor>
        </w:drawing>
      </w:r>
      <w:r>
        <w:br w:type="page"/>
      </w:r>
      <w:r>
        <w:rPr>
          <w:sz w:val="21"/>
        </w:rPr>
        <mc:AlternateContent>
          <mc:Choice Requires="wps">
            <w:drawing>
              <wp:anchor distT="0" distB="0" distL="114300" distR="114300" simplePos="0" relativeHeight="251669504" behindDoc="0" locked="0" layoutInCell="1" allowOverlap="1">
                <wp:simplePos x="0" y="0"/>
                <wp:positionH relativeFrom="column">
                  <wp:posOffset>-528320</wp:posOffset>
                </wp:positionH>
                <wp:positionV relativeFrom="paragraph">
                  <wp:posOffset>3098800</wp:posOffset>
                </wp:positionV>
                <wp:extent cx="6788785" cy="2108200"/>
                <wp:effectExtent l="0" t="0" r="0" b="0"/>
                <wp:wrapNone/>
                <wp:docPr id="43" name="文本框 43"/>
                <wp:cNvGraphicFramePr/>
                <a:graphic xmlns:a="http://schemas.openxmlformats.org/drawingml/2006/main">
                  <a:graphicData uri="http://schemas.microsoft.com/office/word/2010/wordprocessingShape">
                    <wps:wsp>
                      <wps:cNvSpPr txBox="1"/>
                      <wps:spPr>
                        <a:xfrm rot="19140000">
                          <a:off x="0" y="0"/>
                          <a:ext cx="6788785" cy="210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35D048">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pt;margin-top:244pt;height:166pt;width:534.55pt;rotation:-2686976f;z-index:251669504;mso-width-relative:page;mso-height-relative:page;" filled="f" stroked="f" coordsize="21600,21600" o:gfxdata="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ADsYf2QAAAAsBAAAPAAAAAAAA&#10;AAEAIAAAACIAAABkcnMvZG93bnJldi54bWxQSwECFAAUAAAACACHTuJAgOLe+EoCAACGBAAADgAA&#10;AAAAAAABACAAAAAoAQAAZHJzL2Uyb0RvYy54bWxQSwUGAAAAAAYABgBZAQAA5AUAAAAA&#10;">
                <v:fill on="f" focussize="0,0"/>
                <v:stroke on="f" weight="0.5pt"/>
                <v:imagedata o:title=""/>
                <o:lock v:ext="edit" aspectratio="f"/>
                <v:textbox>
                  <w:txbxContent>
                    <w:p w14:paraId="2735D048">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v:textbox>
              </v:shape>
            </w:pict>
          </mc:Fallback>
        </mc:AlternateContent>
      </w:r>
      <w:r>
        <w:rPr>
          <w:rFonts w:hint="eastAsia" w:eastAsia="宋体"/>
          <w:lang w:eastAsia="zh-CN"/>
        </w:rPr>
        <w:drawing>
          <wp:inline distT="0" distB="0" distL="114300" distR="114300">
            <wp:extent cx="5271770" cy="8162925"/>
            <wp:effectExtent l="0" t="0" r="1270" b="5715"/>
            <wp:docPr id="40" name="图片 40" descr="efdc7d68921ba462c46a9389be0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efdc7d68921ba462c46a9389be05859"/>
                    <pic:cNvPicPr>
                      <a:picLocks noChangeAspect="1"/>
                    </pic:cNvPicPr>
                  </pic:nvPicPr>
                  <pic:blipFill>
                    <a:blip r:embed="rId11"/>
                    <a:stretch>
                      <a:fillRect/>
                    </a:stretch>
                  </pic:blipFill>
                  <pic:spPr>
                    <a:xfrm>
                      <a:off x="0" y="0"/>
                      <a:ext cx="5271770" cy="8162925"/>
                    </a:xfrm>
                    <a:prstGeom prst="rect">
                      <a:avLst/>
                    </a:prstGeom>
                  </pic:spPr>
                </pic:pic>
              </a:graphicData>
            </a:graphic>
          </wp:inline>
        </w:drawing>
      </w:r>
    </w:p>
    <w:p w14:paraId="4F0042C1">
      <w:pPr>
        <w:rPr>
          <w:rFonts w:hint="eastAsia" w:eastAsia="宋体"/>
          <w:lang w:eastAsia="zh-CN"/>
        </w:rPr>
      </w:pPr>
      <w:r>
        <w:rPr>
          <w:rFonts w:hint="eastAsia" w:eastAsia="宋体"/>
          <w:lang w:eastAsia="zh-CN"/>
        </w:rPr>
        <w:br w:type="page"/>
      </w:r>
    </w:p>
    <w:p w14:paraId="2DA3004B">
      <w:pPr>
        <w:rPr>
          <w:rFonts w:hint="eastAsia" w:eastAsia="宋体"/>
          <w:lang w:eastAsia="zh-CN"/>
        </w:rPr>
      </w:pPr>
    </w:p>
    <w:p w14:paraId="6333BF50">
      <w:pPr>
        <w:adjustRightInd w:val="0"/>
        <w:snapToGrid w:val="0"/>
        <w:jc w:val="center"/>
      </w:pPr>
      <w:r>
        <w:rPr>
          <w:sz w:val="21"/>
        </w:rPr>
        <mc:AlternateContent>
          <mc:Choice Requires="wps">
            <w:drawing>
              <wp:anchor distT="0" distB="0" distL="114300" distR="114300" simplePos="0" relativeHeight="251670528" behindDoc="0" locked="0" layoutInCell="1" allowOverlap="1">
                <wp:simplePos x="0" y="0"/>
                <wp:positionH relativeFrom="column">
                  <wp:posOffset>-528320</wp:posOffset>
                </wp:positionH>
                <wp:positionV relativeFrom="paragraph">
                  <wp:posOffset>2900680</wp:posOffset>
                </wp:positionV>
                <wp:extent cx="6788785" cy="2108200"/>
                <wp:effectExtent l="0" t="0" r="0" b="0"/>
                <wp:wrapNone/>
                <wp:docPr id="44" name="文本框 44"/>
                <wp:cNvGraphicFramePr/>
                <a:graphic xmlns:a="http://schemas.openxmlformats.org/drawingml/2006/main">
                  <a:graphicData uri="http://schemas.microsoft.com/office/word/2010/wordprocessingShape">
                    <wps:wsp>
                      <wps:cNvSpPr txBox="1"/>
                      <wps:spPr>
                        <a:xfrm rot="19140000">
                          <a:off x="0" y="0"/>
                          <a:ext cx="6788785" cy="210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BDE7A3">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pt;margin-top:228.4pt;height:166pt;width:534.55pt;rotation:-2686976f;z-index:251670528;mso-width-relative:page;mso-height-relative:page;" filled="f" stroked="f" coordsize="21600,21600" o:gfxdata="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32ANDbAAAACwEAAA8AAAAA&#10;AAAAAQAgAAAAIgAAAGRycy9kb3ducmV2LnhtbFBLAQIUABQAAAAIAIdO4kD5Qa5KSgIAAIYEAAAO&#10;AAAAAAAAAAEAIAAAACoBAABkcnMvZTJvRG9jLnhtbFBLBQYAAAAABgAGAFkBAADmBQAAAAA=&#10;">
                <v:fill on="f" focussize="0,0"/>
                <v:stroke on="f" weight="0.5pt"/>
                <v:imagedata o:title=""/>
                <o:lock v:ext="edit" aspectratio="f"/>
                <v:textbox>
                  <w:txbxContent>
                    <w:p w14:paraId="43BDE7A3">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v:textbox>
              </v:shape>
            </w:pict>
          </mc:Fallback>
        </mc:AlternateContent>
      </w:r>
      <w:r>
        <w:drawing>
          <wp:anchor distT="0" distB="0" distL="114300" distR="114300" simplePos="0" relativeHeight="251659264" behindDoc="0" locked="0" layoutInCell="1" allowOverlap="1">
            <wp:simplePos x="0" y="0"/>
            <wp:positionH relativeFrom="column">
              <wp:posOffset>-1088390</wp:posOffset>
            </wp:positionH>
            <wp:positionV relativeFrom="paragraph">
              <wp:posOffset>-1010920</wp:posOffset>
            </wp:positionV>
            <wp:extent cx="7479665" cy="11044555"/>
            <wp:effectExtent l="0" t="0" r="3175" b="4445"/>
            <wp:wrapNone/>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2"/>
                    <a:stretch>
                      <a:fillRect/>
                    </a:stretch>
                  </pic:blipFill>
                  <pic:spPr>
                    <a:xfrm>
                      <a:off x="0" y="0"/>
                      <a:ext cx="7479665" cy="11044555"/>
                    </a:xfrm>
                    <a:prstGeom prst="rect">
                      <a:avLst/>
                    </a:prstGeom>
                    <a:noFill/>
                    <a:ln>
                      <a:noFill/>
                    </a:ln>
                  </pic:spPr>
                </pic:pic>
              </a:graphicData>
            </a:graphic>
          </wp:anchor>
        </w:drawing>
      </w:r>
    </w:p>
    <w:p w14:paraId="0268975C">
      <w:r>
        <w:br w:type="page"/>
      </w:r>
      <w:r>
        <w:rPr>
          <w:sz w:val="21"/>
        </w:rPr>
        <mc:AlternateContent>
          <mc:Choice Requires="wps">
            <w:drawing>
              <wp:anchor distT="0" distB="0" distL="114300" distR="114300" simplePos="0" relativeHeight="251672576" behindDoc="0" locked="0" layoutInCell="1" allowOverlap="1">
                <wp:simplePos x="0" y="0"/>
                <wp:positionH relativeFrom="column">
                  <wp:posOffset>-1217295</wp:posOffset>
                </wp:positionH>
                <wp:positionV relativeFrom="paragraph">
                  <wp:posOffset>1731645</wp:posOffset>
                </wp:positionV>
                <wp:extent cx="6788785" cy="2108200"/>
                <wp:effectExtent l="0" t="0" r="0" b="0"/>
                <wp:wrapNone/>
                <wp:docPr id="46" name="文本框 46"/>
                <wp:cNvGraphicFramePr/>
                <a:graphic xmlns:a="http://schemas.openxmlformats.org/drawingml/2006/main">
                  <a:graphicData uri="http://schemas.microsoft.com/office/word/2010/wordprocessingShape">
                    <wps:wsp>
                      <wps:cNvSpPr txBox="1"/>
                      <wps:spPr>
                        <a:xfrm rot="19140000">
                          <a:off x="0" y="0"/>
                          <a:ext cx="6788785" cy="210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9A1734">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85pt;margin-top:136.35pt;height:166pt;width:534.55pt;rotation:-2686976f;z-index:251672576;mso-width-relative:page;mso-height-relative:page;" filled="f" stroked="f" coordsize="21600,21600" o:gfxdata="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Ls443AAAAAwBAAAPAAAA&#10;AAAAAAEAIAAAACIAAABkcnMvZG93bnJldi54bWxQSwECFAAUAAAACACHTuJA31tVMEoCAACGBAAA&#10;DgAAAAAAAAABACAAAAArAQAAZHJzL2Uyb0RvYy54bWxQSwUGAAAAAAYABgBZAQAA5wUAAAAA&#10;">
                <v:fill on="f" focussize="0,0"/>
                <v:stroke on="f" weight="0.5pt"/>
                <v:imagedata o:title=""/>
                <o:lock v:ext="edit" aspectratio="f"/>
                <v:textbox>
                  <w:txbxContent>
                    <w:p w14:paraId="499A1734">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v:textbox>
              </v:shape>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-187960</wp:posOffset>
                </wp:positionH>
                <wp:positionV relativeFrom="paragraph">
                  <wp:posOffset>4664075</wp:posOffset>
                </wp:positionV>
                <wp:extent cx="7268210" cy="2324735"/>
                <wp:effectExtent l="0" t="0" r="0" b="0"/>
                <wp:wrapNone/>
                <wp:docPr id="45" name="文本框 45"/>
                <wp:cNvGraphicFramePr/>
                <a:graphic xmlns:a="http://schemas.openxmlformats.org/drawingml/2006/main">
                  <a:graphicData uri="http://schemas.microsoft.com/office/word/2010/wordprocessingShape">
                    <wps:wsp>
                      <wps:cNvSpPr txBox="1"/>
                      <wps:spPr>
                        <a:xfrm rot="19140000">
                          <a:off x="0" y="0"/>
                          <a:ext cx="7268210" cy="2324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B5351F">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pt;margin-top:367.25pt;height:183.05pt;width:572.3pt;rotation:-2686976f;z-index:251671552;mso-width-relative:page;mso-height-relative:page;" filled="f" stroked="f" coordsize="21600,21600" o:gfxdata="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dOHwl2gAAAA0BAAAPAAAA&#10;AAAAAAEAIAAAACIAAABkcnMvZG93bnJldi54bWxQSwECFAAUAAAACACHTuJAeoZFA0wCAACGBAAA&#10;DgAAAAAAAAABACAAAAApAQAAZHJzL2Uyb0RvYy54bWxQSwUGAAAAAAYABgBZAQAA5wUAAAAA&#10;">
                <v:fill on="f" focussize="0,0"/>
                <v:stroke on="f" weight="0.5pt"/>
                <v:imagedata o:title=""/>
                <o:lock v:ext="edit" aspectratio="f"/>
                <v:textbox>
                  <w:txbxContent>
                    <w:p w14:paraId="4BB5351F">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v:textbox>
              </v:shape>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2303145</wp:posOffset>
                </wp:positionH>
                <wp:positionV relativeFrom="paragraph">
                  <wp:posOffset>7984490</wp:posOffset>
                </wp:positionV>
                <wp:extent cx="2863850" cy="258445"/>
                <wp:effectExtent l="0" t="0" r="1270" b="635"/>
                <wp:wrapNone/>
                <wp:docPr id="37" name="文本框 37"/>
                <wp:cNvGraphicFramePr/>
                <a:graphic xmlns:a="http://schemas.openxmlformats.org/drawingml/2006/main">
                  <a:graphicData uri="http://schemas.microsoft.com/office/word/2010/wordprocessingShape">
                    <wps:wsp>
                      <wps:cNvSpPr txBox="1"/>
                      <wps:spPr>
                        <a:xfrm>
                          <a:off x="0" y="0"/>
                          <a:ext cx="2863850" cy="2584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3481DE6">
                            <w:pPr>
                              <w:jc w:val="center"/>
                              <w:rPr>
                                <w:rFonts w:hint="default" w:eastAsia="宋体"/>
                                <w:lang w:val="en-US" w:eastAsia="zh-CN"/>
                              </w:rPr>
                            </w:pPr>
                            <w:r>
                              <w:rPr>
                                <w:rFonts w:hint="eastAsia"/>
                                <w:lang w:val="en-US" w:eastAsia="zh-CN"/>
                              </w:rPr>
                              <w:t>编制单位报告编制人员身份证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35pt;margin-top:628.7pt;height:20.35pt;width:225.5pt;z-index:251665408;mso-width-relative:page;mso-height-relative:page;" fillcolor="#FFFFFF [3201]" filled="t" stroked="f" coordsize="21600,21600" o:gfxdata="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2ulhv9cAAAANAQAADwAA&#10;AAAAAAABACAAAAAiAAAAZHJzL2Rvd25yZXYueG1sUEsBAhQAFAAAAAgAh07iQFMYoE5QAgAAkQQA&#10;AA4AAAAAAAAAAQAgAAAAJgEAAGRycy9lMm9Eb2MueG1sUEsFBgAAAAAGAAYAWQEAAOgFAAAAAA==&#10;">
                <v:fill on="t" focussize="0,0"/>
                <v:stroke on="f" weight="0.5pt"/>
                <v:imagedata o:title=""/>
                <o:lock v:ext="edit" aspectratio="f"/>
                <v:textbox>
                  <w:txbxContent>
                    <w:p w14:paraId="33481DE6">
                      <w:pPr>
                        <w:jc w:val="center"/>
                        <w:rPr>
                          <w:rFonts w:hint="default" w:eastAsia="宋体"/>
                          <w:lang w:val="en-US" w:eastAsia="zh-CN"/>
                        </w:rPr>
                      </w:pPr>
                      <w:r>
                        <w:rPr>
                          <w:rFonts w:hint="eastAsia"/>
                          <w:lang w:val="en-US" w:eastAsia="zh-CN"/>
                        </w:rPr>
                        <w:t>编制单位报告编制人员身份证</w:t>
                      </w:r>
                    </w:p>
                  </w:txbxContent>
                </v:textbox>
              </v:shape>
            </w:pict>
          </mc:Fallback>
        </mc:AlternateContent>
      </w:r>
      <w:r>
        <w:drawing>
          <wp:anchor distT="0" distB="0" distL="114300" distR="114300" simplePos="0" relativeHeight="251664384" behindDoc="0" locked="0" layoutInCell="1" allowOverlap="1">
            <wp:simplePos x="0" y="0"/>
            <wp:positionH relativeFrom="column">
              <wp:posOffset>2390775</wp:posOffset>
            </wp:positionH>
            <wp:positionV relativeFrom="paragraph">
              <wp:posOffset>4049395</wp:posOffset>
            </wp:positionV>
            <wp:extent cx="2996565" cy="3942080"/>
            <wp:effectExtent l="0" t="0" r="5715" b="5080"/>
            <wp:wrapNone/>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13"/>
                    <a:stretch>
                      <a:fillRect/>
                    </a:stretch>
                  </pic:blipFill>
                  <pic:spPr>
                    <a:xfrm>
                      <a:off x="0" y="0"/>
                      <a:ext cx="2996565" cy="3942080"/>
                    </a:xfrm>
                    <a:prstGeom prst="rect">
                      <a:avLst/>
                    </a:prstGeom>
                    <a:noFill/>
                    <a:ln>
                      <a:noFill/>
                    </a:ln>
                  </pic:spPr>
                </pic:pic>
              </a:graphicData>
            </a:graphic>
          </wp:anchor>
        </w:drawing>
      </w:r>
      <w:r>
        <w:rPr>
          <w:sz w:val="21"/>
        </w:rPr>
        <mc:AlternateContent>
          <mc:Choice Requires="wps">
            <w:drawing>
              <wp:anchor distT="0" distB="0" distL="114300" distR="114300" simplePos="0" relativeHeight="251663360" behindDoc="0" locked="0" layoutInCell="1" allowOverlap="1">
                <wp:simplePos x="0" y="0"/>
                <wp:positionH relativeFrom="column">
                  <wp:posOffset>-508000</wp:posOffset>
                </wp:positionH>
                <wp:positionV relativeFrom="paragraph">
                  <wp:posOffset>7544435</wp:posOffset>
                </wp:positionV>
                <wp:extent cx="2863850" cy="258445"/>
                <wp:effectExtent l="0" t="0" r="1270" b="635"/>
                <wp:wrapNone/>
                <wp:docPr id="30" name="文本框 30"/>
                <wp:cNvGraphicFramePr/>
                <a:graphic xmlns:a="http://schemas.openxmlformats.org/drawingml/2006/main">
                  <a:graphicData uri="http://schemas.microsoft.com/office/word/2010/wordprocessingShape">
                    <wps:wsp>
                      <wps:cNvSpPr txBox="1"/>
                      <wps:spPr>
                        <a:xfrm>
                          <a:off x="0" y="0"/>
                          <a:ext cx="2863850" cy="2584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7E69D2F">
                            <w:pPr>
                              <w:jc w:val="center"/>
                              <w:rPr>
                                <w:rFonts w:hint="default" w:eastAsia="宋体"/>
                                <w:lang w:val="en-US" w:eastAsia="zh-CN"/>
                              </w:rPr>
                            </w:pPr>
                            <w:r>
                              <w:rPr>
                                <w:rFonts w:hint="eastAsia"/>
                                <w:lang w:val="en-US" w:eastAsia="zh-CN"/>
                              </w:rPr>
                              <w:t>编制单位工程师身份证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pt;margin-top:594.05pt;height:20.35pt;width:225.5pt;z-index:251663360;mso-width-relative:page;mso-height-relative:page;" fillcolor="#FFFFFF [3201]" filled="t" stroked="f" coordsize="21600,21600" o:gfxdata="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ix+D3WAAAADQEAAA8AAAAA&#10;AAAAAQAgAAAAIgAAAGRycy9kb3ducmV2LnhtbFBLAQIUABQAAAAIAIdO4kD419DtTwIAAJEEAAAO&#10;AAAAAAAAAAEAIAAAACUBAABkcnMvZTJvRG9jLnhtbFBLBQYAAAAABgAGAFkBAADmBQAAAAA=&#10;">
                <v:fill on="t" focussize="0,0"/>
                <v:stroke on="f" weight="0.5pt"/>
                <v:imagedata o:title=""/>
                <o:lock v:ext="edit" aspectratio="f"/>
                <v:textbox>
                  <w:txbxContent>
                    <w:p w14:paraId="07E69D2F">
                      <w:pPr>
                        <w:jc w:val="center"/>
                        <w:rPr>
                          <w:rFonts w:hint="default" w:eastAsia="宋体"/>
                          <w:lang w:val="en-US" w:eastAsia="zh-CN"/>
                        </w:rPr>
                      </w:pPr>
                      <w:r>
                        <w:rPr>
                          <w:rFonts w:hint="eastAsia"/>
                          <w:lang w:val="en-US" w:eastAsia="zh-CN"/>
                        </w:rPr>
                        <w:t>编制单位工程师身份证</w:t>
                      </w:r>
                    </w:p>
                  </w:txbxContent>
                </v:textbox>
              </v:shape>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1440815</wp:posOffset>
                </wp:positionH>
                <wp:positionV relativeFrom="paragraph">
                  <wp:posOffset>3260090</wp:posOffset>
                </wp:positionV>
                <wp:extent cx="2863850" cy="258445"/>
                <wp:effectExtent l="0" t="0" r="1270" b="635"/>
                <wp:wrapNone/>
                <wp:docPr id="25" name="文本框 25"/>
                <wp:cNvGraphicFramePr/>
                <a:graphic xmlns:a="http://schemas.openxmlformats.org/drawingml/2006/main">
                  <a:graphicData uri="http://schemas.microsoft.com/office/word/2010/wordprocessingShape">
                    <wps:wsp>
                      <wps:cNvSpPr txBox="1"/>
                      <wps:spPr>
                        <a:xfrm>
                          <a:off x="2533015" y="5003165"/>
                          <a:ext cx="2863850" cy="2584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8A54D9A">
                            <w:pPr>
                              <w:jc w:val="center"/>
                              <w:rPr>
                                <w:rFonts w:hint="default" w:eastAsia="宋体"/>
                                <w:lang w:val="en-US" w:eastAsia="zh-CN"/>
                              </w:rPr>
                            </w:pPr>
                            <w:r>
                              <w:rPr>
                                <w:rFonts w:hint="eastAsia"/>
                                <w:lang w:val="en-US" w:eastAsia="zh-CN"/>
                              </w:rPr>
                              <w:t>编制单位法人身份证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45pt;margin-top:256.7pt;height:20.35pt;width:225.5pt;z-index:251662336;mso-width-relative:page;mso-height-relative:page;" fillcolor="#FFFFFF [3201]" filled="t" stroked="f" coordsize="21600,21600" o:gfxdata="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KSJgD&#10;1QAAAAsBAAAPAAAAAAAAAAEAIAAAACIAAABkcnMvZG93bnJldi54bWxQSwECFAAUAAAACACHTuJA&#10;O6adBV0CAACdBAAADgAAAAAAAAABACAAAAAkAQAAZHJzL2Uyb0RvYy54bWxQSwUGAAAAAAYABgBZ&#10;AQAA8wUAAAAA&#10;">
                <v:fill on="t" focussize="0,0"/>
                <v:stroke on="f" weight="0.5pt"/>
                <v:imagedata o:title=""/>
                <o:lock v:ext="edit" aspectratio="f"/>
                <v:textbox>
                  <w:txbxContent>
                    <w:p w14:paraId="58A54D9A">
                      <w:pPr>
                        <w:jc w:val="center"/>
                        <w:rPr>
                          <w:rFonts w:hint="default" w:eastAsia="宋体"/>
                          <w:lang w:val="en-US" w:eastAsia="zh-CN"/>
                        </w:rPr>
                      </w:pPr>
                      <w:r>
                        <w:rPr>
                          <w:rFonts w:hint="eastAsia"/>
                          <w:lang w:val="en-US" w:eastAsia="zh-CN"/>
                        </w:rPr>
                        <w:t>编制单位法人身份证</w:t>
                      </w:r>
                    </w:p>
                  </w:txbxContent>
                </v:textbox>
              </v:shape>
            </w:pict>
          </mc:Fallback>
        </mc:AlternateContent>
      </w:r>
      <w:r>
        <w:drawing>
          <wp:anchor distT="0" distB="0" distL="114300" distR="114300" simplePos="0" relativeHeight="251662336" behindDoc="1" locked="0" layoutInCell="1" allowOverlap="1">
            <wp:simplePos x="0" y="0"/>
            <wp:positionH relativeFrom="column">
              <wp:posOffset>1596390</wp:posOffset>
            </wp:positionH>
            <wp:positionV relativeFrom="paragraph">
              <wp:posOffset>179705</wp:posOffset>
            </wp:positionV>
            <wp:extent cx="2425065" cy="3326130"/>
            <wp:effectExtent l="0" t="0" r="13335" b="11430"/>
            <wp:wrapNone/>
            <wp:docPr id="24" name="图片 24" descr="e2cf026e92d16bff52f0110764968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e2cf026e92d16bff52f0110764968d2"/>
                    <pic:cNvPicPr>
                      <a:picLocks noChangeAspect="1"/>
                    </pic:cNvPicPr>
                  </pic:nvPicPr>
                  <pic:blipFill>
                    <a:blip r:embed="rId14"/>
                    <a:srcRect l="11019" t="6013" r="14663" b="19882"/>
                    <a:stretch>
                      <a:fillRect/>
                    </a:stretch>
                  </pic:blipFill>
                  <pic:spPr>
                    <a:xfrm>
                      <a:off x="0" y="0"/>
                      <a:ext cx="2425065" cy="3326130"/>
                    </a:xfrm>
                    <a:prstGeom prst="rect">
                      <a:avLst/>
                    </a:prstGeom>
                  </pic:spPr>
                </pic:pic>
              </a:graphicData>
            </a:graphic>
          </wp:anchor>
        </w:drawing>
      </w:r>
      <w:r>
        <w:drawing>
          <wp:anchor distT="0" distB="0" distL="114300" distR="114300" simplePos="0" relativeHeight="251662336" behindDoc="1" locked="0" layoutInCell="1" allowOverlap="1">
            <wp:simplePos x="0" y="0"/>
            <wp:positionH relativeFrom="column">
              <wp:posOffset>-844550</wp:posOffset>
            </wp:positionH>
            <wp:positionV relativeFrom="paragraph">
              <wp:posOffset>4131945</wp:posOffset>
            </wp:positionV>
            <wp:extent cx="3542030" cy="3582035"/>
            <wp:effectExtent l="0" t="0" r="8890" b="14605"/>
            <wp:wrapNone/>
            <wp:docPr id="33" name="图片 33" descr="81526ad31bde8c74e3ddc75cf0524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1526ad31bde8c74e3ddc75cf05249f"/>
                    <pic:cNvPicPr>
                      <a:picLocks noChangeAspect="1"/>
                    </pic:cNvPicPr>
                  </pic:nvPicPr>
                  <pic:blipFill>
                    <a:blip r:embed="rId15"/>
                    <a:srcRect l="9790" t="18493" r="12628" b="26053"/>
                    <a:stretch>
                      <a:fillRect/>
                    </a:stretch>
                  </pic:blipFill>
                  <pic:spPr>
                    <a:xfrm>
                      <a:off x="0" y="0"/>
                      <a:ext cx="3542030" cy="3582035"/>
                    </a:xfrm>
                    <a:prstGeom prst="rect">
                      <a:avLst/>
                    </a:prstGeom>
                  </pic:spPr>
                </pic:pic>
              </a:graphicData>
            </a:graphic>
          </wp:anchor>
        </w:drawing>
      </w:r>
      <w:r>
        <w:br w:type="page"/>
      </w:r>
    </w:p>
    <w:p w14:paraId="573E9319">
      <w:p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6D279EA">
      <w:pPr>
        <w:rPr>
          <w:color w:val="0000FF"/>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sz w:val="21"/>
        </w:rPr>
        <mc:AlternateContent>
          <mc:Choice Requires="wps">
            <w:drawing>
              <wp:anchor distT="0" distB="0" distL="114300" distR="114300" simplePos="0" relativeHeight="251673600" behindDoc="0" locked="0" layoutInCell="1" allowOverlap="1">
                <wp:simplePos x="0" y="0"/>
                <wp:positionH relativeFrom="column">
                  <wp:posOffset>-138430</wp:posOffset>
                </wp:positionH>
                <wp:positionV relativeFrom="paragraph">
                  <wp:posOffset>2759075</wp:posOffset>
                </wp:positionV>
                <wp:extent cx="6788785" cy="2108200"/>
                <wp:effectExtent l="0" t="0" r="0" b="0"/>
                <wp:wrapNone/>
                <wp:docPr id="47" name="文本框 47"/>
                <wp:cNvGraphicFramePr/>
                <a:graphic xmlns:a="http://schemas.openxmlformats.org/drawingml/2006/main">
                  <a:graphicData uri="http://schemas.microsoft.com/office/word/2010/wordprocessingShape">
                    <wps:wsp>
                      <wps:cNvSpPr txBox="1"/>
                      <wps:spPr>
                        <a:xfrm rot="19140000">
                          <a:off x="0" y="0"/>
                          <a:ext cx="6788785" cy="210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A50BE3">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9pt;margin-top:217.25pt;height:166pt;width:534.55pt;rotation:-2686976f;z-index:251673600;mso-width-relative:page;mso-height-relative:page;" filled="f" stroked="f" coordsize="21600,21600" o:gfxdata="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d3s9fbAAAADAEAAA8AAAAA&#10;AAAAAQAgAAAAIgAAAGRycy9kb3ducmV2LnhtbFBLAQIUABQAAAAIAIdO4kDM1igNSgIAAIYEAAAO&#10;AAAAAAAAAAEAIAAAACoBAABkcnMvZTJvRG9jLnhtbFBLBQYAAAAABgAGAFkBAADmBQAAAAA=&#10;">
                <v:fill on="f" focussize="0,0"/>
                <v:stroke on="f" weight="0.5pt"/>
                <v:imagedata o:title=""/>
                <o:lock v:ext="edit" aspectratio="f"/>
                <v:textbox>
                  <w:txbxContent>
                    <w:p w14:paraId="77A50BE3">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v:textbox>
              </v:shape>
            </w:pict>
          </mc:Fallback>
        </mc:AlternateContent>
      </w:r>
      <w:r>
        <w:drawing>
          <wp:anchor distT="0" distB="0" distL="114300" distR="114300" simplePos="0" relativeHeight="251661312" behindDoc="0" locked="0" layoutInCell="1" allowOverlap="1">
            <wp:simplePos x="0" y="0"/>
            <wp:positionH relativeFrom="column">
              <wp:posOffset>-1042035</wp:posOffset>
            </wp:positionH>
            <wp:positionV relativeFrom="paragraph">
              <wp:posOffset>-815340</wp:posOffset>
            </wp:positionV>
            <wp:extent cx="7459980" cy="10550525"/>
            <wp:effectExtent l="0" t="0" r="7620" b="10795"/>
            <wp:wrapNone/>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6"/>
                    <a:stretch>
                      <a:fillRect/>
                    </a:stretch>
                  </pic:blipFill>
                  <pic:spPr>
                    <a:xfrm>
                      <a:off x="0" y="0"/>
                      <a:ext cx="7459980" cy="10550525"/>
                    </a:xfrm>
                    <a:prstGeom prst="rect">
                      <a:avLst/>
                    </a:prstGeom>
                    <a:noFill/>
                    <a:ln>
                      <a:noFill/>
                    </a:ln>
                  </pic:spPr>
                </pic:pic>
              </a:graphicData>
            </a:graphic>
          </wp:anchor>
        </w:drawing>
      </w:r>
    </w:p>
    <w:p w14:paraId="6259880A">
      <w:bookmarkStart w:id="11" w:name="_GoBack"/>
      <w:bookmarkEnd w:id="11"/>
      <w:r>
        <w:rPr>
          <w:sz w:val="21"/>
        </w:rPr>
        <mc:AlternateContent>
          <mc:Choice Requires="wps">
            <w:drawing>
              <wp:anchor distT="0" distB="0" distL="114300" distR="114300" simplePos="0" relativeHeight="251674624" behindDoc="0" locked="0" layoutInCell="1" allowOverlap="1">
                <wp:simplePos x="0" y="0"/>
                <wp:positionH relativeFrom="column">
                  <wp:posOffset>-168910</wp:posOffset>
                </wp:positionH>
                <wp:positionV relativeFrom="paragraph">
                  <wp:posOffset>2898775</wp:posOffset>
                </wp:positionV>
                <wp:extent cx="6788785" cy="2108200"/>
                <wp:effectExtent l="0" t="0" r="0" b="0"/>
                <wp:wrapNone/>
                <wp:docPr id="48" name="文本框 48"/>
                <wp:cNvGraphicFramePr/>
                <a:graphic xmlns:a="http://schemas.openxmlformats.org/drawingml/2006/main">
                  <a:graphicData uri="http://schemas.microsoft.com/office/word/2010/wordprocessingShape">
                    <wps:wsp>
                      <wps:cNvSpPr txBox="1"/>
                      <wps:spPr>
                        <a:xfrm rot="19140000">
                          <a:off x="0" y="0"/>
                          <a:ext cx="6788785" cy="210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9E6C7">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pt;margin-top:228.25pt;height:166pt;width:534.55pt;rotation:-2686976f;z-index:251674624;mso-width-relative:page;mso-height-relative:page;" filled="f" stroked="f" coordsize="21600,21600" o:gfxdata="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gfYgXbAAAADAEAAA8AAAAA&#10;AAAAAQAgAAAAIgAAAGRycy9kb3ducmV2LnhtbFBLAQIUABQAAAAIAIdO4kBsG8WPSgIAAIYEAAAO&#10;AAAAAAAAAAEAIAAAACoBAABkcnMvZTJvRG9jLnhtbFBLBQYAAAAABgAGAFkBAADmBQAAAAA=&#10;">
                <v:fill on="f" focussize="0,0"/>
                <v:stroke on="f" weight="0.5pt"/>
                <v:imagedata o:title=""/>
                <o:lock v:ext="edit" aspectratio="f"/>
                <v:textbox>
                  <w:txbxContent>
                    <w:p w14:paraId="2809E6C7">
                      <w:pPr>
                        <w:jc w:val="center"/>
                        <w:rPr>
                          <w:rFonts w:hint="default" w:eastAsia="宋体"/>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b/>
                          <w:bCs/>
                          <w:color w:val="70AD47"/>
                          <w:sz w:val="72"/>
                          <w:szCs w:val="72"/>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仅用于临湘市城区雨水调蓄及行泄通道工程项目环评使用</w:t>
                      </w:r>
                    </w:p>
                  </w:txbxContent>
                </v:textbox>
              </v:shape>
            </w:pict>
          </mc:Fallback>
        </mc:AlternateContent>
      </w:r>
      <w:r>
        <w:drawing>
          <wp:anchor distT="0" distB="0" distL="114300" distR="114300" simplePos="0" relativeHeight="251666432" behindDoc="0" locked="0" layoutInCell="1" allowOverlap="1">
            <wp:simplePos x="0" y="0"/>
            <wp:positionH relativeFrom="column">
              <wp:posOffset>-948055</wp:posOffset>
            </wp:positionH>
            <wp:positionV relativeFrom="paragraph">
              <wp:posOffset>-661035</wp:posOffset>
            </wp:positionV>
            <wp:extent cx="7327265" cy="10454640"/>
            <wp:effectExtent l="0" t="0" r="3175" b="0"/>
            <wp:wrapNone/>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17"/>
                    <a:stretch>
                      <a:fillRect/>
                    </a:stretch>
                  </pic:blipFill>
                  <pic:spPr>
                    <a:xfrm>
                      <a:off x="0" y="0"/>
                      <a:ext cx="7327265" cy="10454640"/>
                    </a:xfrm>
                    <a:prstGeom prst="rect">
                      <a:avLst/>
                    </a:prstGeom>
                    <a:noFill/>
                    <a:ln>
                      <a:noFill/>
                    </a:ln>
                  </pic:spPr>
                </pic:pic>
              </a:graphicData>
            </a:graphic>
          </wp:anchor>
        </w:drawing>
      </w:r>
      <w:r>
        <w:br w:type="page"/>
      </w:r>
    </w:p>
    <w:p w14:paraId="1F433C70">
      <w:pPr>
        <w:adjustRightInd w:val="0"/>
        <w:snapToGrid w:val="0"/>
        <w:jc w:val="center"/>
      </w:pPr>
      <w:r>
        <w:drawing>
          <wp:inline distT="0" distB="0" distL="114300" distR="114300">
            <wp:extent cx="5273675" cy="7320280"/>
            <wp:effectExtent l="0" t="0" r="14605" b="1016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18"/>
                    <a:stretch>
                      <a:fillRect/>
                    </a:stretch>
                  </pic:blipFill>
                  <pic:spPr>
                    <a:xfrm>
                      <a:off x="0" y="0"/>
                      <a:ext cx="5273675" cy="7320280"/>
                    </a:xfrm>
                    <a:prstGeom prst="rect">
                      <a:avLst/>
                    </a:prstGeom>
                    <a:noFill/>
                    <a:ln>
                      <a:noFill/>
                    </a:ln>
                  </pic:spPr>
                </pic:pic>
              </a:graphicData>
            </a:graphic>
          </wp:inline>
        </w:drawing>
      </w:r>
    </w:p>
    <w:p w14:paraId="2F3E854F">
      <w:pPr>
        <w:rPr>
          <w:rFonts w:hint="eastAsia" w:eastAsia="宋体"/>
          <w:lang w:eastAsia="zh-CN"/>
        </w:rPr>
      </w:pPr>
      <w:r>
        <w:br w:type="page"/>
      </w:r>
      <w:r>
        <w:rPr>
          <w:rFonts w:hint="eastAsia" w:eastAsia="宋体"/>
          <w:lang w:eastAsia="zh-CN"/>
        </w:rPr>
        <w:drawing>
          <wp:inline distT="0" distB="0" distL="114300" distR="114300">
            <wp:extent cx="5271135" cy="8776970"/>
            <wp:effectExtent l="0" t="0" r="1905" b="1270"/>
            <wp:docPr id="38" name="图片 38" descr="a34c4f29151d73b7994c93b94adb9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a34c4f29151d73b7994c93b94adb9ec"/>
                    <pic:cNvPicPr>
                      <a:picLocks noChangeAspect="1"/>
                    </pic:cNvPicPr>
                  </pic:nvPicPr>
                  <pic:blipFill>
                    <a:blip r:embed="rId19"/>
                    <a:stretch>
                      <a:fillRect/>
                    </a:stretch>
                  </pic:blipFill>
                  <pic:spPr>
                    <a:xfrm>
                      <a:off x="0" y="0"/>
                      <a:ext cx="5271135" cy="8776970"/>
                    </a:xfrm>
                    <a:prstGeom prst="rect">
                      <a:avLst/>
                    </a:prstGeom>
                  </pic:spPr>
                </pic:pic>
              </a:graphicData>
            </a:graphic>
          </wp:inline>
        </w:drawing>
      </w:r>
    </w:p>
    <w:p w14:paraId="289B3E82">
      <w:pPr>
        <w:adjustRightInd w:val="0"/>
        <w:snapToGrid w:val="0"/>
        <w:jc w:val="center"/>
        <w:rPr>
          <w:rFonts w:ascii="楷体_GB2312" w:eastAsia="楷体_GB2312"/>
          <w:color w:val="auto"/>
          <w:sz w:val="36"/>
          <w:szCs w:val="36"/>
        </w:rPr>
      </w:pPr>
      <w:r>
        <w:rPr>
          <w:rFonts w:hint="eastAsia" w:ascii="楷体_GB2312" w:eastAsia="楷体_GB2312"/>
          <w:color w:val="auto"/>
          <w:sz w:val="36"/>
          <w:szCs w:val="36"/>
        </w:rPr>
        <w:t>目录</w:t>
      </w:r>
    </w:p>
    <w:p w14:paraId="4CD3ABBE">
      <w:pPr>
        <w:pStyle w:val="19"/>
        <w:tabs>
          <w:tab w:val="right" w:leader="dot" w:pos="8296"/>
        </w:tabs>
        <w:spacing w:line="360" w:lineRule="auto"/>
        <w:rPr>
          <w:rFonts w:ascii="Calibri" w:hAnsi="Calibri"/>
          <w:color w:val="auto"/>
          <w:sz w:val="24"/>
        </w:rPr>
      </w:pPr>
      <w:r>
        <w:rPr>
          <w:color w:val="auto"/>
        </w:rPr>
        <w:fldChar w:fldCharType="begin"/>
      </w:r>
      <w:r>
        <w:rPr>
          <w:color w:val="auto"/>
        </w:rPr>
        <w:instrText xml:space="preserve"> TOC \o "1-3" \h \z \u </w:instrText>
      </w:r>
      <w:r>
        <w:rPr>
          <w:color w:val="auto"/>
        </w:rPr>
        <w:fldChar w:fldCharType="separate"/>
      </w:r>
      <w:r>
        <w:rPr>
          <w:color w:val="auto"/>
        </w:rPr>
        <w:fldChar w:fldCharType="begin"/>
      </w:r>
      <w:r>
        <w:rPr>
          <w:color w:val="auto"/>
        </w:rPr>
        <w:instrText xml:space="preserve"> HYPERLINK \l "_Toc85201449" </w:instrText>
      </w:r>
      <w:r>
        <w:rPr>
          <w:color w:val="auto"/>
        </w:rPr>
        <w:fldChar w:fldCharType="separate"/>
      </w:r>
      <w:r>
        <w:rPr>
          <w:rStyle w:val="32"/>
          <w:rFonts w:hint="eastAsia" w:ascii="黑体" w:hAnsi="黑体" w:eastAsia="黑体"/>
          <w:snapToGrid w:val="0"/>
          <w:color w:val="auto"/>
          <w:sz w:val="24"/>
        </w:rPr>
        <w:t>一、建设项目基本情况</w:t>
      </w:r>
      <w:r>
        <w:rPr>
          <w:color w:val="auto"/>
          <w:sz w:val="24"/>
        </w:rPr>
        <w:tab/>
      </w:r>
      <w:r>
        <w:rPr>
          <w:color w:val="auto"/>
          <w:sz w:val="24"/>
        </w:rPr>
        <w:fldChar w:fldCharType="begin"/>
      </w:r>
      <w:r>
        <w:rPr>
          <w:color w:val="auto"/>
          <w:sz w:val="24"/>
        </w:rPr>
        <w:instrText xml:space="preserve"> PAGEREF _Toc85201449 \h </w:instrText>
      </w:r>
      <w:r>
        <w:rPr>
          <w:color w:val="auto"/>
          <w:sz w:val="24"/>
        </w:rPr>
        <w:fldChar w:fldCharType="separate"/>
      </w:r>
      <w:r>
        <w:rPr>
          <w:color w:val="auto"/>
          <w:sz w:val="24"/>
        </w:rPr>
        <w:t>1</w:t>
      </w:r>
      <w:r>
        <w:rPr>
          <w:color w:val="auto"/>
          <w:sz w:val="24"/>
        </w:rPr>
        <w:fldChar w:fldCharType="end"/>
      </w:r>
      <w:r>
        <w:rPr>
          <w:color w:val="auto"/>
          <w:sz w:val="24"/>
        </w:rPr>
        <w:fldChar w:fldCharType="end"/>
      </w:r>
    </w:p>
    <w:p w14:paraId="429FD26A">
      <w:pPr>
        <w:pStyle w:val="19"/>
        <w:tabs>
          <w:tab w:val="right" w:leader="dot" w:pos="8296"/>
        </w:tabs>
        <w:spacing w:line="360" w:lineRule="auto"/>
        <w:rPr>
          <w:rFonts w:ascii="Calibri" w:hAnsi="Calibri"/>
          <w:color w:val="auto"/>
          <w:sz w:val="24"/>
        </w:rPr>
      </w:pPr>
      <w:r>
        <w:rPr>
          <w:color w:val="auto"/>
        </w:rPr>
        <w:fldChar w:fldCharType="begin"/>
      </w:r>
      <w:r>
        <w:rPr>
          <w:color w:val="auto"/>
        </w:rPr>
        <w:instrText xml:space="preserve"> HYPERLINK \l "_Toc85201450" </w:instrText>
      </w:r>
      <w:r>
        <w:rPr>
          <w:color w:val="auto"/>
        </w:rPr>
        <w:fldChar w:fldCharType="separate"/>
      </w:r>
      <w:r>
        <w:rPr>
          <w:rStyle w:val="32"/>
          <w:rFonts w:hint="eastAsia" w:ascii="黑体" w:hAnsi="黑体" w:eastAsia="黑体"/>
          <w:snapToGrid w:val="0"/>
          <w:color w:val="auto"/>
          <w:sz w:val="24"/>
        </w:rPr>
        <w:t>二、建设内容</w:t>
      </w:r>
      <w:r>
        <w:rPr>
          <w:color w:val="auto"/>
          <w:sz w:val="24"/>
        </w:rPr>
        <w:tab/>
      </w:r>
      <w:r>
        <w:rPr>
          <w:color w:val="auto"/>
          <w:sz w:val="24"/>
        </w:rPr>
        <w:fldChar w:fldCharType="begin"/>
      </w:r>
      <w:r>
        <w:rPr>
          <w:color w:val="auto"/>
          <w:sz w:val="24"/>
        </w:rPr>
        <w:instrText xml:space="preserve"> PAGEREF _Toc85201450 \h </w:instrText>
      </w:r>
      <w:r>
        <w:rPr>
          <w:color w:val="auto"/>
          <w:sz w:val="24"/>
        </w:rPr>
        <w:fldChar w:fldCharType="separate"/>
      </w:r>
      <w:r>
        <w:rPr>
          <w:color w:val="auto"/>
          <w:sz w:val="24"/>
        </w:rPr>
        <w:t>15</w:t>
      </w:r>
      <w:r>
        <w:rPr>
          <w:color w:val="auto"/>
          <w:sz w:val="24"/>
        </w:rPr>
        <w:fldChar w:fldCharType="end"/>
      </w:r>
      <w:r>
        <w:rPr>
          <w:color w:val="auto"/>
          <w:sz w:val="24"/>
        </w:rPr>
        <w:fldChar w:fldCharType="end"/>
      </w:r>
    </w:p>
    <w:p w14:paraId="73B09062">
      <w:pPr>
        <w:pStyle w:val="19"/>
        <w:tabs>
          <w:tab w:val="right" w:leader="dot" w:pos="8296"/>
        </w:tabs>
        <w:spacing w:line="360" w:lineRule="auto"/>
        <w:rPr>
          <w:rFonts w:ascii="Calibri" w:hAnsi="Calibri"/>
          <w:color w:val="auto"/>
          <w:sz w:val="24"/>
        </w:rPr>
      </w:pPr>
      <w:r>
        <w:rPr>
          <w:color w:val="auto"/>
        </w:rPr>
        <w:fldChar w:fldCharType="begin"/>
      </w:r>
      <w:r>
        <w:rPr>
          <w:color w:val="auto"/>
        </w:rPr>
        <w:instrText xml:space="preserve"> HYPERLINK \l "_Toc85201451" </w:instrText>
      </w:r>
      <w:r>
        <w:rPr>
          <w:color w:val="auto"/>
        </w:rPr>
        <w:fldChar w:fldCharType="separate"/>
      </w:r>
      <w:r>
        <w:rPr>
          <w:rStyle w:val="32"/>
          <w:rFonts w:hint="eastAsia" w:ascii="黑体" w:hAnsi="黑体" w:eastAsia="黑体"/>
          <w:snapToGrid w:val="0"/>
          <w:color w:val="auto"/>
          <w:sz w:val="24"/>
        </w:rPr>
        <w:t>三、生态环境现状、保护目标及评价标准</w:t>
      </w:r>
      <w:r>
        <w:rPr>
          <w:color w:val="auto"/>
          <w:sz w:val="24"/>
        </w:rPr>
        <w:tab/>
      </w:r>
      <w:r>
        <w:rPr>
          <w:color w:val="auto"/>
          <w:sz w:val="24"/>
        </w:rPr>
        <w:fldChar w:fldCharType="begin"/>
      </w:r>
      <w:r>
        <w:rPr>
          <w:color w:val="auto"/>
          <w:sz w:val="24"/>
        </w:rPr>
        <w:instrText xml:space="preserve"> PAGEREF _Toc85201451 \h </w:instrText>
      </w:r>
      <w:r>
        <w:rPr>
          <w:color w:val="auto"/>
          <w:sz w:val="24"/>
        </w:rPr>
        <w:fldChar w:fldCharType="separate"/>
      </w:r>
      <w:r>
        <w:rPr>
          <w:color w:val="auto"/>
          <w:sz w:val="24"/>
        </w:rPr>
        <w:t>37</w:t>
      </w:r>
      <w:r>
        <w:rPr>
          <w:color w:val="auto"/>
          <w:sz w:val="24"/>
        </w:rPr>
        <w:fldChar w:fldCharType="end"/>
      </w:r>
      <w:r>
        <w:rPr>
          <w:color w:val="auto"/>
          <w:sz w:val="24"/>
        </w:rPr>
        <w:fldChar w:fldCharType="end"/>
      </w:r>
    </w:p>
    <w:p w14:paraId="59F75659">
      <w:pPr>
        <w:pStyle w:val="19"/>
        <w:tabs>
          <w:tab w:val="right" w:leader="dot" w:pos="8296"/>
        </w:tabs>
        <w:spacing w:line="360" w:lineRule="auto"/>
        <w:rPr>
          <w:rFonts w:ascii="Calibri" w:hAnsi="Calibri"/>
          <w:color w:val="auto"/>
          <w:sz w:val="24"/>
        </w:rPr>
      </w:pPr>
      <w:r>
        <w:rPr>
          <w:color w:val="auto"/>
        </w:rPr>
        <w:fldChar w:fldCharType="begin"/>
      </w:r>
      <w:r>
        <w:rPr>
          <w:color w:val="auto"/>
        </w:rPr>
        <w:instrText xml:space="preserve"> HYPERLINK \l "_Toc85201452" </w:instrText>
      </w:r>
      <w:r>
        <w:rPr>
          <w:color w:val="auto"/>
        </w:rPr>
        <w:fldChar w:fldCharType="separate"/>
      </w:r>
      <w:r>
        <w:rPr>
          <w:rStyle w:val="32"/>
          <w:rFonts w:hint="eastAsia" w:ascii="黑体" w:hAnsi="黑体" w:eastAsia="黑体"/>
          <w:snapToGrid w:val="0"/>
          <w:color w:val="auto"/>
          <w:sz w:val="24"/>
        </w:rPr>
        <w:t>四、生态环境影响分析</w:t>
      </w:r>
      <w:r>
        <w:rPr>
          <w:color w:val="auto"/>
          <w:sz w:val="24"/>
        </w:rPr>
        <w:tab/>
      </w:r>
      <w:r>
        <w:rPr>
          <w:color w:val="auto"/>
          <w:sz w:val="24"/>
        </w:rPr>
        <w:fldChar w:fldCharType="begin"/>
      </w:r>
      <w:r>
        <w:rPr>
          <w:color w:val="auto"/>
          <w:sz w:val="24"/>
        </w:rPr>
        <w:instrText xml:space="preserve"> PAGEREF _Toc85201452 \h </w:instrText>
      </w:r>
      <w:r>
        <w:rPr>
          <w:color w:val="auto"/>
          <w:sz w:val="24"/>
        </w:rPr>
        <w:fldChar w:fldCharType="separate"/>
      </w:r>
      <w:r>
        <w:rPr>
          <w:color w:val="auto"/>
          <w:sz w:val="24"/>
        </w:rPr>
        <w:t>54</w:t>
      </w:r>
      <w:r>
        <w:rPr>
          <w:color w:val="auto"/>
          <w:sz w:val="24"/>
        </w:rPr>
        <w:fldChar w:fldCharType="end"/>
      </w:r>
      <w:r>
        <w:rPr>
          <w:color w:val="auto"/>
          <w:sz w:val="24"/>
        </w:rPr>
        <w:fldChar w:fldCharType="end"/>
      </w:r>
    </w:p>
    <w:p w14:paraId="273DD5C3">
      <w:pPr>
        <w:pStyle w:val="19"/>
        <w:tabs>
          <w:tab w:val="right" w:leader="dot" w:pos="8296"/>
        </w:tabs>
        <w:spacing w:line="360" w:lineRule="auto"/>
        <w:rPr>
          <w:rFonts w:ascii="Calibri" w:hAnsi="Calibri"/>
          <w:color w:val="auto"/>
          <w:sz w:val="24"/>
        </w:rPr>
      </w:pPr>
      <w:r>
        <w:rPr>
          <w:color w:val="auto"/>
        </w:rPr>
        <w:fldChar w:fldCharType="begin"/>
      </w:r>
      <w:r>
        <w:rPr>
          <w:color w:val="auto"/>
        </w:rPr>
        <w:instrText xml:space="preserve"> HYPERLINK \l "_Toc85201453" </w:instrText>
      </w:r>
      <w:r>
        <w:rPr>
          <w:color w:val="auto"/>
        </w:rPr>
        <w:fldChar w:fldCharType="separate"/>
      </w:r>
      <w:r>
        <w:rPr>
          <w:rStyle w:val="32"/>
          <w:rFonts w:hint="eastAsia" w:ascii="黑体" w:hAnsi="黑体" w:eastAsia="黑体"/>
          <w:snapToGrid w:val="0"/>
          <w:color w:val="auto"/>
          <w:sz w:val="24"/>
        </w:rPr>
        <w:t>五、主要生态环境保护措施</w:t>
      </w:r>
      <w:r>
        <w:rPr>
          <w:color w:val="auto"/>
          <w:sz w:val="24"/>
        </w:rPr>
        <w:tab/>
      </w:r>
      <w:r>
        <w:rPr>
          <w:color w:val="auto"/>
          <w:sz w:val="24"/>
        </w:rPr>
        <w:fldChar w:fldCharType="begin"/>
      </w:r>
      <w:r>
        <w:rPr>
          <w:color w:val="auto"/>
          <w:sz w:val="24"/>
        </w:rPr>
        <w:instrText xml:space="preserve"> PAGEREF _Toc85201453 \h </w:instrText>
      </w:r>
      <w:r>
        <w:rPr>
          <w:color w:val="auto"/>
          <w:sz w:val="24"/>
        </w:rPr>
        <w:fldChar w:fldCharType="separate"/>
      </w:r>
      <w:r>
        <w:rPr>
          <w:color w:val="auto"/>
          <w:sz w:val="24"/>
        </w:rPr>
        <w:t>67</w:t>
      </w:r>
      <w:r>
        <w:rPr>
          <w:color w:val="auto"/>
          <w:sz w:val="24"/>
        </w:rPr>
        <w:fldChar w:fldCharType="end"/>
      </w:r>
      <w:r>
        <w:rPr>
          <w:color w:val="auto"/>
          <w:sz w:val="24"/>
        </w:rPr>
        <w:fldChar w:fldCharType="end"/>
      </w:r>
    </w:p>
    <w:p w14:paraId="48757E9D">
      <w:pPr>
        <w:pStyle w:val="19"/>
        <w:tabs>
          <w:tab w:val="right" w:leader="dot" w:pos="8296"/>
        </w:tabs>
        <w:spacing w:line="360" w:lineRule="auto"/>
        <w:rPr>
          <w:rFonts w:ascii="Calibri" w:hAnsi="Calibri"/>
          <w:color w:val="auto"/>
          <w:sz w:val="24"/>
        </w:rPr>
      </w:pPr>
      <w:r>
        <w:rPr>
          <w:color w:val="auto"/>
        </w:rPr>
        <w:fldChar w:fldCharType="begin"/>
      </w:r>
      <w:r>
        <w:rPr>
          <w:color w:val="auto"/>
        </w:rPr>
        <w:instrText xml:space="preserve"> HYPERLINK \l "_Toc85201454" </w:instrText>
      </w:r>
      <w:r>
        <w:rPr>
          <w:color w:val="auto"/>
        </w:rPr>
        <w:fldChar w:fldCharType="separate"/>
      </w:r>
      <w:r>
        <w:rPr>
          <w:rStyle w:val="32"/>
          <w:rFonts w:hint="eastAsia" w:ascii="黑体" w:hAnsi="黑体" w:eastAsia="黑体"/>
          <w:color w:val="auto"/>
          <w:sz w:val="24"/>
        </w:rPr>
        <w:t>六、生态环境保护措施监督检查清单</w:t>
      </w:r>
      <w:r>
        <w:rPr>
          <w:color w:val="auto"/>
          <w:sz w:val="24"/>
        </w:rPr>
        <w:tab/>
      </w:r>
      <w:r>
        <w:rPr>
          <w:color w:val="auto"/>
          <w:sz w:val="24"/>
        </w:rPr>
        <w:fldChar w:fldCharType="begin"/>
      </w:r>
      <w:r>
        <w:rPr>
          <w:color w:val="auto"/>
          <w:sz w:val="24"/>
        </w:rPr>
        <w:instrText xml:space="preserve"> PAGEREF _Toc85201454 \h </w:instrText>
      </w:r>
      <w:r>
        <w:rPr>
          <w:color w:val="auto"/>
          <w:sz w:val="24"/>
        </w:rPr>
        <w:fldChar w:fldCharType="separate"/>
      </w:r>
      <w:r>
        <w:rPr>
          <w:color w:val="auto"/>
          <w:sz w:val="24"/>
        </w:rPr>
        <w:t>75</w:t>
      </w:r>
      <w:r>
        <w:rPr>
          <w:color w:val="auto"/>
          <w:sz w:val="24"/>
        </w:rPr>
        <w:fldChar w:fldCharType="end"/>
      </w:r>
      <w:r>
        <w:rPr>
          <w:color w:val="auto"/>
          <w:sz w:val="24"/>
        </w:rPr>
        <w:fldChar w:fldCharType="end"/>
      </w:r>
    </w:p>
    <w:p w14:paraId="53AA7225">
      <w:pPr>
        <w:pStyle w:val="19"/>
        <w:tabs>
          <w:tab w:val="right" w:leader="dot" w:pos="8296"/>
        </w:tabs>
        <w:spacing w:line="360" w:lineRule="auto"/>
        <w:rPr>
          <w:rFonts w:ascii="Calibri" w:hAnsi="Calibri"/>
          <w:color w:val="auto"/>
          <w:sz w:val="24"/>
        </w:rPr>
      </w:pPr>
      <w:r>
        <w:rPr>
          <w:color w:val="auto"/>
        </w:rPr>
        <w:fldChar w:fldCharType="begin"/>
      </w:r>
      <w:r>
        <w:rPr>
          <w:color w:val="auto"/>
        </w:rPr>
        <w:instrText xml:space="preserve"> HYPERLINK \l "_Toc85201455" </w:instrText>
      </w:r>
      <w:r>
        <w:rPr>
          <w:color w:val="auto"/>
        </w:rPr>
        <w:fldChar w:fldCharType="separate"/>
      </w:r>
      <w:r>
        <w:rPr>
          <w:rStyle w:val="32"/>
          <w:rFonts w:hint="eastAsia" w:ascii="黑体" w:hAnsi="黑体" w:eastAsia="黑体"/>
          <w:color w:val="auto"/>
          <w:sz w:val="24"/>
        </w:rPr>
        <w:t>七、结论</w:t>
      </w:r>
      <w:r>
        <w:rPr>
          <w:color w:val="auto"/>
          <w:sz w:val="24"/>
        </w:rPr>
        <w:tab/>
      </w:r>
      <w:r>
        <w:rPr>
          <w:color w:val="auto"/>
          <w:sz w:val="24"/>
        </w:rPr>
        <w:fldChar w:fldCharType="begin"/>
      </w:r>
      <w:r>
        <w:rPr>
          <w:color w:val="auto"/>
          <w:sz w:val="24"/>
        </w:rPr>
        <w:instrText xml:space="preserve"> PAGEREF _Toc85201455 \h </w:instrText>
      </w:r>
      <w:r>
        <w:rPr>
          <w:color w:val="auto"/>
          <w:sz w:val="24"/>
        </w:rPr>
        <w:fldChar w:fldCharType="separate"/>
      </w:r>
      <w:r>
        <w:rPr>
          <w:color w:val="auto"/>
          <w:sz w:val="24"/>
        </w:rPr>
        <w:t>78</w:t>
      </w:r>
      <w:r>
        <w:rPr>
          <w:color w:val="auto"/>
          <w:sz w:val="24"/>
        </w:rPr>
        <w:fldChar w:fldCharType="end"/>
      </w:r>
      <w:r>
        <w:rPr>
          <w:color w:val="auto"/>
          <w:sz w:val="24"/>
        </w:rPr>
        <w:fldChar w:fldCharType="end"/>
      </w:r>
    </w:p>
    <w:p w14:paraId="52E4E393">
      <w:pPr>
        <w:pStyle w:val="19"/>
        <w:tabs>
          <w:tab w:val="right" w:leader="dot" w:pos="8296"/>
        </w:tabs>
        <w:spacing w:line="360" w:lineRule="auto"/>
        <w:rPr>
          <w:rFonts w:ascii="Calibri" w:hAnsi="Calibri"/>
          <w:color w:val="auto"/>
          <w:sz w:val="24"/>
        </w:rPr>
      </w:pPr>
      <w:r>
        <w:rPr>
          <w:color w:val="auto"/>
        </w:rPr>
        <w:fldChar w:fldCharType="begin"/>
      </w:r>
      <w:r>
        <w:rPr>
          <w:color w:val="auto"/>
        </w:rPr>
        <w:instrText xml:space="preserve"> HYPERLINK \l "_Toc85201456" </w:instrText>
      </w:r>
      <w:r>
        <w:rPr>
          <w:color w:val="auto"/>
        </w:rPr>
        <w:fldChar w:fldCharType="separate"/>
      </w:r>
      <w:r>
        <w:rPr>
          <w:rStyle w:val="32"/>
          <w:rFonts w:hint="eastAsia" w:ascii="黑体" w:hAnsi="黑体" w:eastAsia="黑体"/>
          <w:color w:val="auto"/>
          <w:sz w:val="24"/>
        </w:rPr>
        <w:t>附表</w:t>
      </w:r>
      <w:r>
        <w:rPr>
          <w:color w:val="auto"/>
          <w:sz w:val="24"/>
        </w:rPr>
        <w:tab/>
      </w:r>
      <w:r>
        <w:rPr>
          <w:color w:val="auto"/>
          <w:sz w:val="24"/>
        </w:rPr>
        <w:fldChar w:fldCharType="begin"/>
      </w:r>
      <w:r>
        <w:rPr>
          <w:color w:val="auto"/>
          <w:sz w:val="24"/>
        </w:rPr>
        <w:instrText xml:space="preserve"> PAGEREF _Toc85201456 \h </w:instrText>
      </w:r>
      <w:r>
        <w:rPr>
          <w:color w:val="auto"/>
          <w:sz w:val="24"/>
        </w:rPr>
        <w:fldChar w:fldCharType="separate"/>
      </w:r>
      <w:r>
        <w:rPr>
          <w:color w:val="auto"/>
          <w:sz w:val="24"/>
        </w:rPr>
        <w:t>79</w:t>
      </w:r>
      <w:r>
        <w:rPr>
          <w:color w:val="auto"/>
          <w:sz w:val="24"/>
        </w:rPr>
        <w:fldChar w:fldCharType="end"/>
      </w:r>
      <w:r>
        <w:rPr>
          <w:color w:val="auto"/>
          <w:sz w:val="24"/>
        </w:rPr>
        <w:fldChar w:fldCharType="end"/>
      </w:r>
    </w:p>
    <w:p w14:paraId="6851F8F8">
      <w:pPr>
        <w:pStyle w:val="26"/>
        <w:spacing w:after="0" w:line="320" w:lineRule="exact"/>
        <w:ind w:left="0" w:leftChars="0" w:firstLine="0" w:firstLineChars="0"/>
        <w:rPr>
          <w:b/>
          <w:bCs/>
          <w:color w:val="auto"/>
          <w:kern w:val="0"/>
          <w:sz w:val="24"/>
        </w:rPr>
      </w:pPr>
      <w:r>
        <w:rPr>
          <w:color w:val="auto"/>
        </w:rPr>
        <w:fldChar w:fldCharType="end"/>
      </w:r>
      <w:r>
        <w:rPr>
          <w:rFonts w:ascii="宋体" w:hAnsi="宋体"/>
          <w:b/>
          <w:bCs/>
          <w:color w:val="auto"/>
          <w:kern w:val="0"/>
          <w:sz w:val="24"/>
        </w:rPr>
        <w:t>附图</w:t>
      </w:r>
    </w:p>
    <w:p w14:paraId="6E5CCD20">
      <w:pPr>
        <w:pStyle w:val="6"/>
        <w:spacing w:line="360" w:lineRule="auto"/>
        <w:ind w:firstLine="0" w:firstLineChars="0"/>
        <w:rPr>
          <w:rFonts w:hint="default" w:ascii="Times New Roman" w:hAnsi="Times New Roman" w:cs="Times New Roman"/>
          <w:color w:val="auto"/>
          <w:kern w:val="0"/>
          <w:sz w:val="24"/>
          <w:szCs w:val="24"/>
          <w:u w:val="none"/>
        </w:rPr>
      </w:pPr>
      <w:r>
        <w:rPr>
          <w:color w:val="auto"/>
          <w:kern w:val="0"/>
          <w:sz w:val="24"/>
          <w:szCs w:val="24"/>
          <w:u w:val="none"/>
        </w:rPr>
        <w:t>附</w:t>
      </w:r>
      <w:r>
        <w:rPr>
          <w:rFonts w:hint="default" w:ascii="Times New Roman" w:hAnsi="Times New Roman" w:cs="Times New Roman"/>
          <w:color w:val="auto"/>
          <w:kern w:val="0"/>
          <w:sz w:val="24"/>
          <w:szCs w:val="24"/>
          <w:u w:val="none"/>
        </w:rPr>
        <w:t>图1   项目地理位置图</w:t>
      </w:r>
    </w:p>
    <w:p w14:paraId="56949470">
      <w:pPr>
        <w:pStyle w:val="6"/>
        <w:spacing w:line="360" w:lineRule="auto"/>
        <w:ind w:firstLine="0" w:firstLineChars="0"/>
        <w:rPr>
          <w:rFonts w:hint="default" w:ascii="Times New Roman" w:hAnsi="Times New Roman" w:cs="Times New Roman"/>
          <w:color w:val="auto"/>
          <w:kern w:val="0"/>
          <w:sz w:val="24"/>
          <w:szCs w:val="24"/>
          <w:u w:val="none"/>
        </w:rPr>
      </w:pPr>
      <w:r>
        <w:rPr>
          <w:rFonts w:hint="default" w:ascii="Times New Roman" w:hAnsi="Times New Roman" w:cs="Times New Roman"/>
          <w:color w:val="auto"/>
          <w:kern w:val="0"/>
          <w:sz w:val="24"/>
          <w:szCs w:val="24"/>
          <w:u w:val="none"/>
        </w:rPr>
        <w:t>附图2   项目现场图</w:t>
      </w:r>
    </w:p>
    <w:p w14:paraId="541A4F22">
      <w:pPr>
        <w:spacing w:line="360" w:lineRule="auto"/>
        <w:rPr>
          <w:rFonts w:hint="eastAsia" w:cs="Times New Roman"/>
          <w:color w:val="auto"/>
          <w:kern w:val="0"/>
          <w:sz w:val="24"/>
          <w:szCs w:val="24"/>
          <w:u w:val="none"/>
          <w:lang w:val="en-US" w:eastAsia="zh-CN"/>
        </w:rPr>
      </w:pPr>
      <w:r>
        <w:rPr>
          <w:rFonts w:hint="eastAsia" w:cs="Times New Roman"/>
          <w:color w:val="auto"/>
          <w:kern w:val="0"/>
          <w:sz w:val="24"/>
          <w:szCs w:val="24"/>
          <w:u w:val="none"/>
          <w:lang w:eastAsia="zh-CN"/>
        </w:rPr>
        <w:t>附图</w:t>
      </w:r>
      <w:r>
        <w:rPr>
          <w:rFonts w:hint="eastAsia" w:cs="Times New Roman"/>
          <w:color w:val="auto"/>
          <w:kern w:val="0"/>
          <w:sz w:val="24"/>
          <w:szCs w:val="24"/>
          <w:u w:val="none"/>
          <w:lang w:val="en-US" w:eastAsia="zh-CN"/>
        </w:rPr>
        <w:t>3   项目总平面布置图</w:t>
      </w:r>
    </w:p>
    <w:p w14:paraId="31497E7F">
      <w:pPr>
        <w:spacing w:line="360" w:lineRule="auto"/>
        <w:rPr>
          <w:rFonts w:hint="default" w:eastAsia="宋体"/>
          <w:color w:val="auto"/>
          <w:u w:val="single"/>
          <w:lang w:val="en-US" w:eastAsia="zh-CN"/>
        </w:rPr>
      </w:pPr>
      <w:r>
        <w:rPr>
          <w:rFonts w:hint="eastAsia" w:cs="Times New Roman"/>
          <w:color w:val="auto"/>
          <w:kern w:val="0"/>
          <w:sz w:val="24"/>
          <w:szCs w:val="24"/>
          <w:u w:val="single"/>
          <w:lang w:val="en-US" w:eastAsia="zh-CN"/>
        </w:rPr>
        <w:t>附图4  项目临建设施布置图</w:t>
      </w:r>
    </w:p>
    <w:p w14:paraId="594351CE">
      <w:pPr>
        <w:pStyle w:val="6"/>
        <w:spacing w:line="360" w:lineRule="auto"/>
        <w:ind w:firstLine="0" w:firstLineChars="0"/>
        <w:rPr>
          <w:rFonts w:hint="default" w:ascii="Times New Roman" w:hAnsi="Times New Roman" w:cs="Times New Roman"/>
          <w:color w:val="auto"/>
          <w:kern w:val="0"/>
          <w:sz w:val="24"/>
          <w:szCs w:val="24"/>
          <w:u w:val="none"/>
        </w:rPr>
      </w:pPr>
      <w:r>
        <w:rPr>
          <w:rFonts w:hint="default" w:ascii="Times New Roman" w:hAnsi="Times New Roman" w:cs="Times New Roman"/>
          <w:color w:val="auto"/>
          <w:kern w:val="0"/>
          <w:sz w:val="24"/>
          <w:szCs w:val="24"/>
          <w:u w:val="none"/>
        </w:rPr>
        <w:t>附图</w:t>
      </w:r>
      <w:r>
        <w:rPr>
          <w:rFonts w:hint="eastAsia" w:cs="Times New Roman"/>
          <w:color w:val="auto"/>
          <w:kern w:val="0"/>
          <w:sz w:val="24"/>
          <w:szCs w:val="24"/>
          <w:u w:val="none"/>
          <w:lang w:val="en-US" w:eastAsia="zh-CN"/>
        </w:rPr>
        <w:t>6</w:t>
      </w:r>
      <w:r>
        <w:rPr>
          <w:rFonts w:hint="default" w:ascii="Times New Roman" w:hAnsi="Times New Roman" w:cs="Times New Roman"/>
          <w:color w:val="auto"/>
          <w:kern w:val="0"/>
          <w:sz w:val="24"/>
          <w:szCs w:val="24"/>
          <w:u w:val="none"/>
        </w:rPr>
        <w:t xml:space="preserve">   项目环境保护目标分布图</w:t>
      </w:r>
    </w:p>
    <w:p w14:paraId="79CD45F7">
      <w:pPr>
        <w:pStyle w:val="6"/>
        <w:spacing w:line="360" w:lineRule="auto"/>
        <w:ind w:firstLine="0" w:firstLineChars="0"/>
        <w:rPr>
          <w:rFonts w:hint="eastAsia" w:ascii="Times New Roman" w:hAnsi="Times New Roman" w:eastAsia="宋体" w:cs="Times New Roman"/>
          <w:color w:val="auto"/>
          <w:kern w:val="0"/>
          <w:sz w:val="24"/>
          <w:szCs w:val="24"/>
          <w:u w:val="single"/>
          <w:lang w:val="en-US" w:eastAsia="zh-CN"/>
        </w:rPr>
      </w:pPr>
      <w:r>
        <w:rPr>
          <w:rFonts w:hint="default" w:ascii="Times New Roman" w:hAnsi="Times New Roman" w:cs="Times New Roman"/>
          <w:color w:val="auto"/>
          <w:kern w:val="0"/>
          <w:sz w:val="24"/>
          <w:szCs w:val="24"/>
          <w:u w:val="single"/>
        </w:rPr>
        <w:t>附图</w:t>
      </w:r>
      <w:r>
        <w:rPr>
          <w:rFonts w:hint="eastAsia" w:cs="Times New Roman"/>
          <w:color w:val="auto"/>
          <w:kern w:val="0"/>
          <w:sz w:val="24"/>
          <w:szCs w:val="24"/>
          <w:u w:val="single"/>
          <w:lang w:val="en-US" w:eastAsia="zh-CN"/>
        </w:rPr>
        <w:t>6</w:t>
      </w:r>
      <w:r>
        <w:rPr>
          <w:rFonts w:hint="default" w:ascii="Times New Roman" w:hAnsi="Times New Roman" w:cs="Times New Roman"/>
          <w:color w:val="auto"/>
          <w:kern w:val="0"/>
          <w:sz w:val="24"/>
          <w:szCs w:val="24"/>
          <w:u w:val="single"/>
          <w:lang w:val="en-US" w:eastAsia="zh-CN"/>
        </w:rPr>
        <w:t xml:space="preserve">  </w:t>
      </w:r>
      <w:r>
        <w:rPr>
          <w:rFonts w:hint="default" w:ascii="Times New Roman" w:hAnsi="Times New Roman" w:cs="Times New Roman"/>
          <w:color w:val="auto"/>
          <w:kern w:val="0"/>
          <w:sz w:val="24"/>
          <w:szCs w:val="24"/>
          <w:u w:val="single"/>
        </w:rPr>
        <w:t xml:space="preserve"> 项目监测点位图</w:t>
      </w:r>
    </w:p>
    <w:p w14:paraId="2AFFEAD5">
      <w:pPr>
        <w:pStyle w:val="6"/>
        <w:spacing w:line="360" w:lineRule="auto"/>
        <w:ind w:firstLine="0" w:firstLineChars="0"/>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szCs w:val="24"/>
          <w:u w:val="none"/>
        </w:rPr>
        <w:t>附图</w:t>
      </w:r>
      <w:r>
        <w:rPr>
          <w:rFonts w:hint="eastAsia" w:cs="Times New Roman"/>
          <w:color w:val="auto"/>
          <w:kern w:val="0"/>
          <w:sz w:val="24"/>
          <w:szCs w:val="24"/>
          <w:u w:val="none"/>
          <w:lang w:val="en-US" w:eastAsia="zh-CN"/>
        </w:rPr>
        <w:t>7</w:t>
      </w:r>
      <w:r>
        <w:rPr>
          <w:rFonts w:hint="default" w:ascii="Times New Roman" w:hAnsi="Times New Roman" w:cs="Times New Roman"/>
          <w:color w:val="auto"/>
          <w:kern w:val="0"/>
          <w:sz w:val="24"/>
          <w:szCs w:val="24"/>
          <w:u w:val="none"/>
        </w:rPr>
        <w:t xml:space="preserve">   </w:t>
      </w:r>
      <w:r>
        <w:rPr>
          <w:rFonts w:hint="default" w:ascii="Times New Roman" w:hAnsi="Times New Roman" w:cs="Times New Roman"/>
          <w:color w:val="auto"/>
          <w:kern w:val="0"/>
          <w:sz w:val="24"/>
          <w:u w:val="none"/>
        </w:rPr>
        <w:t>项目区域水系图</w:t>
      </w:r>
    </w:p>
    <w:p w14:paraId="49C5CD36">
      <w:pPr>
        <w:spacing w:line="360" w:lineRule="auto"/>
        <w:rPr>
          <w:rFonts w:hint="eastAsia" w:cs="Times New Roman"/>
          <w:color w:val="auto"/>
          <w:kern w:val="0"/>
          <w:sz w:val="24"/>
          <w:u w:val="none"/>
          <w:lang w:val="en-US" w:eastAsia="zh-CN"/>
        </w:rPr>
      </w:pPr>
      <w:r>
        <w:rPr>
          <w:rFonts w:hint="eastAsia" w:cs="Times New Roman"/>
          <w:color w:val="auto"/>
          <w:kern w:val="0"/>
          <w:sz w:val="24"/>
          <w:u w:val="none"/>
          <w:lang w:val="en-US" w:eastAsia="zh-CN"/>
        </w:rPr>
        <w:t>附图8   项目工程技施设计图</w:t>
      </w:r>
    </w:p>
    <w:p w14:paraId="5B931493">
      <w:pPr>
        <w:spacing w:line="360" w:lineRule="auto"/>
        <w:rPr>
          <w:rFonts w:ascii="宋体" w:hAnsi="宋体"/>
          <w:b/>
          <w:bCs/>
          <w:color w:val="auto"/>
          <w:kern w:val="0"/>
          <w:sz w:val="24"/>
          <w:u w:val="none"/>
        </w:rPr>
      </w:pPr>
      <w:r>
        <w:rPr>
          <w:rFonts w:ascii="宋体" w:hAnsi="宋体"/>
          <w:b/>
          <w:bCs/>
          <w:color w:val="auto"/>
          <w:kern w:val="0"/>
          <w:sz w:val="24"/>
          <w:u w:val="none"/>
        </w:rPr>
        <w:t>附件</w:t>
      </w:r>
    </w:p>
    <w:p w14:paraId="5156EB02">
      <w:pPr>
        <w:spacing w:line="360" w:lineRule="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附件1  环评委托书</w:t>
      </w:r>
    </w:p>
    <w:p w14:paraId="36E62240">
      <w:pPr>
        <w:spacing w:line="360" w:lineRule="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附件2  临湘市人民政府关于本项目的政府常务会议决议书</w:t>
      </w:r>
    </w:p>
    <w:p w14:paraId="4B72DBAA">
      <w:pPr>
        <w:spacing w:line="360" w:lineRule="auto"/>
        <w:rPr>
          <w:rFonts w:hint="eastAsia"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rPr>
        <w:t xml:space="preserve">附件3  </w:t>
      </w:r>
      <w:r>
        <w:rPr>
          <w:rFonts w:hint="eastAsia" w:cs="Times New Roman"/>
          <w:color w:val="auto"/>
          <w:sz w:val="24"/>
          <w:szCs w:val="24"/>
          <w:u w:val="none"/>
          <w:lang w:val="en-US" w:eastAsia="zh-CN"/>
        </w:rPr>
        <w:t>临湘市发改局关于本</w:t>
      </w:r>
      <w:r>
        <w:rPr>
          <w:rFonts w:hint="default" w:ascii="Times New Roman" w:hAnsi="Times New Roman" w:eastAsia="宋体" w:cs="Times New Roman"/>
          <w:color w:val="auto"/>
          <w:sz w:val="24"/>
          <w:szCs w:val="24"/>
          <w:u w:val="none"/>
        </w:rPr>
        <w:t>项目可行性研究</w:t>
      </w:r>
      <w:r>
        <w:rPr>
          <w:rFonts w:hint="eastAsia" w:cs="Times New Roman"/>
          <w:color w:val="auto"/>
          <w:sz w:val="24"/>
          <w:szCs w:val="24"/>
          <w:u w:val="none"/>
          <w:lang w:val="en-US" w:eastAsia="zh-CN"/>
        </w:rPr>
        <w:t>的</w:t>
      </w:r>
      <w:r>
        <w:rPr>
          <w:rFonts w:hint="default" w:ascii="Times New Roman" w:hAnsi="Times New Roman" w:eastAsia="宋体" w:cs="Times New Roman"/>
          <w:color w:val="auto"/>
          <w:sz w:val="24"/>
          <w:szCs w:val="24"/>
          <w:u w:val="none"/>
        </w:rPr>
        <w:t>批复</w:t>
      </w:r>
    </w:p>
    <w:p w14:paraId="4B270424">
      <w:pPr>
        <w:spacing w:line="360" w:lineRule="auto"/>
        <w:rPr>
          <w:rFonts w:hint="default" w:ascii="Times New Roman" w:hAnsi="Times New Roman" w:eastAsia="宋体" w:cs="Times New Roman"/>
          <w:color w:val="auto"/>
          <w:sz w:val="24"/>
          <w:szCs w:val="24"/>
          <w:u w:val="none"/>
          <w:lang w:eastAsia="zh-CN"/>
        </w:rPr>
      </w:pPr>
      <w:r>
        <w:rPr>
          <w:rFonts w:hint="default" w:ascii="Times New Roman" w:hAnsi="Times New Roman" w:eastAsia="宋体" w:cs="Times New Roman"/>
          <w:color w:val="auto"/>
          <w:sz w:val="24"/>
          <w:szCs w:val="24"/>
          <w:u w:val="none"/>
        </w:rPr>
        <w:t>附件</w:t>
      </w:r>
      <w:r>
        <w:rPr>
          <w:rFonts w:hint="default" w:ascii="Times New Roman" w:hAnsi="Times New Roman" w:eastAsia="宋体" w:cs="Times New Roman"/>
          <w:color w:val="auto"/>
          <w:sz w:val="24"/>
          <w:szCs w:val="24"/>
          <w:u w:val="none"/>
          <w:lang w:val="en-US" w:eastAsia="zh-CN"/>
        </w:rPr>
        <w:t>4</w:t>
      </w:r>
      <w:r>
        <w:rPr>
          <w:rFonts w:hint="default" w:ascii="Times New Roman" w:hAnsi="Times New Roman" w:eastAsia="宋体" w:cs="Times New Roman"/>
          <w:color w:val="auto"/>
          <w:sz w:val="24"/>
          <w:szCs w:val="24"/>
          <w:u w:val="none"/>
        </w:rPr>
        <w:t xml:space="preserve">  临湘市自然资源局关于本项目的初步选址意见</w:t>
      </w:r>
    </w:p>
    <w:p w14:paraId="73D49230">
      <w:pPr>
        <w:spacing w:line="360" w:lineRule="auto"/>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rPr>
        <w:t>附件</w:t>
      </w:r>
      <w:r>
        <w:rPr>
          <w:rFonts w:hint="default" w:ascii="Times New Roman" w:hAnsi="Times New Roman" w:eastAsia="宋体" w:cs="Times New Roman"/>
          <w:color w:val="auto"/>
          <w:sz w:val="24"/>
          <w:szCs w:val="24"/>
          <w:u w:val="none"/>
          <w:lang w:val="en-US" w:eastAsia="zh-CN"/>
        </w:rPr>
        <w:t>5  临湘市住建局关于本项目初步设计的批复</w:t>
      </w:r>
    </w:p>
    <w:p w14:paraId="33184BE8">
      <w:pPr>
        <w:spacing w:line="360" w:lineRule="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附件</w:t>
      </w:r>
      <w:r>
        <w:rPr>
          <w:rFonts w:hint="eastAsia" w:cs="Times New Roman"/>
          <w:color w:val="auto"/>
          <w:sz w:val="24"/>
          <w:szCs w:val="24"/>
          <w:u w:val="single"/>
          <w:lang w:val="en-US" w:eastAsia="zh-CN"/>
        </w:rPr>
        <w:t>6  临湘市国土空间规划委员会会议纪要</w:t>
      </w:r>
    </w:p>
    <w:p w14:paraId="4E153C7F">
      <w:pPr>
        <w:spacing w:line="360" w:lineRule="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附件</w:t>
      </w:r>
      <w:r>
        <w:rPr>
          <w:rFonts w:hint="eastAsia" w:cs="Times New Roman"/>
          <w:color w:val="auto"/>
          <w:sz w:val="24"/>
          <w:szCs w:val="24"/>
          <w:u w:val="single"/>
          <w:lang w:val="en-US" w:eastAsia="zh-CN"/>
        </w:rPr>
        <w:t>7  临湘市自然资源局对本项目的建设工程审批单</w:t>
      </w:r>
    </w:p>
    <w:p w14:paraId="6ED2E300">
      <w:pPr>
        <w:spacing w:line="360" w:lineRule="auto"/>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lang w:val="en-US" w:eastAsia="zh-CN"/>
        </w:rPr>
        <w:t>附件</w:t>
      </w:r>
      <w:r>
        <w:rPr>
          <w:rFonts w:hint="eastAsia" w:cs="Times New Roman"/>
          <w:color w:val="auto"/>
          <w:sz w:val="24"/>
          <w:szCs w:val="24"/>
          <w:u w:val="none"/>
          <w:lang w:val="en-US" w:eastAsia="zh-CN"/>
        </w:rPr>
        <w:t>8  项目分期说明</w:t>
      </w:r>
    </w:p>
    <w:p w14:paraId="0ED1DC4F">
      <w:pPr>
        <w:spacing w:line="360" w:lineRule="auto"/>
        <w:rPr>
          <w:rFonts w:hint="default" w:ascii="Times New Roman" w:hAnsi="Times New Roman" w:eastAsia="宋体" w:cs="Times New Roman"/>
          <w:color w:val="auto"/>
          <w:sz w:val="24"/>
          <w:szCs w:val="24"/>
          <w:u w:val="none"/>
          <w:lang w:val="en-US" w:eastAsia="zh-CN"/>
        </w:rPr>
      </w:pPr>
      <w:r>
        <w:rPr>
          <w:rFonts w:hint="eastAsia" w:cs="Times New Roman"/>
          <w:color w:val="auto"/>
          <w:sz w:val="24"/>
          <w:szCs w:val="24"/>
          <w:u w:val="none"/>
          <w:lang w:val="en-US" w:eastAsia="zh-CN"/>
        </w:rPr>
        <w:t>附件9</w:t>
      </w:r>
      <w:r>
        <w:rPr>
          <w:rFonts w:hint="default" w:ascii="Times New Roman" w:hAnsi="Times New Roman" w:eastAsia="宋体" w:cs="Times New Roman"/>
          <w:color w:val="auto"/>
          <w:sz w:val="24"/>
          <w:szCs w:val="24"/>
          <w:u w:val="none"/>
          <w:lang w:val="en-US" w:eastAsia="zh-CN"/>
        </w:rPr>
        <w:t xml:space="preserve">  </w:t>
      </w:r>
      <w:r>
        <w:rPr>
          <w:rFonts w:hint="eastAsia" w:cs="Times New Roman"/>
          <w:color w:val="auto"/>
          <w:sz w:val="24"/>
          <w:szCs w:val="24"/>
          <w:u w:val="none"/>
          <w:lang w:val="en-US" w:eastAsia="zh-CN"/>
        </w:rPr>
        <w:t>项目</w:t>
      </w:r>
      <w:r>
        <w:rPr>
          <w:rFonts w:hint="default" w:ascii="Times New Roman" w:hAnsi="Times New Roman" w:eastAsia="宋体" w:cs="Times New Roman"/>
          <w:color w:val="auto"/>
          <w:sz w:val="24"/>
          <w:szCs w:val="24"/>
          <w:u w:val="none"/>
          <w:lang w:val="en-US" w:eastAsia="zh-CN"/>
        </w:rPr>
        <w:t>淤泥处置意向协议及</w:t>
      </w:r>
      <w:r>
        <w:rPr>
          <w:rFonts w:hint="eastAsia" w:cs="Times New Roman"/>
          <w:color w:val="auto"/>
          <w:sz w:val="24"/>
          <w:szCs w:val="24"/>
          <w:u w:val="none"/>
          <w:lang w:val="en-US" w:eastAsia="zh-CN"/>
        </w:rPr>
        <w:t>意向</w:t>
      </w:r>
      <w:r>
        <w:rPr>
          <w:rFonts w:hint="default" w:ascii="Times New Roman" w:hAnsi="Times New Roman" w:eastAsia="宋体" w:cs="Times New Roman"/>
          <w:color w:val="auto"/>
          <w:sz w:val="24"/>
          <w:szCs w:val="24"/>
          <w:u w:val="none"/>
          <w:lang w:val="en-US" w:eastAsia="zh-CN"/>
        </w:rPr>
        <w:t>公司资质</w:t>
      </w:r>
    </w:p>
    <w:p w14:paraId="4D3C4FFF">
      <w:pPr>
        <w:spacing w:line="360" w:lineRule="auto"/>
        <w:rPr>
          <w:rFonts w:hint="eastAsia"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附件</w:t>
      </w:r>
      <w:r>
        <w:rPr>
          <w:rFonts w:hint="eastAsia" w:cs="Times New Roman"/>
          <w:color w:val="auto"/>
          <w:sz w:val="24"/>
          <w:szCs w:val="24"/>
          <w:u w:val="single"/>
          <w:lang w:val="en-US" w:eastAsia="zh-CN"/>
        </w:rPr>
        <w:t>10</w:t>
      </w:r>
      <w:r>
        <w:rPr>
          <w:rFonts w:hint="default" w:ascii="Times New Roman" w:hAnsi="Times New Roman" w:eastAsia="宋体" w:cs="Times New Roman"/>
          <w:color w:val="auto"/>
          <w:sz w:val="24"/>
          <w:szCs w:val="24"/>
          <w:u w:val="single"/>
          <w:lang w:val="en-US" w:eastAsia="zh-CN"/>
        </w:rPr>
        <w:t xml:space="preserve">  </w:t>
      </w:r>
      <w:r>
        <w:rPr>
          <w:rFonts w:hint="eastAsia" w:cs="Times New Roman"/>
          <w:color w:val="auto"/>
          <w:sz w:val="24"/>
          <w:szCs w:val="24"/>
          <w:u w:val="single"/>
          <w:lang w:val="en-US" w:eastAsia="zh-CN"/>
        </w:rPr>
        <w:t>检测报告（含补测）</w:t>
      </w:r>
    </w:p>
    <w:p w14:paraId="2BCB3275">
      <w:pPr>
        <w:spacing w:line="360" w:lineRule="auto"/>
        <w:rPr>
          <w:rFonts w:hint="default" w:cs="Times New Roman"/>
          <w:color w:val="auto"/>
          <w:sz w:val="24"/>
          <w:szCs w:val="24"/>
          <w:u w:val="single"/>
          <w:lang w:val="en-US" w:eastAsia="zh-CN"/>
        </w:rPr>
      </w:pPr>
      <w:r>
        <w:rPr>
          <w:rFonts w:hint="eastAsia" w:cs="Times New Roman"/>
          <w:color w:val="auto"/>
          <w:sz w:val="24"/>
          <w:szCs w:val="24"/>
          <w:u w:val="single"/>
          <w:lang w:val="en-US" w:eastAsia="zh-CN"/>
        </w:rPr>
        <w:t>附件11  专家意见及签到表</w:t>
      </w:r>
    </w:p>
    <w:p w14:paraId="165C12CB">
      <w:pPr>
        <w:spacing w:line="320" w:lineRule="exact"/>
        <w:rPr>
          <w:rFonts w:hint="default" w:cs="Times New Roman"/>
          <w:color w:val="auto"/>
          <w:sz w:val="24"/>
          <w:szCs w:val="24"/>
          <w:u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D91C02D">
      <w:pPr>
        <w:pStyle w:val="26"/>
        <w:spacing w:after="0" w:line="360" w:lineRule="auto"/>
        <w:ind w:left="0" w:leftChars="0" w:firstLine="0" w:firstLineChars="0"/>
        <w:rPr>
          <w:color w:val="auto"/>
        </w:rPr>
      </w:pPr>
    </w:p>
    <w:p w14:paraId="7DD8D3A3">
      <w:pPr>
        <w:pStyle w:val="23"/>
        <w:spacing w:before="0" w:beforeAutospacing="0" w:after="0" w:afterAutospacing="0"/>
        <w:jc w:val="center"/>
        <w:outlineLvl w:val="0"/>
        <w:rPr>
          <w:rFonts w:ascii="黑体" w:hAnsi="黑体" w:eastAsia="黑体"/>
          <w:snapToGrid w:val="0"/>
          <w:color w:val="auto"/>
          <w:sz w:val="30"/>
          <w:szCs w:val="30"/>
        </w:rPr>
      </w:pPr>
      <w:bookmarkStart w:id="2" w:name="_Toc85201449"/>
      <w:r>
        <w:rPr>
          <w:rFonts w:hint="eastAsia" w:ascii="黑体" w:hAnsi="黑体" w:eastAsia="黑体"/>
          <w:snapToGrid w:val="0"/>
          <w:color w:val="auto"/>
          <w:sz w:val="30"/>
          <w:szCs w:val="30"/>
        </w:rPr>
        <w:t>一、建设项目基本情况</w:t>
      </w:r>
      <w:bookmarkEnd w:id="2"/>
    </w:p>
    <w:tbl>
      <w:tblPr>
        <w:tblStyle w:val="27"/>
        <w:tblW w:w="502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080"/>
        <w:gridCol w:w="2270"/>
        <w:gridCol w:w="2018"/>
        <w:gridCol w:w="3005"/>
      </w:tblGrid>
      <w:tr w14:paraId="27CEB0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pct"/>
            <w:tcMar>
              <w:top w:w="16" w:type="dxa"/>
              <w:left w:w="16" w:type="dxa"/>
              <w:right w:w="16" w:type="dxa"/>
            </w:tcMar>
            <w:vAlign w:val="center"/>
          </w:tcPr>
          <w:p w14:paraId="3482747E">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建设项目名称</w:t>
            </w:r>
          </w:p>
        </w:tc>
        <w:tc>
          <w:tcPr>
            <w:tcW w:w="4354" w:type="pct"/>
            <w:gridSpan w:val="3"/>
            <w:vAlign w:val="center"/>
          </w:tcPr>
          <w:p w14:paraId="063678BC">
            <w:pPr>
              <w:keepNext w:val="0"/>
              <w:keepLines w:val="0"/>
              <w:suppressLineNumbers w:val="0"/>
              <w:adjustRightInd w:val="0"/>
              <w:snapToGrid w:val="0"/>
              <w:spacing w:before="0" w:beforeAutospacing="0" w:after="0" w:afterAutospacing="0"/>
              <w:ind w:left="0" w:right="0"/>
              <w:jc w:val="center"/>
              <w:rPr>
                <w:rFonts w:hint="default"/>
                <w:color w:val="auto"/>
                <w:sz w:val="24"/>
              </w:rPr>
            </w:pPr>
            <w:r>
              <w:rPr>
                <w:rFonts w:hint="default"/>
                <w:color w:val="auto"/>
                <w:sz w:val="24"/>
              </w:rPr>
              <w:t>临湘市城区雨水调蓄及行泄通道工程项目</w:t>
            </w:r>
          </w:p>
          <w:p w14:paraId="4B28987B">
            <w:pPr>
              <w:keepNext w:val="0"/>
              <w:keepLines w:val="0"/>
              <w:suppressLineNumbers w:val="0"/>
              <w:adjustRightInd w:val="0"/>
              <w:snapToGrid w:val="0"/>
              <w:spacing w:before="0" w:beforeAutospacing="0" w:after="0" w:afterAutospacing="0"/>
              <w:ind w:left="0" w:right="0"/>
              <w:jc w:val="center"/>
              <w:rPr>
                <w:rFonts w:hint="default"/>
                <w:color w:val="auto"/>
                <w:sz w:val="24"/>
              </w:rPr>
            </w:pPr>
            <w:r>
              <w:rPr>
                <w:rFonts w:hint="default"/>
                <w:color w:val="auto"/>
                <w:sz w:val="24"/>
              </w:rPr>
              <w:t>（</w:t>
            </w:r>
            <w:r>
              <w:rPr>
                <w:rFonts w:hint="eastAsia"/>
                <w:color w:val="auto"/>
                <w:sz w:val="24"/>
                <w:lang w:eastAsia="zh-CN"/>
              </w:rPr>
              <w:t>雨水行泄通道及城区内涝点改造</w:t>
            </w:r>
            <w:r>
              <w:rPr>
                <w:rFonts w:hint="default"/>
                <w:color w:val="auto"/>
                <w:sz w:val="24"/>
              </w:rPr>
              <w:t>）</w:t>
            </w:r>
          </w:p>
        </w:tc>
      </w:tr>
      <w:tr w14:paraId="0988F8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pct"/>
            <w:tcMar>
              <w:top w:w="16" w:type="dxa"/>
              <w:left w:w="16" w:type="dxa"/>
              <w:right w:w="16" w:type="dxa"/>
            </w:tcMar>
            <w:vAlign w:val="center"/>
          </w:tcPr>
          <w:p w14:paraId="653C8C08">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项目代码</w:t>
            </w:r>
          </w:p>
        </w:tc>
        <w:tc>
          <w:tcPr>
            <w:tcW w:w="4354" w:type="pct"/>
            <w:gridSpan w:val="3"/>
            <w:vAlign w:val="center"/>
          </w:tcPr>
          <w:p w14:paraId="33FEA587">
            <w:pPr>
              <w:keepNext w:val="0"/>
              <w:keepLines w:val="0"/>
              <w:suppressLineNumbers w:val="0"/>
              <w:adjustRightInd w:val="0"/>
              <w:snapToGrid w:val="0"/>
              <w:spacing w:before="0" w:beforeAutospacing="0" w:after="0" w:afterAutospacing="0"/>
              <w:ind w:left="0" w:right="0"/>
              <w:jc w:val="center"/>
              <w:rPr>
                <w:rFonts w:hint="default" w:eastAsia="宋体"/>
                <w:color w:val="auto"/>
                <w:sz w:val="24"/>
                <w:lang w:val="en-US" w:eastAsia="zh-CN"/>
              </w:rPr>
            </w:pPr>
            <w:r>
              <w:rPr>
                <w:rFonts w:hint="eastAsia"/>
                <w:color w:val="auto"/>
                <w:kern w:val="0"/>
                <w:sz w:val="24"/>
                <w:lang w:val="en-US" w:eastAsia="zh-CN"/>
              </w:rPr>
              <w:t>2310-430682-04-01-167276</w:t>
            </w:r>
          </w:p>
        </w:tc>
      </w:tr>
      <w:tr w14:paraId="6236F2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pct"/>
            <w:tcMar>
              <w:top w:w="16" w:type="dxa"/>
              <w:left w:w="16" w:type="dxa"/>
              <w:right w:w="16" w:type="dxa"/>
            </w:tcMar>
            <w:vAlign w:val="center"/>
          </w:tcPr>
          <w:p w14:paraId="6C122C6F">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建设单位联系人</w:t>
            </w:r>
          </w:p>
        </w:tc>
        <w:tc>
          <w:tcPr>
            <w:tcW w:w="1355" w:type="pct"/>
            <w:vAlign w:val="center"/>
          </w:tcPr>
          <w:p w14:paraId="1305AEF4">
            <w:pPr>
              <w:keepNext w:val="0"/>
              <w:keepLines w:val="0"/>
              <w:suppressLineNumbers w:val="0"/>
              <w:adjustRightInd w:val="0"/>
              <w:snapToGrid w:val="0"/>
              <w:spacing w:before="0" w:beforeAutospacing="0" w:after="0" w:afterAutospacing="0"/>
              <w:ind w:left="0" w:right="0"/>
              <w:jc w:val="center"/>
              <w:rPr>
                <w:rFonts w:hint="eastAsia" w:eastAsia="宋体"/>
                <w:color w:val="auto"/>
                <w:sz w:val="24"/>
                <w:lang w:eastAsia="zh-CN"/>
              </w:rPr>
            </w:pPr>
            <w:r>
              <w:rPr>
                <w:rFonts w:hint="eastAsia" w:eastAsia="宋体"/>
                <w:color w:val="auto"/>
                <w:sz w:val="24"/>
                <w:lang w:eastAsia="zh-CN"/>
              </w:rPr>
              <w:t>邹庞进</w:t>
            </w:r>
          </w:p>
        </w:tc>
        <w:tc>
          <w:tcPr>
            <w:tcW w:w="1205" w:type="pct"/>
            <w:vAlign w:val="center"/>
          </w:tcPr>
          <w:p w14:paraId="3883B6FC">
            <w:pPr>
              <w:keepNext w:val="0"/>
              <w:keepLines w:val="0"/>
              <w:suppressLineNumbers w:val="0"/>
              <w:adjustRightInd w:val="0"/>
              <w:snapToGrid w:val="0"/>
              <w:spacing w:before="0" w:beforeAutospacing="0" w:after="0" w:afterAutospacing="0"/>
              <w:ind w:left="0" w:right="0"/>
              <w:jc w:val="center"/>
              <w:rPr>
                <w:rFonts w:hint="default"/>
                <w:color w:val="auto"/>
                <w:sz w:val="24"/>
              </w:rPr>
            </w:pPr>
            <w:r>
              <w:rPr>
                <w:rFonts w:hint="default"/>
                <w:b/>
                <w:bCs/>
                <w:color w:val="auto"/>
                <w:sz w:val="24"/>
              </w:rPr>
              <w:t>联系方式</w:t>
            </w:r>
          </w:p>
        </w:tc>
        <w:tc>
          <w:tcPr>
            <w:tcW w:w="1793" w:type="pct"/>
            <w:vAlign w:val="center"/>
          </w:tcPr>
          <w:p w14:paraId="1C6C68B8">
            <w:pPr>
              <w:keepNext w:val="0"/>
              <w:keepLines w:val="0"/>
              <w:suppressLineNumbers w:val="0"/>
              <w:adjustRightInd w:val="0"/>
              <w:snapToGrid w:val="0"/>
              <w:spacing w:before="0" w:beforeAutospacing="0" w:after="0" w:afterAutospacing="0"/>
              <w:ind w:left="0" w:right="0"/>
              <w:jc w:val="center"/>
              <w:rPr>
                <w:rFonts w:hint="default"/>
                <w:color w:val="auto"/>
                <w:sz w:val="24"/>
              </w:rPr>
            </w:pPr>
            <w:r>
              <w:rPr>
                <w:rFonts w:hint="eastAsia"/>
                <w:color w:val="auto"/>
                <w:sz w:val="24"/>
              </w:rPr>
              <w:t>15607409797</w:t>
            </w:r>
          </w:p>
        </w:tc>
      </w:tr>
      <w:tr w14:paraId="1367FE0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pct"/>
            <w:tcMar>
              <w:top w:w="16" w:type="dxa"/>
              <w:left w:w="16" w:type="dxa"/>
              <w:right w:w="16" w:type="dxa"/>
            </w:tcMar>
            <w:vAlign w:val="center"/>
          </w:tcPr>
          <w:p w14:paraId="2862EBE9">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建设地点</w:t>
            </w:r>
          </w:p>
        </w:tc>
        <w:tc>
          <w:tcPr>
            <w:tcW w:w="4354" w:type="pct"/>
            <w:gridSpan w:val="3"/>
            <w:vAlign w:val="center"/>
          </w:tcPr>
          <w:p w14:paraId="077A3A26">
            <w:pPr>
              <w:keepNext w:val="0"/>
              <w:keepLines w:val="0"/>
              <w:suppressLineNumbers w:val="0"/>
              <w:adjustRightInd w:val="0"/>
              <w:snapToGrid w:val="0"/>
              <w:spacing w:before="0" w:beforeAutospacing="0" w:after="0" w:afterAutospacing="0"/>
              <w:ind w:left="0" w:right="0"/>
              <w:jc w:val="center"/>
              <w:rPr>
                <w:rFonts w:hint="default"/>
                <w:color w:val="auto"/>
                <w:lang w:val="en-US" w:eastAsia="zh-CN"/>
              </w:rPr>
            </w:pPr>
            <w:r>
              <w:rPr>
                <w:rFonts w:hint="eastAsia"/>
                <w:color w:val="auto"/>
                <w:sz w:val="24"/>
                <w:szCs w:val="24"/>
                <w:lang w:val="en-US" w:eastAsia="zh-CN"/>
              </w:rPr>
              <w:t>临湘市城区</w:t>
            </w:r>
          </w:p>
        </w:tc>
      </w:tr>
      <w:tr w14:paraId="3A41363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pct"/>
            <w:tcMar>
              <w:top w:w="16" w:type="dxa"/>
              <w:left w:w="16" w:type="dxa"/>
              <w:right w:w="16" w:type="dxa"/>
            </w:tcMar>
            <w:vAlign w:val="center"/>
          </w:tcPr>
          <w:p w14:paraId="0BF65C79">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地理坐标</w:t>
            </w:r>
          </w:p>
        </w:tc>
        <w:tc>
          <w:tcPr>
            <w:tcW w:w="4354" w:type="pct"/>
            <w:gridSpan w:val="3"/>
            <w:vAlign w:val="center"/>
          </w:tcPr>
          <w:p w14:paraId="105743D0">
            <w:pPr>
              <w:keepNext w:val="0"/>
              <w:keepLines w:val="0"/>
              <w:suppressLineNumbers w:val="0"/>
              <w:spacing w:before="0" w:beforeAutospacing="0" w:after="0" w:afterAutospacing="0" w:line="360" w:lineRule="auto"/>
              <w:ind w:left="0" w:right="0"/>
              <w:jc w:val="left"/>
              <w:rPr>
                <w:rFonts w:hint="default"/>
                <w:b/>
                <w:bCs/>
                <w:color w:val="auto"/>
                <w:sz w:val="24"/>
                <w:u w:val="single"/>
                <w:lang w:val="en-US" w:eastAsia="zh-CN"/>
              </w:rPr>
            </w:pPr>
            <w:r>
              <w:rPr>
                <w:rFonts w:hint="eastAsia"/>
                <w:b/>
                <w:bCs/>
                <w:color w:val="auto"/>
                <w:sz w:val="24"/>
                <w:u w:val="single"/>
                <w:lang w:val="en-US" w:eastAsia="zh-CN"/>
              </w:rPr>
              <w:t>1、雨水行泄通道：</w:t>
            </w:r>
          </w:p>
          <w:p w14:paraId="14B98DE1">
            <w:pPr>
              <w:keepNext w:val="0"/>
              <w:keepLines w:val="0"/>
              <w:suppressLineNumbers w:val="0"/>
              <w:spacing w:before="0" w:beforeAutospacing="0" w:after="0" w:afterAutospacing="0" w:line="360" w:lineRule="auto"/>
              <w:ind w:left="0" w:right="0"/>
              <w:jc w:val="left"/>
              <w:rPr>
                <w:rFonts w:hint="eastAsia"/>
                <w:b w:val="0"/>
                <w:bCs w:val="0"/>
                <w:color w:val="auto"/>
                <w:sz w:val="24"/>
                <w:u w:val="single"/>
                <w:lang w:val="en-US" w:eastAsia="zh-CN"/>
              </w:rPr>
            </w:pPr>
            <w:r>
              <w:rPr>
                <w:rFonts w:hint="eastAsia"/>
                <w:b/>
                <w:bCs/>
                <w:color w:val="auto"/>
                <w:sz w:val="24"/>
                <w:u w:val="single"/>
                <w:lang w:val="en-US" w:eastAsia="zh-CN"/>
              </w:rPr>
              <w:t>①</w:t>
            </w:r>
            <w:r>
              <w:rPr>
                <w:rFonts w:hint="eastAsia"/>
                <w:b w:val="0"/>
                <w:bCs w:val="0"/>
                <w:color w:val="auto"/>
                <w:sz w:val="24"/>
                <w:u w:val="single"/>
                <w:lang w:val="en-US" w:eastAsia="zh-CN"/>
              </w:rPr>
              <w:t>长安河</w:t>
            </w:r>
          </w:p>
          <w:p w14:paraId="40004B81">
            <w:pPr>
              <w:keepNext w:val="0"/>
              <w:keepLines w:val="0"/>
              <w:suppressLineNumbers w:val="0"/>
              <w:spacing w:before="0" w:beforeAutospacing="0" w:after="0" w:afterAutospacing="0" w:line="360" w:lineRule="auto"/>
              <w:ind w:left="0" w:right="0"/>
              <w:jc w:val="left"/>
              <w:rPr>
                <w:rFonts w:hint="default" w:ascii="Times New Roman" w:hAnsi="Times New Roman" w:cs="Times New Roman"/>
                <w:color w:val="auto"/>
                <w:sz w:val="24"/>
                <w:u w:val="single"/>
              </w:rPr>
            </w:pPr>
            <w:r>
              <w:rPr>
                <w:rFonts w:hint="eastAsia"/>
                <w:color w:val="auto"/>
                <w:sz w:val="24"/>
                <w:u w:val="single"/>
                <w:lang w:val="en-US" w:eastAsia="zh-CN"/>
              </w:rPr>
              <w:t>上游河道改造处起点</w:t>
            </w:r>
            <w:r>
              <w:rPr>
                <w:rFonts w:hint="default"/>
                <w:color w:val="auto"/>
                <w:sz w:val="24"/>
                <w:u w:val="single"/>
              </w:rPr>
              <w:t>（113°26′30.706″,29°25′27.946″</w:t>
            </w:r>
            <w:r>
              <w:rPr>
                <w:rFonts w:hint="default" w:ascii="Times New Roman" w:hAnsi="Times New Roman" w:cs="Times New Roman"/>
                <w:color w:val="auto"/>
                <w:sz w:val="24"/>
                <w:u w:val="single"/>
              </w:rPr>
              <w:t>）</w:t>
            </w:r>
          </w:p>
          <w:p w14:paraId="79F30A61">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color w:val="auto"/>
                <w:sz w:val="24"/>
                <w:u w:val="single"/>
                <w:lang w:val="en-US" w:eastAsia="zh-CN"/>
              </w:rPr>
            </w:pPr>
            <w:r>
              <w:rPr>
                <w:rFonts w:hint="default" w:ascii="Times New Roman" w:hAnsi="Times New Roman" w:cs="Times New Roman"/>
                <w:color w:val="auto"/>
                <w:sz w:val="24"/>
                <w:u w:val="single"/>
                <w:lang w:val="en-US" w:eastAsia="zh-CN"/>
              </w:rPr>
              <w:t>上游河道改造处终点（113°26′26.766″,29°26′39.014″）</w:t>
            </w:r>
          </w:p>
          <w:p w14:paraId="26F2729F">
            <w:pPr>
              <w:keepNext w:val="0"/>
              <w:keepLines w:val="0"/>
              <w:suppressLineNumbers w:val="0"/>
              <w:spacing w:before="0" w:beforeAutospacing="0" w:after="0" w:afterAutospacing="0" w:line="360" w:lineRule="auto"/>
              <w:ind w:left="0" w:right="0"/>
              <w:jc w:val="left"/>
              <w:rPr>
                <w:rFonts w:hint="default" w:ascii="Times New Roman" w:hAnsi="Times New Roman" w:cs="Times New Roman"/>
                <w:color w:val="auto"/>
                <w:sz w:val="24"/>
                <w:u w:val="single"/>
                <w:lang w:val="en-US" w:eastAsia="zh-CN"/>
              </w:rPr>
            </w:pPr>
            <w:r>
              <w:rPr>
                <w:rFonts w:hint="default" w:ascii="Times New Roman" w:hAnsi="Times New Roman" w:cs="Times New Roman"/>
                <w:color w:val="auto"/>
                <w:sz w:val="24"/>
                <w:u w:val="single"/>
                <w:lang w:val="en-US" w:eastAsia="zh-CN"/>
              </w:rPr>
              <w:t>下游河道改造处起点（113°27′21.265″,29°29′6.827″）</w:t>
            </w:r>
          </w:p>
          <w:p w14:paraId="7EE4B1E9">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color w:val="auto"/>
                <w:sz w:val="24"/>
                <w:u w:val="single"/>
                <w:lang w:val="en-US" w:eastAsia="zh-CN"/>
              </w:rPr>
            </w:pPr>
            <w:r>
              <w:rPr>
                <w:rFonts w:hint="default" w:ascii="Times New Roman" w:hAnsi="Times New Roman" w:cs="Times New Roman"/>
                <w:color w:val="auto"/>
                <w:sz w:val="24"/>
                <w:u w:val="single"/>
                <w:lang w:val="en-US" w:eastAsia="zh-CN"/>
              </w:rPr>
              <w:t>下游河道改造处终点（113°27′17.248″,29°29′40.546″）</w:t>
            </w:r>
          </w:p>
          <w:p w14:paraId="200DA54F">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cs="Times New Roman"/>
                <w:b/>
                <w:bCs/>
                <w:color w:val="auto"/>
                <w:sz w:val="24"/>
                <w:u w:val="single"/>
                <w:lang w:val="en-US" w:eastAsia="zh-CN"/>
              </w:rPr>
              <w:t>②</w:t>
            </w:r>
            <w:r>
              <w:rPr>
                <w:rFonts w:hint="default" w:ascii="Times New Roman" w:hAnsi="Times New Roman" w:cs="Times New Roman"/>
                <w:b w:val="0"/>
                <w:bCs w:val="0"/>
                <w:color w:val="auto"/>
                <w:sz w:val="24"/>
                <w:u w:val="single"/>
                <w:lang w:val="en-US" w:eastAsia="zh-CN"/>
              </w:rPr>
              <w:t>师家河</w:t>
            </w:r>
          </w:p>
          <w:p w14:paraId="4A6897EA">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val="0"/>
                <w:bCs w:val="0"/>
                <w:color w:val="auto"/>
                <w:sz w:val="24"/>
                <w:u w:val="single"/>
                <w:lang w:val="en-US" w:eastAsia="zh-CN"/>
              </w:rPr>
              <w:t>河道改造处起点（113°24′25.140″,29°29′40.391″）</w:t>
            </w:r>
          </w:p>
          <w:p w14:paraId="016D671F">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val="0"/>
                <w:bCs w:val="0"/>
                <w:color w:val="auto"/>
                <w:sz w:val="24"/>
                <w:u w:val="single"/>
                <w:lang w:val="en-US" w:eastAsia="zh-CN"/>
              </w:rPr>
              <w:t>河道改造处终点（113°26′35.843″,29°29′58.235″）</w:t>
            </w:r>
          </w:p>
          <w:p w14:paraId="4331F53E">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bCs/>
                <w:color w:val="auto"/>
                <w:sz w:val="24"/>
                <w:u w:val="single"/>
                <w:lang w:val="en-US" w:eastAsia="zh-CN"/>
              </w:rPr>
              <w:t>③</w:t>
            </w:r>
            <w:r>
              <w:rPr>
                <w:rFonts w:hint="default" w:ascii="Times New Roman" w:hAnsi="Times New Roman" w:cs="Times New Roman"/>
                <w:b w:val="0"/>
                <w:bCs w:val="0"/>
                <w:color w:val="auto"/>
                <w:sz w:val="24"/>
                <w:u w:val="single"/>
                <w:lang w:val="en-US" w:eastAsia="zh-CN"/>
              </w:rPr>
              <w:t>肖家堰</w:t>
            </w:r>
          </w:p>
          <w:p w14:paraId="64A6DD20">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val="0"/>
                <w:bCs w:val="0"/>
                <w:color w:val="auto"/>
                <w:sz w:val="24"/>
                <w:u w:val="single"/>
                <w:lang w:val="en-US" w:eastAsia="zh-CN"/>
              </w:rPr>
              <w:t>河道改造处起点（113°27′17.248″,29°29′40.546″）</w:t>
            </w:r>
          </w:p>
          <w:p w14:paraId="1FFF1F66">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val="0"/>
                <w:bCs w:val="0"/>
                <w:color w:val="auto"/>
                <w:sz w:val="24"/>
                <w:u w:val="single"/>
                <w:lang w:val="en-US" w:eastAsia="zh-CN"/>
              </w:rPr>
              <w:t>河道改造处终点（113°26′35.920″,29°29′58.158″）</w:t>
            </w:r>
          </w:p>
          <w:p w14:paraId="40E80AE9">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bCs/>
                <w:color w:val="auto"/>
                <w:sz w:val="24"/>
                <w:u w:val="single"/>
                <w:lang w:val="en-US" w:eastAsia="zh-CN"/>
              </w:rPr>
              <w:t>④</w:t>
            </w:r>
            <w:r>
              <w:rPr>
                <w:rFonts w:hint="default" w:ascii="Times New Roman" w:hAnsi="Times New Roman" w:cs="Times New Roman"/>
                <w:b w:val="0"/>
                <w:bCs w:val="0"/>
                <w:color w:val="auto"/>
                <w:sz w:val="24"/>
                <w:u w:val="single"/>
                <w:lang w:val="en-US" w:eastAsia="zh-CN"/>
              </w:rPr>
              <w:t>上港溪</w:t>
            </w:r>
          </w:p>
          <w:p w14:paraId="56F678E0">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val="0"/>
                <w:bCs w:val="0"/>
                <w:color w:val="auto"/>
                <w:sz w:val="24"/>
                <w:u w:val="single"/>
                <w:lang w:val="en-US" w:eastAsia="zh-CN"/>
              </w:rPr>
              <w:t>支流一河道改造处起点（113°28′6.068″,29°28′53.965″）</w:t>
            </w:r>
          </w:p>
          <w:p w14:paraId="11DA043E">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val="0"/>
                <w:bCs w:val="0"/>
                <w:color w:val="auto"/>
                <w:sz w:val="24"/>
                <w:u w:val="single"/>
                <w:lang w:val="en-US" w:eastAsia="zh-CN"/>
              </w:rPr>
              <w:t>支流一河道改造处终点（113°28′8.695″,29°29′7.097″）</w:t>
            </w:r>
          </w:p>
          <w:p w14:paraId="34EDD651">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val="0"/>
                <w:bCs w:val="0"/>
                <w:color w:val="auto"/>
                <w:sz w:val="24"/>
                <w:u w:val="single"/>
                <w:lang w:val="en-US" w:eastAsia="zh-CN"/>
              </w:rPr>
              <w:t>支流二河道改造处起点（113°28′22.368″,29°28′38.361″）</w:t>
            </w:r>
          </w:p>
          <w:p w14:paraId="1D98A20C">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val="0"/>
                <w:bCs w:val="0"/>
                <w:color w:val="auto"/>
                <w:sz w:val="24"/>
                <w:u w:val="single"/>
                <w:lang w:val="en-US" w:eastAsia="zh-CN"/>
              </w:rPr>
              <w:t>支流二河道改造处终点（113°28′16.883″,29°29′2.540″）</w:t>
            </w:r>
          </w:p>
          <w:p w14:paraId="34FA6958">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bCs/>
                <w:color w:val="auto"/>
                <w:sz w:val="24"/>
                <w:u w:val="single"/>
                <w:lang w:val="en-US" w:eastAsia="zh-CN"/>
              </w:rPr>
              <w:t>⑤</w:t>
            </w:r>
            <w:r>
              <w:rPr>
                <w:rFonts w:hint="default" w:ascii="Times New Roman" w:hAnsi="Times New Roman" w:cs="Times New Roman"/>
                <w:b w:val="0"/>
                <w:bCs w:val="0"/>
                <w:color w:val="auto"/>
                <w:sz w:val="24"/>
                <w:u w:val="single"/>
                <w:lang w:val="en-US" w:eastAsia="zh-CN"/>
              </w:rPr>
              <w:t>铁路沿线明渠</w:t>
            </w:r>
          </w:p>
          <w:p w14:paraId="491C65A0">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val="0"/>
                <w:bCs w:val="0"/>
                <w:color w:val="auto"/>
                <w:sz w:val="24"/>
                <w:u w:val="single"/>
                <w:lang w:val="en-US" w:eastAsia="zh-CN"/>
              </w:rPr>
            </w:pPr>
            <w:r>
              <w:rPr>
                <w:rFonts w:hint="default" w:ascii="Times New Roman" w:hAnsi="Times New Roman" w:cs="Times New Roman"/>
                <w:b w:val="0"/>
                <w:bCs w:val="0"/>
                <w:color w:val="auto"/>
                <w:sz w:val="24"/>
                <w:u w:val="single"/>
                <w:lang w:val="en-US" w:eastAsia="zh-CN"/>
              </w:rPr>
              <w:t>河道改造处起点（113°26′53.369″,29°29′14.007″）</w:t>
            </w:r>
          </w:p>
          <w:p w14:paraId="31E02231">
            <w:pPr>
              <w:keepNext w:val="0"/>
              <w:keepLines w:val="0"/>
              <w:suppressLineNumbers w:val="0"/>
              <w:spacing w:before="0" w:beforeAutospacing="0" w:after="0" w:afterAutospacing="0" w:line="360" w:lineRule="auto"/>
              <w:ind w:left="0" w:right="0"/>
              <w:jc w:val="left"/>
              <w:rPr>
                <w:rFonts w:hint="default" w:ascii="Times New Roman" w:hAnsi="Times New Roman" w:cs="Times New Roman"/>
                <w:color w:val="auto"/>
                <w:sz w:val="24"/>
                <w:u w:val="single"/>
                <w:lang w:val="en-US" w:eastAsia="zh-CN"/>
              </w:rPr>
            </w:pPr>
            <w:r>
              <w:rPr>
                <w:rFonts w:hint="default" w:ascii="Times New Roman" w:hAnsi="Times New Roman" w:cs="Times New Roman"/>
                <w:b w:val="0"/>
                <w:bCs w:val="0"/>
                <w:color w:val="auto"/>
                <w:sz w:val="24"/>
                <w:u w:val="single"/>
                <w:lang w:val="en-US" w:eastAsia="zh-CN"/>
              </w:rPr>
              <w:t>河道改造处终点（113°27′11.638″,29°29′16.131″</w:t>
            </w:r>
            <w:r>
              <w:rPr>
                <w:rFonts w:hint="default" w:ascii="Times New Roman" w:hAnsi="Times New Roman" w:cs="Times New Roman"/>
                <w:color w:val="auto"/>
                <w:sz w:val="24"/>
                <w:u w:val="single"/>
                <w:lang w:val="en-US" w:eastAsia="zh-CN"/>
              </w:rPr>
              <w:t>）</w:t>
            </w:r>
          </w:p>
          <w:p w14:paraId="5EA9847A">
            <w:pPr>
              <w:keepNext w:val="0"/>
              <w:keepLines w:val="0"/>
              <w:suppressLineNumbers w:val="0"/>
              <w:spacing w:before="0" w:beforeAutospacing="0" w:after="0" w:afterAutospacing="0" w:line="360" w:lineRule="auto"/>
              <w:ind w:left="0" w:right="0"/>
              <w:jc w:val="left"/>
              <w:rPr>
                <w:rFonts w:hint="eastAsia"/>
                <w:b/>
                <w:bCs/>
                <w:color w:val="auto"/>
                <w:sz w:val="24"/>
                <w:u w:val="single"/>
                <w:lang w:val="en-US" w:eastAsia="zh-CN"/>
              </w:rPr>
            </w:pPr>
            <w:r>
              <w:rPr>
                <w:rFonts w:hint="eastAsia"/>
                <w:b/>
                <w:bCs/>
                <w:color w:val="auto"/>
                <w:sz w:val="24"/>
                <w:u w:val="single"/>
                <w:lang w:val="en-US" w:eastAsia="zh-CN"/>
              </w:rPr>
              <w:t>2、城区内涝点：</w:t>
            </w:r>
          </w:p>
          <w:p w14:paraId="31B40FD0">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eastAsia"/>
                <w:b/>
                <w:bCs/>
                <w:color w:val="auto"/>
                <w:sz w:val="24"/>
                <w:u w:val="single"/>
                <w:lang w:val="en-US" w:eastAsia="zh-CN"/>
              </w:rPr>
              <w:t>①</w:t>
            </w:r>
            <w:r>
              <w:rPr>
                <w:rFonts w:hint="eastAsia"/>
                <w:b w:val="0"/>
                <w:bCs w:val="0"/>
                <w:color w:val="auto"/>
                <w:sz w:val="24"/>
                <w:u w:val="single"/>
                <w:lang w:val="en-US" w:eastAsia="zh-CN"/>
              </w:rPr>
              <w:t>水产</w:t>
            </w:r>
            <w:r>
              <w:rPr>
                <w:rFonts w:hint="default" w:ascii="Times New Roman" w:hAnsi="Times New Roman" w:eastAsia="宋体" w:cs="Times New Roman"/>
                <w:b w:val="0"/>
                <w:bCs w:val="0"/>
                <w:color w:val="auto"/>
                <w:sz w:val="24"/>
                <w:u w:val="single"/>
                <w:lang w:val="en-US" w:eastAsia="zh-CN"/>
              </w:rPr>
              <w:t>巷（113°26′57.753″,29°28′48.143″</w:t>
            </w:r>
            <w:r>
              <w:rPr>
                <w:rFonts w:hint="eastAsia" w:ascii="Times New Roman" w:hAnsi="Times New Roman" w:eastAsia="宋体" w:cs="Times New Roman"/>
                <w:b w:val="0"/>
                <w:bCs w:val="0"/>
                <w:color w:val="auto"/>
                <w:sz w:val="24"/>
                <w:u w:val="single"/>
                <w:lang w:val="en-US" w:eastAsia="zh-CN"/>
              </w:rPr>
              <w:t>/</w:t>
            </w:r>
            <w:r>
              <w:rPr>
                <w:rFonts w:hint="default" w:ascii="Times New Roman" w:hAnsi="Times New Roman" w:eastAsia="宋体" w:cs="Times New Roman"/>
                <w:b w:val="0"/>
                <w:bCs w:val="0"/>
                <w:color w:val="auto"/>
                <w:sz w:val="24"/>
                <w:u w:val="single"/>
                <w:lang w:val="en-US" w:eastAsia="zh-CN"/>
              </w:rPr>
              <w:t>113°26′54.305″,29°28′46.337″）</w:t>
            </w:r>
          </w:p>
          <w:p w14:paraId="6D04C7D7">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bCs/>
                <w:color w:val="auto"/>
                <w:sz w:val="24"/>
                <w:u w:val="single"/>
                <w:lang w:val="en-US" w:eastAsia="zh-CN"/>
              </w:rPr>
              <w:t>②</w:t>
            </w:r>
            <w:r>
              <w:rPr>
                <w:rFonts w:hint="default" w:ascii="Times New Roman" w:hAnsi="Times New Roman" w:eastAsia="宋体" w:cs="Times New Roman"/>
                <w:b w:val="0"/>
                <w:bCs w:val="0"/>
                <w:color w:val="auto"/>
                <w:sz w:val="24"/>
                <w:u w:val="single"/>
                <w:lang w:val="en-US" w:eastAsia="zh-CN"/>
              </w:rPr>
              <w:t>西正街（113°26′25.550″,29°28′52.36</w:t>
            </w:r>
            <w:r>
              <w:rPr>
                <w:rFonts w:hint="eastAsia" w:ascii="Times New Roman" w:hAnsi="Times New Roman" w:eastAsia="宋体" w:cs="Times New Roman"/>
                <w:b w:val="0"/>
                <w:bCs w:val="0"/>
                <w:color w:val="auto"/>
                <w:sz w:val="24"/>
                <w:u w:val="single"/>
                <w:lang w:val="en-US" w:eastAsia="zh-CN"/>
              </w:rPr>
              <w:t xml:space="preserve"> </w:t>
            </w:r>
            <w:r>
              <w:rPr>
                <w:rFonts w:hint="default" w:ascii="Times New Roman" w:hAnsi="Times New Roman" w:eastAsia="宋体" w:cs="Times New Roman"/>
                <w:b w:val="0"/>
                <w:bCs w:val="0"/>
                <w:color w:val="auto"/>
                <w:sz w:val="24"/>
                <w:u w:val="single"/>
                <w:lang w:val="en-US" w:eastAsia="zh-CN"/>
              </w:rPr>
              <w:t>3″</w:t>
            </w:r>
            <w:r>
              <w:rPr>
                <w:rFonts w:hint="eastAsia" w:ascii="Times New Roman" w:hAnsi="Times New Roman" w:eastAsia="宋体" w:cs="Times New Roman"/>
                <w:b w:val="0"/>
                <w:bCs w:val="0"/>
                <w:color w:val="auto"/>
                <w:sz w:val="24"/>
                <w:u w:val="single"/>
                <w:lang w:val="en-US" w:eastAsia="zh-CN"/>
              </w:rPr>
              <w:t>/</w:t>
            </w:r>
            <w:r>
              <w:rPr>
                <w:rFonts w:hint="default" w:ascii="Times New Roman" w:hAnsi="Times New Roman" w:eastAsia="宋体" w:cs="Times New Roman"/>
                <w:b w:val="0"/>
                <w:bCs w:val="0"/>
                <w:color w:val="auto"/>
                <w:sz w:val="24"/>
                <w:u w:val="single"/>
                <w:lang w:val="en-US" w:eastAsia="zh-CN"/>
              </w:rPr>
              <w:t>113°27′6.182″,29°28′36.218″）</w:t>
            </w:r>
          </w:p>
          <w:p w14:paraId="7EFEE38B">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bCs/>
                <w:color w:val="auto"/>
                <w:sz w:val="24"/>
                <w:u w:val="single"/>
                <w:lang w:val="en-US" w:eastAsia="zh-CN"/>
              </w:rPr>
              <w:t>③</w:t>
            </w:r>
            <w:r>
              <w:rPr>
                <w:rFonts w:hint="default" w:ascii="Times New Roman" w:hAnsi="Times New Roman" w:eastAsia="宋体" w:cs="Times New Roman"/>
                <w:b w:val="0"/>
                <w:bCs w:val="0"/>
                <w:color w:val="auto"/>
                <w:sz w:val="24"/>
                <w:u w:val="single"/>
                <w:lang w:val="en-US" w:eastAsia="zh-CN"/>
              </w:rPr>
              <w:t>南正街（113°26′41.037″,29°28′20.320″</w:t>
            </w:r>
            <w:r>
              <w:rPr>
                <w:rFonts w:hint="eastAsia" w:ascii="Times New Roman" w:hAnsi="Times New Roman" w:eastAsia="宋体" w:cs="Times New Roman"/>
                <w:b w:val="0"/>
                <w:bCs w:val="0"/>
                <w:color w:val="auto"/>
                <w:sz w:val="24"/>
                <w:u w:val="single"/>
                <w:lang w:val="en-US" w:eastAsia="zh-CN"/>
              </w:rPr>
              <w:t>/</w:t>
            </w:r>
            <w:r>
              <w:rPr>
                <w:rFonts w:hint="default" w:ascii="Times New Roman" w:hAnsi="Times New Roman" w:eastAsia="宋体" w:cs="Times New Roman"/>
                <w:b w:val="0"/>
                <w:bCs w:val="0"/>
                <w:color w:val="auto"/>
                <w:sz w:val="24"/>
                <w:u w:val="single"/>
                <w:lang w:val="en-US" w:eastAsia="zh-CN"/>
              </w:rPr>
              <w:t>113°26′45.787″,29°28′28.913″）</w:t>
            </w:r>
          </w:p>
          <w:p w14:paraId="68000B80">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bCs/>
                <w:color w:val="auto"/>
                <w:sz w:val="24"/>
                <w:u w:val="single"/>
                <w:lang w:val="en-US" w:eastAsia="zh-CN"/>
              </w:rPr>
              <w:t>④</w:t>
            </w:r>
            <w:r>
              <w:rPr>
                <w:rFonts w:hint="default" w:ascii="Times New Roman" w:hAnsi="Times New Roman" w:eastAsia="宋体" w:cs="Times New Roman"/>
                <w:b w:val="0"/>
                <w:bCs w:val="0"/>
                <w:color w:val="auto"/>
                <w:sz w:val="24"/>
                <w:u w:val="single"/>
                <w:lang w:val="en-US" w:eastAsia="zh-CN"/>
              </w:rPr>
              <w:t>六中南侧（113°27′1.053″,29°28′27.991″）</w:t>
            </w:r>
          </w:p>
          <w:p w14:paraId="460D4954">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bCs/>
                <w:color w:val="auto"/>
                <w:sz w:val="24"/>
                <w:u w:val="single"/>
                <w:lang w:val="en-US" w:eastAsia="zh-CN"/>
              </w:rPr>
              <w:t>⑤</w:t>
            </w:r>
            <w:r>
              <w:rPr>
                <w:rFonts w:hint="default" w:ascii="Times New Roman" w:hAnsi="Times New Roman" w:eastAsia="宋体" w:cs="Times New Roman"/>
                <w:b w:val="0"/>
                <w:bCs w:val="0"/>
                <w:color w:val="auto"/>
                <w:sz w:val="24"/>
                <w:u w:val="single"/>
                <w:lang w:val="en-US" w:eastAsia="zh-CN"/>
              </w:rPr>
              <w:t>杨田涵洞（113°27′14.428″,29°29′11.090″</w:t>
            </w:r>
            <w:r>
              <w:rPr>
                <w:rFonts w:hint="eastAsia" w:ascii="Times New Roman" w:hAnsi="Times New Roman" w:eastAsia="宋体" w:cs="Times New Roman"/>
                <w:b w:val="0"/>
                <w:bCs w:val="0"/>
                <w:color w:val="auto"/>
                <w:sz w:val="24"/>
                <w:u w:val="single"/>
                <w:lang w:val="en-US" w:eastAsia="zh-CN"/>
              </w:rPr>
              <w:t>/</w:t>
            </w:r>
            <w:r>
              <w:rPr>
                <w:rFonts w:hint="default" w:ascii="Times New Roman" w:hAnsi="Times New Roman" w:eastAsia="宋体" w:cs="Times New Roman"/>
                <w:b w:val="0"/>
                <w:bCs w:val="0"/>
                <w:color w:val="auto"/>
                <w:sz w:val="24"/>
                <w:u w:val="single"/>
                <w:lang w:val="en-US" w:eastAsia="zh-CN"/>
              </w:rPr>
              <w:t>113°27′24.451″,29°29′7.305″）</w:t>
            </w:r>
          </w:p>
          <w:p w14:paraId="0F8B3CBC">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bCs/>
                <w:color w:val="auto"/>
                <w:sz w:val="24"/>
                <w:u w:val="single"/>
                <w:lang w:val="en-US" w:eastAsia="zh-CN"/>
              </w:rPr>
              <w:t>⑥</w:t>
            </w:r>
            <w:r>
              <w:rPr>
                <w:rFonts w:hint="default" w:ascii="Times New Roman" w:hAnsi="Times New Roman" w:eastAsia="宋体" w:cs="Times New Roman"/>
                <w:b w:val="0"/>
                <w:bCs w:val="0"/>
                <w:color w:val="auto"/>
                <w:sz w:val="24"/>
                <w:u w:val="single"/>
                <w:lang w:val="en-US" w:eastAsia="zh-CN"/>
              </w:rPr>
              <w:t>长安一品（113°26′13.548″,29°29′9.647″</w:t>
            </w:r>
            <w:r>
              <w:rPr>
                <w:rFonts w:hint="eastAsia" w:ascii="Times New Roman" w:hAnsi="Times New Roman" w:eastAsia="宋体" w:cs="Times New Roman"/>
                <w:b w:val="0"/>
                <w:bCs w:val="0"/>
                <w:color w:val="auto"/>
                <w:sz w:val="24"/>
                <w:u w:val="single"/>
                <w:lang w:val="en-US" w:eastAsia="zh-CN"/>
              </w:rPr>
              <w:t>/</w:t>
            </w:r>
            <w:r>
              <w:rPr>
                <w:rFonts w:hint="default" w:ascii="Times New Roman" w:hAnsi="Times New Roman" w:eastAsia="宋体" w:cs="Times New Roman"/>
                <w:b w:val="0"/>
                <w:bCs w:val="0"/>
                <w:color w:val="auto"/>
                <w:sz w:val="24"/>
                <w:u w:val="single"/>
                <w:lang w:val="en-US" w:eastAsia="zh-CN"/>
              </w:rPr>
              <w:t>113°26′15.981″,29°29′20.963″）</w:t>
            </w:r>
          </w:p>
          <w:p w14:paraId="7C2206AF">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bCs/>
                <w:color w:val="auto"/>
                <w:sz w:val="24"/>
                <w:u w:val="single"/>
                <w:lang w:val="en-US" w:eastAsia="zh-CN"/>
              </w:rPr>
              <w:t>⑦</w:t>
            </w:r>
            <w:r>
              <w:rPr>
                <w:rFonts w:hint="default" w:ascii="Times New Roman" w:hAnsi="Times New Roman" w:eastAsia="宋体" w:cs="Times New Roman"/>
                <w:b w:val="0"/>
                <w:bCs w:val="0"/>
                <w:color w:val="auto"/>
                <w:sz w:val="24"/>
                <w:u w:val="single"/>
                <w:lang w:val="en-US" w:eastAsia="zh-CN"/>
              </w:rPr>
              <w:t>南太路肖家畈（113°26′8.401″,29°27′45.490″）</w:t>
            </w:r>
          </w:p>
          <w:p w14:paraId="67A2162E">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bCs/>
                <w:color w:val="auto"/>
                <w:sz w:val="24"/>
                <w:u w:val="single"/>
                <w:lang w:val="en-US" w:eastAsia="zh-CN"/>
              </w:rPr>
              <w:t>⑧</w:t>
            </w:r>
            <w:r>
              <w:rPr>
                <w:rFonts w:hint="default" w:ascii="Times New Roman" w:hAnsi="Times New Roman" w:eastAsia="宋体" w:cs="Times New Roman"/>
                <w:b w:val="0"/>
                <w:bCs w:val="0"/>
                <w:color w:val="auto"/>
                <w:sz w:val="24"/>
                <w:u w:val="single"/>
                <w:lang w:val="en-US" w:eastAsia="zh-CN"/>
              </w:rPr>
              <w:t>石咀（113°26′51.119″,29°27′50.473″）</w:t>
            </w:r>
          </w:p>
          <w:p w14:paraId="69391042">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bCs/>
                <w:color w:val="auto"/>
                <w:sz w:val="24"/>
                <w:u w:val="single"/>
                <w:lang w:val="en-US" w:eastAsia="zh-CN"/>
              </w:rPr>
              <w:t>⑨</w:t>
            </w:r>
            <w:r>
              <w:rPr>
                <w:rFonts w:hint="default" w:ascii="Times New Roman" w:hAnsi="Times New Roman" w:eastAsia="宋体" w:cs="Times New Roman"/>
                <w:b w:val="0"/>
                <w:bCs w:val="0"/>
                <w:color w:val="auto"/>
                <w:sz w:val="24"/>
                <w:u w:val="single"/>
                <w:lang w:val="en-US" w:eastAsia="zh-CN"/>
              </w:rPr>
              <w:t>工业园（113°25′25.335″,29°26′21.155″/113°25′31.747″,29°26′40.776″）</w:t>
            </w:r>
          </w:p>
          <w:p w14:paraId="0C9B4FC8">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bCs/>
                <w:color w:val="auto"/>
                <w:sz w:val="24"/>
                <w:u w:val="single"/>
                <w:lang w:val="en-US" w:eastAsia="zh-CN"/>
              </w:rPr>
              <w:t>⑩</w:t>
            </w:r>
            <w:r>
              <w:rPr>
                <w:rFonts w:hint="default" w:ascii="Times New Roman" w:hAnsi="Times New Roman" w:eastAsia="宋体" w:cs="Times New Roman"/>
                <w:b w:val="0"/>
                <w:bCs w:val="0"/>
                <w:color w:val="auto"/>
                <w:sz w:val="24"/>
                <w:u w:val="single"/>
                <w:lang w:val="en-US" w:eastAsia="zh-CN"/>
              </w:rPr>
              <w:t>金桥路（113°29′12.052″,29°28′27.008″</w:t>
            </w:r>
            <w:r>
              <w:rPr>
                <w:rFonts w:hint="eastAsia" w:ascii="Times New Roman" w:hAnsi="Times New Roman" w:eastAsia="宋体" w:cs="Times New Roman"/>
                <w:b w:val="0"/>
                <w:bCs w:val="0"/>
                <w:color w:val="auto"/>
                <w:sz w:val="24"/>
                <w:u w:val="single"/>
                <w:lang w:val="en-US" w:eastAsia="zh-CN"/>
              </w:rPr>
              <w:t>/</w:t>
            </w:r>
            <w:r>
              <w:rPr>
                <w:rFonts w:hint="default" w:ascii="Times New Roman" w:hAnsi="Times New Roman" w:eastAsia="宋体" w:cs="Times New Roman"/>
                <w:b w:val="0"/>
                <w:bCs w:val="0"/>
                <w:color w:val="auto"/>
                <w:sz w:val="24"/>
                <w:u w:val="single"/>
                <w:lang w:val="en-US" w:eastAsia="zh-CN"/>
              </w:rPr>
              <w:t>113°29′7.881″,29°28′38.209″）</w:t>
            </w:r>
          </w:p>
          <w:p w14:paraId="7FF4977E">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val="0"/>
                <w:bCs w:val="0"/>
                <w:color w:val="auto"/>
                <w:sz w:val="24"/>
                <w:u w:val="single"/>
                <w:lang w:val="en-US" w:eastAsia="zh-CN"/>
              </w:rPr>
              <w:t>⑪荷花路（113°28′31.246″,29°28′7.450″</w:t>
            </w:r>
            <w:r>
              <w:rPr>
                <w:rFonts w:hint="eastAsia" w:ascii="Times New Roman" w:hAnsi="Times New Roman" w:eastAsia="宋体" w:cs="Times New Roman"/>
                <w:b w:val="0"/>
                <w:bCs w:val="0"/>
                <w:color w:val="auto"/>
                <w:sz w:val="24"/>
                <w:u w:val="single"/>
                <w:lang w:val="en-US" w:eastAsia="zh-CN"/>
              </w:rPr>
              <w:t>/</w:t>
            </w:r>
            <w:r>
              <w:rPr>
                <w:rFonts w:hint="default" w:ascii="Times New Roman" w:hAnsi="Times New Roman" w:eastAsia="宋体" w:cs="Times New Roman"/>
                <w:b w:val="0"/>
                <w:bCs w:val="0"/>
                <w:color w:val="auto"/>
                <w:sz w:val="24"/>
                <w:u w:val="single"/>
                <w:lang w:val="en-US" w:eastAsia="zh-CN"/>
              </w:rPr>
              <w:t>113°28′28.543″,29°28′32.324″）</w:t>
            </w:r>
          </w:p>
          <w:p w14:paraId="13CFBD45">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val="0"/>
                <w:bCs w:val="0"/>
                <w:color w:val="auto"/>
                <w:sz w:val="24"/>
                <w:u w:val="single"/>
                <w:lang w:val="en-US" w:eastAsia="zh-CN"/>
              </w:rPr>
              <w:t>⑫三完小（113°27′32.171″,29°28′44.819″</w:t>
            </w:r>
            <w:r>
              <w:rPr>
                <w:rFonts w:hint="eastAsia" w:ascii="Times New Roman" w:hAnsi="Times New Roman" w:eastAsia="宋体" w:cs="Times New Roman"/>
                <w:b w:val="0"/>
                <w:bCs w:val="0"/>
                <w:color w:val="auto"/>
                <w:sz w:val="24"/>
                <w:u w:val="single"/>
                <w:lang w:val="en-US" w:eastAsia="zh-CN"/>
              </w:rPr>
              <w:t>/</w:t>
            </w:r>
            <w:r>
              <w:rPr>
                <w:rFonts w:hint="default" w:ascii="Times New Roman" w:hAnsi="Times New Roman" w:eastAsia="宋体" w:cs="Times New Roman"/>
                <w:b w:val="0"/>
                <w:bCs w:val="0"/>
                <w:color w:val="auto"/>
                <w:sz w:val="24"/>
                <w:u w:val="single"/>
                <w:lang w:val="en-US" w:eastAsia="zh-CN"/>
              </w:rPr>
              <w:t>113°27′29.825″,29°28′45.611″）</w:t>
            </w:r>
          </w:p>
          <w:p w14:paraId="669F9ED1">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val="0"/>
                <w:bCs w:val="0"/>
                <w:color w:val="auto"/>
                <w:sz w:val="24"/>
                <w:u w:val="single"/>
                <w:lang w:val="en-US" w:eastAsia="zh-CN"/>
              </w:rPr>
              <w:t>⑬</w:t>
            </w:r>
            <w:r>
              <w:rPr>
                <w:rFonts w:hint="eastAsia" w:ascii="Times New Roman" w:hAnsi="Times New Roman" w:eastAsia="宋体" w:cs="Times New Roman"/>
                <w:b w:val="0"/>
                <w:bCs w:val="0"/>
                <w:color w:val="auto"/>
                <w:sz w:val="24"/>
                <w:u w:val="single"/>
                <w:lang w:val="en-US" w:eastAsia="zh-CN"/>
              </w:rPr>
              <w:t>城中南路</w:t>
            </w:r>
            <w:r>
              <w:rPr>
                <w:rFonts w:hint="default" w:ascii="Times New Roman" w:hAnsi="Times New Roman" w:eastAsia="宋体" w:cs="Times New Roman"/>
                <w:b w:val="0"/>
                <w:bCs w:val="0"/>
                <w:color w:val="auto"/>
                <w:sz w:val="24"/>
                <w:u w:val="single"/>
                <w:lang w:val="en-US" w:eastAsia="zh-CN"/>
              </w:rPr>
              <w:t>（113°27′24.012″,29°28′33.758″/113°27′22.872″,29°28′25.666″）</w:t>
            </w:r>
          </w:p>
          <w:p w14:paraId="2A0CD7E7">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val="0"/>
                <w:bCs w:val="0"/>
                <w:color w:val="auto"/>
                <w:sz w:val="24"/>
                <w:u w:val="single"/>
                <w:lang w:val="en-US" w:eastAsia="zh-CN"/>
              </w:rPr>
              <w:t>⑭夏家巷</w:t>
            </w:r>
            <w:r>
              <w:rPr>
                <w:rFonts w:hint="default" w:ascii="Times New Roman" w:hAnsi="Times New Roman" w:cs="Times New Roman"/>
                <w:b w:val="0"/>
                <w:bCs w:val="0"/>
                <w:color w:val="auto"/>
                <w:sz w:val="24"/>
                <w:u w:val="single"/>
                <w:lang w:val="en-US" w:eastAsia="zh-CN"/>
              </w:rPr>
              <w:t>（113°27′23.510″,29°28′29.548″，113°27′37.530″,29°28′30.127″）</w:t>
            </w:r>
          </w:p>
          <w:p w14:paraId="78BBC86B">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b w:val="0"/>
                <w:bCs w:val="0"/>
                <w:color w:val="auto"/>
                <w:sz w:val="24"/>
                <w:u w:val="single"/>
                <w:lang w:val="en-US" w:eastAsia="zh-CN"/>
              </w:rPr>
            </w:pPr>
            <w:r>
              <w:rPr>
                <w:rFonts w:hint="default" w:ascii="Times New Roman" w:hAnsi="Times New Roman" w:eastAsia="宋体" w:cs="Times New Roman"/>
                <w:b w:val="0"/>
                <w:bCs w:val="0"/>
                <w:color w:val="auto"/>
                <w:sz w:val="24"/>
                <w:u w:val="single"/>
                <w:lang w:val="en-US" w:eastAsia="zh-CN"/>
              </w:rPr>
              <w:t>⑮新一中（113°27′46.062″,29°28′8.063″、113°27′49.616″,29°28′7.850″）</w:t>
            </w:r>
          </w:p>
          <w:p w14:paraId="70E4DB04">
            <w:pPr>
              <w:keepNext w:val="0"/>
              <w:keepLines w:val="0"/>
              <w:suppressLineNumbers w:val="0"/>
              <w:spacing w:before="0" w:beforeAutospacing="0" w:after="0" w:afterAutospacing="0" w:line="360" w:lineRule="auto"/>
              <w:ind w:left="0" w:right="0"/>
              <w:jc w:val="left"/>
              <w:rPr>
                <w:rFonts w:hint="default"/>
                <w:b w:val="0"/>
                <w:bCs w:val="0"/>
                <w:color w:val="auto"/>
                <w:sz w:val="24"/>
                <w:u w:val="single"/>
                <w:lang w:val="en-US" w:eastAsia="zh-CN"/>
              </w:rPr>
            </w:pPr>
            <w:r>
              <w:rPr>
                <w:rFonts w:hint="default" w:ascii="Times New Roman" w:hAnsi="Times New Roman" w:eastAsia="宋体" w:cs="Times New Roman"/>
                <w:b w:val="0"/>
                <w:bCs w:val="0"/>
                <w:color w:val="auto"/>
                <w:sz w:val="24"/>
                <w:u w:val="single"/>
                <w:lang w:val="en-US" w:eastAsia="zh-CN"/>
              </w:rPr>
              <w:t>⑯学院路（113°27′49.262″,29°28′19.472″、113°27′33.542″,29°28′7.730″</w:t>
            </w:r>
            <w:r>
              <w:rPr>
                <w:rFonts w:hint="eastAsia" w:ascii="Times New Roman" w:hAnsi="Times New Roman" w:eastAsia="宋体" w:cs="Times New Roman"/>
                <w:b w:val="0"/>
                <w:bCs w:val="0"/>
                <w:color w:val="auto"/>
                <w:sz w:val="24"/>
                <w:u w:val="single"/>
                <w:lang w:val="en-US" w:eastAsia="zh-CN"/>
              </w:rPr>
              <w:t>）</w:t>
            </w:r>
          </w:p>
        </w:tc>
      </w:tr>
      <w:tr w14:paraId="369BC8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pct"/>
            <w:tcMar>
              <w:top w:w="16" w:type="dxa"/>
              <w:left w:w="16" w:type="dxa"/>
              <w:right w:w="16" w:type="dxa"/>
            </w:tcMar>
            <w:vAlign w:val="center"/>
          </w:tcPr>
          <w:p w14:paraId="18FDA0FD">
            <w:pPr>
              <w:keepNext w:val="0"/>
              <w:keepLines w:val="0"/>
              <w:suppressLineNumbers w:val="0"/>
              <w:adjustRightInd w:val="0"/>
              <w:snapToGrid w:val="0"/>
              <w:spacing w:before="0" w:beforeAutospacing="0" w:after="0" w:afterAutospacing="0"/>
              <w:ind w:left="0" w:right="0"/>
              <w:jc w:val="center"/>
              <w:rPr>
                <w:rFonts w:hint="default"/>
                <w:b/>
                <w:bCs/>
                <w:color w:val="auto"/>
                <w:sz w:val="24"/>
                <w:u w:val="single"/>
              </w:rPr>
            </w:pPr>
            <w:r>
              <w:rPr>
                <w:rFonts w:hint="default"/>
                <w:b/>
                <w:bCs/>
                <w:color w:val="auto"/>
                <w:sz w:val="24"/>
                <w:u w:val="single"/>
              </w:rPr>
              <w:t>建设项目行业类别</w:t>
            </w:r>
          </w:p>
        </w:tc>
        <w:tc>
          <w:tcPr>
            <w:tcW w:w="1355" w:type="pct"/>
            <w:vAlign w:val="center"/>
          </w:tcPr>
          <w:p w14:paraId="0A208514">
            <w:pPr>
              <w:keepNext w:val="0"/>
              <w:keepLines w:val="0"/>
              <w:numPr>
                <w:ilvl w:val="0"/>
                <w:numId w:val="0"/>
              </w:numPr>
              <w:suppressLineNumbers w:val="0"/>
              <w:adjustRightInd w:val="0"/>
              <w:snapToGrid w:val="0"/>
              <w:spacing w:before="0" w:beforeAutospacing="0" w:after="0" w:afterAutospacing="0"/>
              <w:ind w:left="0" w:right="0" w:rightChars="0"/>
              <w:jc w:val="both"/>
              <w:rPr>
                <w:rFonts w:hint="default"/>
                <w:color w:val="auto"/>
                <w:u w:val="single"/>
                <w:lang w:val="en-US" w:eastAsia="zh-CN"/>
              </w:rPr>
            </w:pPr>
            <w:r>
              <w:rPr>
                <w:rFonts w:hint="eastAsia"/>
                <w:color w:val="auto"/>
                <w:u w:val="single"/>
                <w:lang w:val="en-US" w:eastAsia="zh-CN"/>
              </w:rPr>
              <w:t>五十一、水利</w:t>
            </w:r>
          </w:p>
          <w:p w14:paraId="75CFAC98">
            <w:pPr>
              <w:keepNext w:val="0"/>
              <w:keepLines w:val="0"/>
              <w:numPr>
                <w:ilvl w:val="0"/>
                <w:numId w:val="0"/>
              </w:numPr>
              <w:suppressLineNumbers w:val="0"/>
              <w:adjustRightInd w:val="0"/>
              <w:snapToGrid w:val="0"/>
              <w:spacing w:before="0" w:beforeAutospacing="0" w:after="0" w:afterAutospacing="0"/>
              <w:ind w:left="0" w:right="0" w:rightChars="0"/>
              <w:jc w:val="both"/>
              <w:rPr>
                <w:rFonts w:hint="default"/>
                <w:color w:val="auto"/>
                <w:u w:val="single"/>
                <w:lang w:val="en-US" w:eastAsia="zh-CN"/>
              </w:rPr>
            </w:pPr>
            <w:r>
              <w:rPr>
                <w:rFonts w:hint="eastAsia"/>
                <w:color w:val="auto"/>
                <w:u w:val="single"/>
                <w:lang w:val="en-US" w:eastAsia="zh-CN"/>
              </w:rPr>
              <w:t>127防洪除涝工程</w:t>
            </w:r>
          </w:p>
          <w:p w14:paraId="18F64ADF">
            <w:pPr>
              <w:keepNext w:val="0"/>
              <w:keepLines w:val="0"/>
              <w:numPr>
                <w:ilvl w:val="0"/>
                <w:numId w:val="0"/>
              </w:numPr>
              <w:suppressLineNumbers w:val="0"/>
              <w:adjustRightInd w:val="0"/>
              <w:snapToGrid w:val="0"/>
              <w:spacing w:before="0" w:beforeAutospacing="0" w:after="0" w:afterAutospacing="0"/>
              <w:ind w:left="0" w:right="0" w:rightChars="0"/>
              <w:jc w:val="both"/>
              <w:rPr>
                <w:rFonts w:hint="default" w:eastAsia="宋体"/>
                <w:color w:val="auto"/>
                <w:u w:val="single"/>
                <w:lang w:val="en-US" w:eastAsia="zh-CN"/>
              </w:rPr>
            </w:pPr>
            <w:r>
              <w:rPr>
                <w:rFonts w:hint="eastAsia"/>
                <w:color w:val="auto"/>
                <w:u w:val="single"/>
                <w:lang w:val="en-US" w:eastAsia="zh-CN"/>
              </w:rPr>
              <w:t>128河湖整治（不含农村塘堰、水渠）</w:t>
            </w:r>
          </w:p>
        </w:tc>
        <w:tc>
          <w:tcPr>
            <w:tcW w:w="1205" w:type="pct"/>
            <w:vAlign w:val="center"/>
          </w:tcPr>
          <w:p w14:paraId="0CC13EE1">
            <w:pPr>
              <w:keepNext w:val="0"/>
              <w:keepLines w:val="0"/>
              <w:suppressLineNumbers w:val="0"/>
              <w:adjustRightInd w:val="0"/>
              <w:snapToGrid w:val="0"/>
              <w:spacing w:before="0" w:beforeAutospacing="0" w:after="0" w:afterAutospacing="0"/>
              <w:ind w:left="0" w:right="0"/>
              <w:jc w:val="center"/>
              <w:rPr>
                <w:rFonts w:hint="default"/>
                <w:b/>
                <w:bCs/>
                <w:color w:val="auto"/>
                <w:sz w:val="24"/>
                <w:u w:val="single"/>
              </w:rPr>
            </w:pPr>
            <w:r>
              <w:rPr>
                <w:rFonts w:hint="default"/>
                <w:b/>
                <w:bCs/>
                <w:color w:val="auto"/>
                <w:spacing w:val="-6"/>
                <w:sz w:val="24"/>
                <w:u w:val="single"/>
              </w:rPr>
              <w:t>用地（用海）面积（m</w:t>
            </w:r>
            <w:r>
              <w:rPr>
                <w:rFonts w:hint="default"/>
                <w:b/>
                <w:bCs/>
                <w:color w:val="auto"/>
                <w:spacing w:val="-6"/>
                <w:sz w:val="24"/>
                <w:u w:val="single"/>
                <w:vertAlign w:val="superscript"/>
              </w:rPr>
              <w:t>2</w:t>
            </w:r>
            <w:r>
              <w:rPr>
                <w:rFonts w:hint="default"/>
                <w:b/>
                <w:bCs/>
                <w:color w:val="auto"/>
                <w:spacing w:val="-6"/>
                <w:sz w:val="24"/>
                <w:u w:val="single"/>
              </w:rPr>
              <w:t>）/长度（km）</w:t>
            </w:r>
          </w:p>
        </w:tc>
        <w:tc>
          <w:tcPr>
            <w:tcW w:w="1793" w:type="pct"/>
            <w:vAlign w:val="center"/>
          </w:tcPr>
          <w:p w14:paraId="5E2AF5B6">
            <w:pPr>
              <w:keepNext w:val="0"/>
              <w:keepLines w:val="0"/>
              <w:suppressLineNumbers w:val="0"/>
              <w:adjustRightInd w:val="0"/>
              <w:snapToGrid w:val="0"/>
              <w:spacing w:before="0" w:beforeAutospacing="0" w:after="0" w:afterAutospacing="0"/>
              <w:ind w:left="0" w:right="0"/>
              <w:jc w:val="center"/>
              <w:rPr>
                <w:rFonts w:hint="default"/>
                <w:color w:val="auto"/>
                <w:szCs w:val="21"/>
                <w:u w:val="single"/>
                <w:lang w:val="en-US" w:eastAsia="zh-CN"/>
              </w:rPr>
            </w:pPr>
            <w:r>
              <w:rPr>
                <w:rFonts w:hint="eastAsia"/>
                <w:color w:val="auto"/>
                <w:szCs w:val="21"/>
                <w:u w:val="single"/>
                <w:lang w:val="en-US" w:eastAsia="zh-CN"/>
              </w:rPr>
              <w:t>永久占地2510㎡</w:t>
            </w:r>
          </w:p>
          <w:p w14:paraId="520FE4F7">
            <w:pPr>
              <w:keepNext w:val="0"/>
              <w:keepLines w:val="0"/>
              <w:suppressLineNumbers w:val="0"/>
              <w:adjustRightInd w:val="0"/>
              <w:snapToGrid w:val="0"/>
              <w:spacing w:before="0" w:beforeAutospacing="0" w:after="0" w:afterAutospacing="0"/>
              <w:ind w:left="0" w:right="0"/>
              <w:jc w:val="center"/>
              <w:rPr>
                <w:rFonts w:hint="default" w:eastAsia="宋体"/>
                <w:color w:val="auto"/>
                <w:szCs w:val="21"/>
                <w:u w:val="single"/>
                <w:lang w:val="en-US" w:eastAsia="zh-CN"/>
              </w:rPr>
            </w:pPr>
            <w:r>
              <w:rPr>
                <w:rFonts w:hint="eastAsia"/>
                <w:color w:val="auto"/>
                <w:szCs w:val="21"/>
                <w:u w:val="single"/>
                <w:lang w:val="en-US" w:eastAsia="zh-CN"/>
              </w:rPr>
              <w:t>临时占地116300㎡</w:t>
            </w:r>
          </w:p>
        </w:tc>
      </w:tr>
      <w:tr w14:paraId="75A0CD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645" w:type="pct"/>
            <w:tcMar>
              <w:top w:w="16" w:type="dxa"/>
              <w:left w:w="16" w:type="dxa"/>
              <w:right w:w="16" w:type="dxa"/>
            </w:tcMar>
            <w:vAlign w:val="center"/>
          </w:tcPr>
          <w:p w14:paraId="25CB4A1F">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建设性质</w:t>
            </w:r>
          </w:p>
        </w:tc>
        <w:tc>
          <w:tcPr>
            <w:tcW w:w="1355" w:type="pct"/>
            <w:vAlign w:val="center"/>
          </w:tcPr>
          <w:p w14:paraId="3C15405F">
            <w:pPr>
              <w:keepNext w:val="0"/>
              <w:keepLines w:val="0"/>
              <w:suppressLineNumbers w:val="0"/>
              <w:spacing w:before="0" w:beforeAutospacing="0" w:after="0" w:afterAutospacing="0"/>
              <w:ind w:left="0" w:right="0"/>
              <w:jc w:val="left"/>
              <w:rPr>
                <w:rFonts w:hint="default"/>
                <w:color w:val="auto"/>
                <w:sz w:val="24"/>
              </w:rPr>
            </w:pPr>
            <w:r>
              <w:rPr>
                <w:rFonts w:hint="eastAsia" w:ascii="宋体" w:hAnsi="宋体"/>
                <w:color w:val="auto"/>
                <w:sz w:val="24"/>
              </w:rPr>
              <w:sym w:font="Wingdings 2" w:char="0052"/>
            </w:r>
            <w:r>
              <w:rPr>
                <w:rFonts w:hint="default"/>
                <w:color w:val="auto"/>
                <w:sz w:val="24"/>
              </w:rPr>
              <w:t>新建</w:t>
            </w:r>
          </w:p>
          <w:p w14:paraId="5E9B0738">
            <w:pPr>
              <w:keepNext w:val="0"/>
              <w:keepLines w:val="0"/>
              <w:suppressLineNumbers w:val="0"/>
              <w:spacing w:before="0" w:beforeAutospacing="0" w:after="0" w:afterAutospacing="0"/>
              <w:ind w:left="0" w:right="0"/>
              <w:jc w:val="left"/>
              <w:rPr>
                <w:rFonts w:hint="default"/>
                <w:color w:val="auto"/>
                <w:sz w:val="24"/>
              </w:rPr>
            </w:pPr>
            <w:r>
              <w:rPr>
                <w:rFonts w:hint="eastAsia" w:ascii="宋体" w:hAnsi="宋体"/>
                <w:color w:val="auto"/>
                <w:sz w:val="24"/>
              </w:rPr>
              <w:t>□</w:t>
            </w:r>
            <w:r>
              <w:rPr>
                <w:rFonts w:hint="default"/>
                <w:color w:val="auto"/>
                <w:sz w:val="24"/>
              </w:rPr>
              <w:t>改建</w:t>
            </w:r>
          </w:p>
          <w:p w14:paraId="3C3BB508">
            <w:pPr>
              <w:keepNext w:val="0"/>
              <w:keepLines w:val="0"/>
              <w:suppressLineNumbers w:val="0"/>
              <w:spacing w:before="0" w:beforeAutospacing="0" w:after="0" w:afterAutospacing="0"/>
              <w:ind w:left="0" w:right="0"/>
              <w:jc w:val="left"/>
              <w:rPr>
                <w:rFonts w:hint="default"/>
                <w:color w:val="auto"/>
                <w:sz w:val="24"/>
              </w:rPr>
            </w:pPr>
            <w:r>
              <w:rPr>
                <w:rFonts w:hint="eastAsia" w:ascii="宋体" w:hAnsi="宋体"/>
                <w:color w:val="auto"/>
                <w:sz w:val="24"/>
              </w:rPr>
              <w:t>□</w:t>
            </w:r>
            <w:r>
              <w:rPr>
                <w:rFonts w:hint="default"/>
                <w:color w:val="auto"/>
                <w:sz w:val="24"/>
              </w:rPr>
              <w:t>扩建</w:t>
            </w:r>
          </w:p>
          <w:p w14:paraId="01213B64">
            <w:pPr>
              <w:keepNext w:val="0"/>
              <w:keepLines w:val="0"/>
              <w:suppressLineNumbers w:val="0"/>
              <w:spacing w:before="0" w:beforeAutospacing="0" w:after="0" w:afterAutospacing="0"/>
              <w:ind w:left="0" w:right="0"/>
              <w:jc w:val="left"/>
              <w:rPr>
                <w:rFonts w:hint="default"/>
                <w:color w:val="auto"/>
                <w:sz w:val="24"/>
              </w:rPr>
            </w:pPr>
            <w:r>
              <w:rPr>
                <w:rFonts w:hint="eastAsia" w:ascii="宋体" w:hAnsi="宋体"/>
                <w:color w:val="auto"/>
                <w:sz w:val="24"/>
              </w:rPr>
              <w:t>□</w:t>
            </w:r>
            <w:r>
              <w:rPr>
                <w:rFonts w:hint="default"/>
                <w:color w:val="auto"/>
                <w:sz w:val="24"/>
              </w:rPr>
              <w:t>技术改造</w:t>
            </w:r>
          </w:p>
        </w:tc>
        <w:tc>
          <w:tcPr>
            <w:tcW w:w="1205" w:type="pct"/>
            <w:vAlign w:val="center"/>
          </w:tcPr>
          <w:p w14:paraId="7F9FFEDF">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建设项目</w:t>
            </w:r>
          </w:p>
          <w:p w14:paraId="18679718">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申报情形</w:t>
            </w:r>
          </w:p>
        </w:tc>
        <w:tc>
          <w:tcPr>
            <w:tcW w:w="1793" w:type="pct"/>
            <w:vAlign w:val="center"/>
          </w:tcPr>
          <w:p w14:paraId="6015E8A2">
            <w:pPr>
              <w:keepNext w:val="0"/>
              <w:keepLines w:val="0"/>
              <w:suppressLineNumbers w:val="0"/>
              <w:spacing w:before="0" w:beforeAutospacing="0" w:after="0" w:afterAutospacing="0"/>
              <w:ind w:left="0" w:right="0"/>
              <w:jc w:val="left"/>
              <w:rPr>
                <w:rFonts w:hint="default"/>
                <w:color w:val="auto"/>
                <w:sz w:val="24"/>
              </w:rPr>
            </w:pPr>
            <w:r>
              <w:rPr>
                <w:rFonts w:hint="eastAsia" w:ascii="宋体" w:hAnsi="宋体"/>
                <w:color w:val="auto"/>
                <w:sz w:val="24"/>
              </w:rPr>
              <w:sym w:font="Wingdings 2" w:char="0052"/>
            </w:r>
            <w:r>
              <w:rPr>
                <w:rFonts w:hint="default"/>
                <w:color w:val="auto"/>
                <w:sz w:val="24"/>
              </w:rPr>
              <w:t>首次申报项目</w:t>
            </w:r>
          </w:p>
          <w:p w14:paraId="6D8311AC">
            <w:pPr>
              <w:keepNext w:val="0"/>
              <w:keepLines w:val="0"/>
              <w:suppressLineNumbers w:val="0"/>
              <w:spacing w:before="0" w:beforeAutospacing="0" w:after="0" w:afterAutospacing="0"/>
              <w:ind w:left="0" w:right="0"/>
              <w:jc w:val="left"/>
              <w:rPr>
                <w:rFonts w:hint="default"/>
                <w:color w:val="auto"/>
                <w:sz w:val="24"/>
              </w:rPr>
            </w:pPr>
            <w:r>
              <w:rPr>
                <w:rFonts w:hint="eastAsia" w:ascii="宋体" w:hAnsi="宋体"/>
                <w:color w:val="auto"/>
                <w:sz w:val="24"/>
              </w:rPr>
              <w:t>□</w:t>
            </w:r>
            <w:r>
              <w:rPr>
                <w:rFonts w:hint="default"/>
                <w:color w:val="auto"/>
                <w:sz w:val="24"/>
              </w:rPr>
              <w:t>不予批准后再次申报项目</w:t>
            </w:r>
          </w:p>
          <w:p w14:paraId="27AB4677">
            <w:pPr>
              <w:keepNext w:val="0"/>
              <w:keepLines w:val="0"/>
              <w:suppressLineNumbers w:val="0"/>
              <w:spacing w:before="0" w:beforeAutospacing="0" w:after="0" w:afterAutospacing="0"/>
              <w:ind w:left="0" w:right="0"/>
              <w:jc w:val="left"/>
              <w:rPr>
                <w:rFonts w:hint="default"/>
                <w:color w:val="auto"/>
                <w:sz w:val="24"/>
              </w:rPr>
            </w:pPr>
            <w:r>
              <w:rPr>
                <w:rFonts w:hint="eastAsia" w:ascii="宋体" w:hAnsi="宋体"/>
                <w:color w:val="auto"/>
                <w:sz w:val="24"/>
              </w:rPr>
              <w:t>□</w:t>
            </w:r>
            <w:r>
              <w:rPr>
                <w:rFonts w:hint="default"/>
                <w:color w:val="auto"/>
                <w:sz w:val="24"/>
              </w:rPr>
              <w:t>超五年重新审核项目</w:t>
            </w:r>
          </w:p>
          <w:p w14:paraId="60597951">
            <w:pPr>
              <w:keepNext w:val="0"/>
              <w:keepLines w:val="0"/>
              <w:suppressLineNumbers w:val="0"/>
              <w:spacing w:before="0" w:beforeAutospacing="0" w:after="0" w:afterAutospacing="0"/>
              <w:ind w:left="0" w:right="0"/>
              <w:jc w:val="left"/>
              <w:rPr>
                <w:rFonts w:hint="default"/>
                <w:color w:val="auto"/>
                <w:sz w:val="24"/>
              </w:rPr>
            </w:pPr>
            <w:r>
              <w:rPr>
                <w:rFonts w:hint="eastAsia" w:ascii="宋体" w:hAnsi="宋体"/>
                <w:color w:val="auto"/>
                <w:sz w:val="24"/>
              </w:rPr>
              <w:t>□</w:t>
            </w:r>
            <w:r>
              <w:rPr>
                <w:rFonts w:hint="default"/>
                <w:color w:val="auto"/>
                <w:sz w:val="24"/>
              </w:rPr>
              <w:t>重大变动重新报批项目</w:t>
            </w:r>
          </w:p>
        </w:tc>
      </w:tr>
      <w:tr w14:paraId="179707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pct"/>
            <w:tcMar>
              <w:top w:w="16" w:type="dxa"/>
              <w:left w:w="16" w:type="dxa"/>
              <w:right w:w="16" w:type="dxa"/>
            </w:tcMar>
            <w:vAlign w:val="center"/>
          </w:tcPr>
          <w:p w14:paraId="7C792814">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项目审批（核准/备案）部门（选填）</w:t>
            </w:r>
          </w:p>
        </w:tc>
        <w:tc>
          <w:tcPr>
            <w:tcW w:w="1355" w:type="pct"/>
            <w:vAlign w:val="center"/>
          </w:tcPr>
          <w:p w14:paraId="4C846B91">
            <w:pPr>
              <w:keepNext w:val="0"/>
              <w:keepLines w:val="0"/>
              <w:suppressLineNumbers w:val="0"/>
              <w:adjustRightInd w:val="0"/>
              <w:snapToGrid w:val="0"/>
              <w:spacing w:before="0" w:beforeAutospacing="0" w:after="0" w:afterAutospacing="0"/>
              <w:ind w:left="0" w:right="0"/>
              <w:jc w:val="center"/>
              <w:rPr>
                <w:rFonts w:hint="eastAsia" w:eastAsia="宋体"/>
                <w:color w:val="auto"/>
                <w:sz w:val="24"/>
                <w:lang w:eastAsia="zh-CN"/>
              </w:rPr>
            </w:pPr>
            <w:r>
              <w:rPr>
                <w:rFonts w:hint="eastAsia"/>
                <w:color w:val="auto"/>
                <w:sz w:val="24"/>
                <w:lang w:val="en-US" w:eastAsia="zh-CN"/>
              </w:rPr>
              <w:t>临湘市</w:t>
            </w:r>
            <w:r>
              <w:rPr>
                <w:rFonts w:hint="eastAsia"/>
                <w:color w:val="auto"/>
                <w:sz w:val="24"/>
                <w:lang w:eastAsia="zh-CN"/>
              </w:rPr>
              <w:t>发展和改革局</w:t>
            </w:r>
          </w:p>
        </w:tc>
        <w:tc>
          <w:tcPr>
            <w:tcW w:w="1205" w:type="pct"/>
            <w:vAlign w:val="center"/>
          </w:tcPr>
          <w:p w14:paraId="04CA7F2E">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项目审批（核准/</w:t>
            </w:r>
          </w:p>
          <w:p w14:paraId="1E1BC0A5">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备案）文号（选填）</w:t>
            </w:r>
          </w:p>
        </w:tc>
        <w:tc>
          <w:tcPr>
            <w:tcW w:w="1793" w:type="pct"/>
            <w:vAlign w:val="center"/>
          </w:tcPr>
          <w:p w14:paraId="64F99740">
            <w:pPr>
              <w:keepNext w:val="0"/>
              <w:keepLines w:val="0"/>
              <w:suppressLineNumbers w:val="0"/>
              <w:adjustRightInd w:val="0"/>
              <w:snapToGrid w:val="0"/>
              <w:spacing w:before="0" w:beforeAutospacing="0" w:after="0" w:afterAutospacing="0"/>
              <w:ind w:left="0" w:right="0"/>
              <w:jc w:val="center"/>
              <w:rPr>
                <w:rFonts w:hint="default" w:eastAsia="宋体"/>
                <w:color w:val="auto"/>
                <w:sz w:val="24"/>
                <w:lang w:val="en-US" w:eastAsia="zh-CN"/>
              </w:rPr>
            </w:pPr>
            <w:r>
              <w:rPr>
                <w:rFonts w:hint="eastAsia"/>
                <w:color w:val="auto"/>
                <w:sz w:val="24"/>
                <w:lang w:val="en-US" w:eastAsia="zh-CN"/>
              </w:rPr>
              <w:t>临</w:t>
            </w:r>
            <w:r>
              <w:rPr>
                <w:rFonts w:hint="eastAsia"/>
                <w:color w:val="auto"/>
                <w:sz w:val="24"/>
                <w:lang w:eastAsia="zh-CN"/>
              </w:rPr>
              <w:t>发改</w:t>
            </w:r>
            <w:r>
              <w:rPr>
                <w:rFonts w:hint="eastAsia"/>
                <w:color w:val="auto"/>
                <w:sz w:val="24"/>
                <w:lang w:val="en-US" w:eastAsia="zh-CN"/>
              </w:rPr>
              <w:t>审</w:t>
            </w:r>
            <w:r>
              <w:rPr>
                <w:rFonts w:hint="eastAsia"/>
                <w:color w:val="auto"/>
                <w:sz w:val="24"/>
                <w:lang w:eastAsia="zh-CN"/>
              </w:rPr>
              <w:t>【</w:t>
            </w:r>
            <w:r>
              <w:rPr>
                <w:rFonts w:hint="eastAsia"/>
                <w:color w:val="auto"/>
                <w:sz w:val="24"/>
                <w:lang w:val="en-US" w:eastAsia="zh-CN"/>
              </w:rPr>
              <w:t>2023</w:t>
            </w:r>
            <w:r>
              <w:rPr>
                <w:rFonts w:hint="eastAsia"/>
                <w:color w:val="auto"/>
                <w:sz w:val="24"/>
                <w:lang w:eastAsia="zh-CN"/>
              </w:rPr>
              <w:t>】</w:t>
            </w:r>
            <w:r>
              <w:rPr>
                <w:rFonts w:hint="eastAsia"/>
                <w:color w:val="auto"/>
                <w:sz w:val="24"/>
                <w:lang w:val="en-US" w:eastAsia="zh-CN"/>
              </w:rPr>
              <w:t>352号</w:t>
            </w:r>
          </w:p>
        </w:tc>
      </w:tr>
      <w:tr w14:paraId="2E872E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pct"/>
            <w:tcMar>
              <w:top w:w="16" w:type="dxa"/>
              <w:left w:w="16" w:type="dxa"/>
              <w:right w:w="16" w:type="dxa"/>
            </w:tcMar>
            <w:vAlign w:val="center"/>
          </w:tcPr>
          <w:p w14:paraId="72492C79">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总投资（万元）</w:t>
            </w:r>
          </w:p>
        </w:tc>
        <w:tc>
          <w:tcPr>
            <w:tcW w:w="1355" w:type="pct"/>
            <w:vAlign w:val="center"/>
          </w:tcPr>
          <w:p w14:paraId="0E31EFFD">
            <w:pPr>
              <w:keepNext w:val="0"/>
              <w:keepLines w:val="0"/>
              <w:suppressLineNumbers w:val="0"/>
              <w:adjustRightInd w:val="0"/>
              <w:snapToGrid w:val="0"/>
              <w:spacing w:before="0" w:beforeAutospacing="0" w:after="0" w:afterAutospacing="0"/>
              <w:ind w:left="0" w:right="0"/>
              <w:jc w:val="center"/>
              <w:rPr>
                <w:rFonts w:hint="default" w:eastAsia="宋体"/>
                <w:color w:val="auto"/>
                <w:sz w:val="24"/>
                <w:lang w:val="en-US" w:eastAsia="zh-CN"/>
              </w:rPr>
            </w:pPr>
            <w:r>
              <w:rPr>
                <w:rFonts w:hint="default" w:eastAsia="宋体"/>
                <w:color w:val="auto"/>
                <w:sz w:val="24"/>
                <w:lang w:val="en-US" w:eastAsia="zh-CN"/>
              </w:rPr>
              <w:t>6641.1</w:t>
            </w:r>
          </w:p>
        </w:tc>
        <w:tc>
          <w:tcPr>
            <w:tcW w:w="1205" w:type="pct"/>
            <w:tcMar>
              <w:top w:w="16" w:type="dxa"/>
              <w:left w:w="16" w:type="dxa"/>
              <w:right w:w="16" w:type="dxa"/>
            </w:tcMar>
            <w:vAlign w:val="center"/>
          </w:tcPr>
          <w:p w14:paraId="3C0B9749">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环保投资（万元）</w:t>
            </w:r>
          </w:p>
        </w:tc>
        <w:tc>
          <w:tcPr>
            <w:tcW w:w="1793" w:type="pct"/>
            <w:vAlign w:val="center"/>
          </w:tcPr>
          <w:p w14:paraId="561D21DB">
            <w:pPr>
              <w:keepNext w:val="0"/>
              <w:keepLines w:val="0"/>
              <w:suppressLineNumbers w:val="0"/>
              <w:adjustRightInd w:val="0"/>
              <w:snapToGrid w:val="0"/>
              <w:spacing w:before="0" w:beforeAutospacing="0" w:after="0" w:afterAutospacing="0"/>
              <w:ind w:left="0" w:right="0"/>
              <w:jc w:val="center"/>
              <w:rPr>
                <w:rFonts w:hint="default" w:eastAsia="宋体"/>
                <w:color w:val="auto"/>
                <w:sz w:val="24"/>
                <w:lang w:val="en-US" w:eastAsia="zh-CN"/>
              </w:rPr>
            </w:pPr>
            <w:r>
              <w:rPr>
                <w:rFonts w:hint="eastAsia"/>
                <w:color w:val="auto"/>
                <w:sz w:val="24"/>
                <w:lang w:val="en-US" w:eastAsia="zh-CN"/>
              </w:rPr>
              <w:t>494.8</w:t>
            </w:r>
          </w:p>
        </w:tc>
      </w:tr>
      <w:tr w14:paraId="4311CB3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pct"/>
            <w:tcMar>
              <w:top w:w="16" w:type="dxa"/>
              <w:left w:w="16" w:type="dxa"/>
              <w:right w:w="16" w:type="dxa"/>
            </w:tcMar>
            <w:vAlign w:val="center"/>
          </w:tcPr>
          <w:p w14:paraId="74F69321">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环保投资占比（%）</w:t>
            </w:r>
          </w:p>
        </w:tc>
        <w:tc>
          <w:tcPr>
            <w:tcW w:w="1355" w:type="pct"/>
            <w:vAlign w:val="center"/>
          </w:tcPr>
          <w:p w14:paraId="742BF105">
            <w:pPr>
              <w:keepNext w:val="0"/>
              <w:keepLines w:val="0"/>
              <w:suppressLineNumbers w:val="0"/>
              <w:adjustRightInd w:val="0"/>
              <w:snapToGrid w:val="0"/>
              <w:spacing w:before="0" w:beforeAutospacing="0" w:after="0" w:afterAutospacing="0"/>
              <w:ind w:left="0" w:right="0"/>
              <w:jc w:val="center"/>
              <w:rPr>
                <w:rFonts w:hint="default" w:eastAsia="宋体"/>
                <w:color w:val="auto"/>
                <w:sz w:val="24"/>
                <w:lang w:val="en-US" w:eastAsia="zh-CN"/>
              </w:rPr>
            </w:pPr>
            <w:r>
              <w:rPr>
                <w:rFonts w:hint="eastAsia"/>
                <w:color w:val="auto"/>
                <w:sz w:val="24"/>
                <w:lang w:val="en-US" w:eastAsia="zh-CN"/>
              </w:rPr>
              <w:t>7.45</w:t>
            </w:r>
          </w:p>
        </w:tc>
        <w:tc>
          <w:tcPr>
            <w:tcW w:w="1205" w:type="pct"/>
            <w:tcMar>
              <w:top w:w="16" w:type="dxa"/>
              <w:left w:w="16" w:type="dxa"/>
              <w:right w:w="16" w:type="dxa"/>
            </w:tcMar>
            <w:vAlign w:val="center"/>
          </w:tcPr>
          <w:p w14:paraId="0BDA7ACF">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施工工期</w:t>
            </w:r>
          </w:p>
        </w:tc>
        <w:tc>
          <w:tcPr>
            <w:tcW w:w="1793" w:type="pct"/>
            <w:vAlign w:val="center"/>
          </w:tcPr>
          <w:p w14:paraId="6F6469DE">
            <w:pPr>
              <w:keepNext w:val="0"/>
              <w:keepLines w:val="0"/>
              <w:suppressLineNumbers w:val="0"/>
              <w:adjustRightInd w:val="0"/>
              <w:snapToGrid w:val="0"/>
              <w:spacing w:before="0" w:beforeAutospacing="0" w:after="0" w:afterAutospacing="0"/>
              <w:ind w:left="0" w:right="0"/>
              <w:jc w:val="center"/>
              <w:rPr>
                <w:rFonts w:hint="default" w:eastAsia="宋体"/>
                <w:color w:val="auto"/>
                <w:sz w:val="24"/>
                <w:lang w:val="en-US" w:eastAsia="zh-CN"/>
              </w:rPr>
            </w:pPr>
            <w:r>
              <w:rPr>
                <w:rFonts w:hint="eastAsia"/>
                <w:color w:val="auto"/>
                <w:sz w:val="24"/>
                <w:lang w:val="en-US" w:eastAsia="zh-CN"/>
              </w:rPr>
              <w:t>120天</w:t>
            </w:r>
          </w:p>
        </w:tc>
      </w:tr>
      <w:tr w14:paraId="3221AB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645" w:type="pct"/>
            <w:tcMar>
              <w:top w:w="16" w:type="dxa"/>
              <w:left w:w="16" w:type="dxa"/>
              <w:right w:w="16" w:type="dxa"/>
            </w:tcMar>
            <w:vAlign w:val="center"/>
          </w:tcPr>
          <w:p w14:paraId="12E9D2E8">
            <w:pPr>
              <w:keepNext w:val="0"/>
              <w:keepLines w:val="0"/>
              <w:suppressLineNumbers w:val="0"/>
              <w:adjustRightInd w:val="0"/>
              <w:snapToGrid w:val="0"/>
              <w:spacing w:before="0" w:beforeAutospacing="0" w:after="0" w:afterAutospacing="0"/>
              <w:ind w:left="0" w:right="0"/>
              <w:jc w:val="center"/>
              <w:rPr>
                <w:rFonts w:hint="default"/>
                <w:b/>
                <w:bCs/>
                <w:color w:val="auto"/>
                <w:sz w:val="24"/>
              </w:rPr>
            </w:pPr>
            <w:r>
              <w:rPr>
                <w:rFonts w:hint="default"/>
                <w:b/>
                <w:bCs/>
                <w:color w:val="auto"/>
                <w:sz w:val="24"/>
              </w:rPr>
              <w:t>是否开工建设</w:t>
            </w:r>
          </w:p>
        </w:tc>
        <w:tc>
          <w:tcPr>
            <w:tcW w:w="4354" w:type="pct"/>
            <w:gridSpan w:val="3"/>
            <w:vAlign w:val="center"/>
          </w:tcPr>
          <w:p w14:paraId="5905B780">
            <w:pPr>
              <w:keepNext w:val="0"/>
              <w:keepLines w:val="0"/>
              <w:suppressLineNumbers w:val="0"/>
              <w:adjustRightInd w:val="0"/>
              <w:snapToGrid w:val="0"/>
              <w:spacing w:before="0" w:beforeAutospacing="0" w:after="0" w:afterAutospacing="0"/>
              <w:ind w:left="0" w:right="0"/>
              <w:rPr>
                <w:rFonts w:hint="default"/>
                <w:color w:val="auto"/>
                <w:sz w:val="24"/>
              </w:rPr>
            </w:pPr>
            <w:r>
              <w:rPr>
                <w:rFonts w:hint="default"/>
                <w:color w:val="auto"/>
                <w:sz w:val="24"/>
              </w:rPr>
              <w:t>√否</w:t>
            </w:r>
          </w:p>
          <w:p w14:paraId="581A1F3D">
            <w:pPr>
              <w:keepNext w:val="0"/>
              <w:keepLines w:val="0"/>
              <w:suppressLineNumbers w:val="0"/>
              <w:adjustRightInd w:val="0"/>
              <w:snapToGrid w:val="0"/>
              <w:spacing w:before="0" w:beforeAutospacing="0" w:after="0" w:afterAutospacing="0"/>
              <w:ind w:left="0" w:right="0"/>
              <w:jc w:val="left"/>
              <w:rPr>
                <w:rFonts w:hint="default"/>
                <w:color w:val="auto"/>
                <w:sz w:val="24"/>
              </w:rPr>
            </w:pPr>
            <w:r>
              <w:rPr>
                <w:rFonts w:hint="eastAsia" w:ascii="宋体" w:hAnsi="宋体"/>
                <w:color w:val="auto"/>
                <w:sz w:val="24"/>
              </w:rPr>
              <w:t>□</w:t>
            </w:r>
            <w:r>
              <w:rPr>
                <w:rFonts w:hint="default"/>
                <w:color w:val="auto"/>
                <w:sz w:val="24"/>
              </w:rPr>
              <w:t>是：</w:t>
            </w:r>
          </w:p>
        </w:tc>
      </w:tr>
      <w:tr w14:paraId="54DB73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45" w:type="pct"/>
            <w:vAlign w:val="center"/>
          </w:tcPr>
          <w:p w14:paraId="6E3E23A1">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rPr>
            </w:pPr>
            <w:r>
              <w:rPr>
                <w:rFonts w:hint="default"/>
                <w:b/>
                <w:bCs/>
                <w:color w:val="auto"/>
                <w:kern w:val="0"/>
                <w:sz w:val="24"/>
              </w:rPr>
              <w:t>专项评价设置情况</w:t>
            </w:r>
          </w:p>
        </w:tc>
        <w:tc>
          <w:tcPr>
            <w:tcW w:w="4354" w:type="pct"/>
            <w:gridSpan w:val="3"/>
            <w:vAlign w:val="center"/>
          </w:tcPr>
          <w:p w14:paraId="61CB4DE9">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default"/>
                <w:color w:val="auto"/>
                <w:u w:val="single"/>
                <w:lang w:val="en-US" w:eastAsia="zh-CN"/>
              </w:rPr>
            </w:pPr>
            <w:r>
              <w:rPr>
                <w:rFonts w:hint="eastAsia"/>
                <w:color w:val="auto"/>
                <w:sz w:val="24"/>
                <w:szCs w:val="24"/>
                <w:u w:val="single"/>
                <w:lang w:val="en-US" w:eastAsia="zh-CN"/>
              </w:rPr>
              <w:t>根据《建设项目环境影响报告表编制技术指南（生态影响类）》，专项评价设置原则参照下表。</w:t>
            </w:r>
          </w:p>
          <w:p w14:paraId="58617AD4">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表1</w:t>
            </w:r>
            <w:r>
              <w:rPr>
                <w:rFonts w:hint="eastAsia" w:cs="Times New Roman"/>
                <w:b/>
                <w:bCs/>
                <w:color w:val="auto"/>
                <w:sz w:val="21"/>
                <w:szCs w:val="21"/>
                <w:u w:val="single"/>
                <w:lang w:val="en-US" w:eastAsia="zh-CN"/>
              </w:rPr>
              <w:t>-1</w:t>
            </w:r>
            <w:r>
              <w:rPr>
                <w:rFonts w:hint="default" w:ascii="Times New Roman" w:hAnsi="Times New Roman" w:eastAsia="宋体" w:cs="Times New Roman"/>
                <w:b/>
                <w:bCs/>
                <w:color w:val="auto"/>
                <w:sz w:val="21"/>
                <w:szCs w:val="21"/>
                <w:u w:val="single"/>
                <w:lang w:val="en-US" w:eastAsia="zh-CN"/>
              </w:rPr>
              <w:t xml:space="preserve">  专项评价设置原则表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5"/>
              <w:gridCol w:w="4199"/>
              <w:gridCol w:w="1673"/>
            </w:tblGrid>
            <w:tr w14:paraId="7467E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5" w:type="dxa"/>
                  <w:vAlign w:val="center"/>
                </w:tcPr>
                <w:p w14:paraId="706C1B26">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single"/>
                      <w:vertAlign w:val="baseline"/>
                      <w:lang w:val="en-US" w:eastAsia="zh-CN"/>
                    </w:rPr>
                  </w:pPr>
                  <w:r>
                    <w:rPr>
                      <w:rFonts w:hint="eastAsia" w:ascii="Times New Roman" w:hAnsi="Times New Roman" w:eastAsia="宋体" w:cs="Times New Roman"/>
                      <w:b/>
                      <w:bCs/>
                      <w:color w:val="auto"/>
                      <w:sz w:val="21"/>
                      <w:szCs w:val="21"/>
                      <w:u w:val="single"/>
                      <w:vertAlign w:val="baseline"/>
                      <w:lang w:val="en-US" w:eastAsia="zh-CN"/>
                    </w:rPr>
                    <w:t>专项评价的类别</w:t>
                  </w:r>
                </w:p>
              </w:tc>
              <w:tc>
                <w:tcPr>
                  <w:tcW w:w="4199" w:type="dxa"/>
                  <w:vAlign w:val="center"/>
                </w:tcPr>
                <w:p w14:paraId="0A22E0F0">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single"/>
                      <w:vertAlign w:val="baseline"/>
                      <w:lang w:val="en-US" w:eastAsia="zh-CN"/>
                    </w:rPr>
                  </w:pPr>
                  <w:r>
                    <w:rPr>
                      <w:rFonts w:hint="eastAsia" w:ascii="Times New Roman" w:hAnsi="Times New Roman" w:eastAsia="宋体" w:cs="Times New Roman"/>
                      <w:b/>
                      <w:bCs/>
                      <w:color w:val="auto"/>
                      <w:sz w:val="21"/>
                      <w:szCs w:val="21"/>
                      <w:u w:val="single"/>
                      <w:vertAlign w:val="baseline"/>
                      <w:lang w:val="en-US" w:eastAsia="zh-CN"/>
                    </w:rPr>
                    <w:t>涉及项目类别</w:t>
                  </w:r>
                </w:p>
              </w:tc>
              <w:tc>
                <w:tcPr>
                  <w:tcW w:w="1673" w:type="dxa"/>
                  <w:vAlign w:val="center"/>
                </w:tcPr>
                <w:p w14:paraId="410E23B6">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single"/>
                      <w:vertAlign w:val="baseline"/>
                      <w:lang w:val="en-US" w:eastAsia="zh-CN"/>
                    </w:rPr>
                  </w:pPr>
                  <w:r>
                    <w:rPr>
                      <w:rFonts w:hint="eastAsia" w:ascii="Times New Roman" w:hAnsi="Times New Roman" w:eastAsia="宋体" w:cs="Times New Roman"/>
                      <w:b/>
                      <w:bCs/>
                      <w:color w:val="auto"/>
                      <w:sz w:val="21"/>
                      <w:szCs w:val="21"/>
                      <w:u w:val="single"/>
                      <w:vertAlign w:val="baseline"/>
                      <w:lang w:val="en-US" w:eastAsia="zh-CN"/>
                    </w:rPr>
                    <w:t>本项目情况</w:t>
                  </w:r>
                </w:p>
              </w:tc>
            </w:tr>
            <w:tr w14:paraId="50D6C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5" w:type="dxa"/>
                  <w:vAlign w:val="center"/>
                </w:tcPr>
                <w:p w14:paraId="6232837D">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地表水</w:t>
                  </w:r>
                </w:p>
              </w:tc>
              <w:tc>
                <w:tcPr>
                  <w:tcW w:w="4199" w:type="dxa"/>
                  <w:vAlign w:val="center"/>
                </w:tcPr>
                <w:p w14:paraId="54C1A987">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水力发电：引水式发电、涉及调峰发电的项目；</w:t>
                  </w:r>
                </w:p>
                <w:p w14:paraId="3F355B9F">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人工湖、人工湿地：全部；</w:t>
                  </w:r>
                </w:p>
                <w:p w14:paraId="3B74D5E3">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水库：全部；</w:t>
                  </w:r>
                </w:p>
                <w:p w14:paraId="35DBFB13">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引水工程：全部（配套的管线工程等除外）；</w:t>
                  </w:r>
                </w:p>
                <w:p w14:paraId="69D916F6">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防洪除涝工程：包含水库的项目；</w:t>
                  </w:r>
                </w:p>
                <w:p w14:paraId="182CB96E">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河湖整治：涉及清淤且底泥存在重金属污染的项目</w:t>
                  </w:r>
                </w:p>
              </w:tc>
              <w:tc>
                <w:tcPr>
                  <w:tcW w:w="1673" w:type="dxa"/>
                  <w:vAlign w:val="center"/>
                </w:tcPr>
                <w:p w14:paraId="2D3F83D5">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对比左侧项目类别，</w:t>
                  </w:r>
                  <w:r>
                    <w:rPr>
                      <w:rFonts w:hint="default" w:ascii="Times New Roman" w:hAnsi="Times New Roman" w:eastAsia="宋体" w:cs="Times New Roman"/>
                      <w:color w:val="auto"/>
                      <w:sz w:val="21"/>
                      <w:szCs w:val="21"/>
                      <w:u w:val="single"/>
                      <w:vertAlign w:val="baseline"/>
                      <w:lang w:val="en-US" w:eastAsia="zh-CN"/>
                    </w:rPr>
                    <w:t>项目</w:t>
                  </w:r>
                  <w:r>
                    <w:rPr>
                      <w:rFonts w:hint="eastAsia" w:cs="Times New Roman"/>
                      <w:color w:val="auto"/>
                      <w:sz w:val="21"/>
                      <w:szCs w:val="21"/>
                      <w:u w:val="single"/>
                      <w:vertAlign w:val="baseline"/>
                      <w:lang w:val="en-US" w:eastAsia="zh-CN"/>
                    </w:rPr>
                    <w:t>防洪除涝工程</w:t>
                  </w:r>
                  <w:r>
                    <w:rPr>
                      <w:rFonts w:hint="eastAsia" w:ascii="Times New Roman" w:hAnsi="Times New Roman" w:eastAsia="宋体" w:cs="Times New Roman"/>
                      <w:color w:val="auto"/>
                      <w:sz w:val="21"/>
                      <w:szCs w:val="21"/>
                      <w:u w:val="single"/>
                      <w:vertAlign w:val="baseline"/>
                      <w:lang w:val="en-US" w:eastAsia="zh-CN"/>
                    </w:rPr>
                    <w:t>不包含水库</w:t>
                  </w:r>
                  <w:r>
                    <w:rPr>
                      <w:rFonts w:hint="eastAsia" w:cs="Times New Roman"/>
                      <w:color w:val="auto"/>
                      <w:sz w:val="21"/>
                      <w:szCs w:val="21"/>
                      <w:u w:val="single"/>
                      <w:vertAlign w:val="baseline"/>
                      <w:lang w:val="en-US" w:eastAsia="zh-CN"/>
                    </w:rPr>
                    <w:t>，河湖整治工程</w:t>
                  </w:r>
                  <w:r>
                    <w:rPr>
                      <w:rFonts w:hint="default" w:ascii="Times New Roman" w:hAnsi="Times New Roman" w:eastAsia="宋体" w:cs="Times New Roman"/>
                      <w:color w:val="auto"/>
                      <w:sz w:val="21"/>
                      <w:szCs w:val="21"/>
                      <w:u w:val="single"/>
                      <w:vertAlign w:val="baseline"/>
                      <w:lang w:val="en-US" w:eastAsia="zh-CN"/>
                    </w:rPr>
                    <w:t>涉及清淤，</w:t>
                  </w:r>
                  <w:r>
                    <w:rPr>
                      <w:rFonts w:hint="eastAsia" w:cs="Times New Roman"/>
                      <w:color w:val="auto"/>
                      <w:sz w:val="21"/>
                      <w:szCs w:val="21"/>
                      <w:u w:val="single"/>
                      <w:vertAlign w:val="baseline"/>
                      <w:lang w:val="en-US" w:eastAsia="zh-CN"/>
                    </w:rPr>
                    <w:t>经补充监测结果可知项目底泥</w:t>
                  </w:r>
                  <w:r>
                    <w:rPr>
                      <w:rFonts w:hint="default" w:ascii="Times New Roman" w:hAnsi="Times New Roman" w:eastAsia="宋体" w:cs="Times New Roman"/>
                      <w:color w:val="auto"/>
                      <w:sz w:val="21"/>
                      <w:szCs w:val="21"/>
                      <w:u w:val="single"/>
                      <w:vertAlign w:val="baseline"/>
                      <w:lang w:val="en-US" w:eastAsia="zh-CN"/>
                    </w:rPr>
                    <w:t>不存在重金属污染</w:t>
                  </w:r>
                  <w:r>
                    <w:rPr>
                      <w:rFonts w:hint="eastAsia" w:ascii="Times New Roman" w:hAnsi="Times New Roman" w:eastAsia="宋体" w:cs="Times New Roman"/>
                      <w:color w:val="auto"/>
                      <w:sz w:val="21"/>
                      <w:szCs w:val="21"/>
                      <w:u w:val="single"/>
                      <w:vertAlign w:val="baseline"/>
                      <w:lang w:val="en-US" w:eastAsia="zh-CN"/>
                    </w:rPr>
                    <w:t>且</w:t>
                  </w:r>
                  <w:r>
                    <w:rPr>
                      <w:rFonts w:hint="default" w:ascii="Times New Roman" w:hAnsi="Times New Roman" w:eastAsia="宋体" w:cs="Times New Roman"/>
                      <w:color w:val="auto"/>
                      <w:sz w:val="21"/>
                      <w:szCs w:val="21"/>
                      <w:u w:val="single"/>
                      <w:vertAlign w:val="baseline"/>
                      <w:lang w:val="en-US" w:eastAsia="zh-CN"/>
                    </w:rPr>
                    <w:t>，故无需设置地表水专项评价</w:t>
                  </w:r>
                </w:p>
              </w:tc>
            </w:tr>
            <w:tr w14:paraId="0CCBF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5" w:type="dxa"/>
                  <w:vAlign w:val="center"/>
                </w:tcPr>
                <w:p w14:paraId="03DDD3E3">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地下水</w:t>
                  </w:r>
                </w:p>
              </w:tc>
              <w:tc>
                <w:tcPr>
                  <w:tcW w:w="4199" w:type="dxa"/>
                  <w:vAlign w:val="center"/>
                </w:tcPr>
                <w:p w14:paraId="67E57CB2">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陆地石油和天然气开采：全部；</w:t>
                  </w:r>
                </w:p>
                <w:p w14:paraId="5BC90E9D">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地下水（含矿泉水）开采：全部；</w:t>
                  </w:r>
                </w:p>
                <w:p w14:paraId="0EDF00A5">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水利、水电、交通等：含穿越可溶岩地层隧道的项目</w:t>
                  </w:r>
                </w:p>
              </w:tc>
              <w:tc>
                <w:tcPr>
                  <w:tcW w:w="1673" w:type="dxa"/>
                  <w:vAlign w:val="center"/>
                </w:tcPr>
                <w:p w14:paraId="33BAFB03">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不涉及</w:t>
                  </w:r>
                </w:p>
              </w:tc>
            </w:tr>
            <w:tr w14:paraId="0AC00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5" w:type="dxa"/>
                  <w:vAlign w:val="center"/>
                </w:tcPr>
                <w:p w14:paraId="52A0752B">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生态</w:t>
                  </w:r>
                </w:p>
              </w:tc>
              <w:tc>
                <w:tcPr>
                  <w:tcW w:w="4199" w:type="dxa"/>
                  <w:vAlign w:val="center"/>
                </w:tcPr>
                <w:p w14:paraId="450E9D5E">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涉及环境敏感区（不包括饮用水水源保护区，以居住、医疗卫生、文化教育、</w:t>
                  </w:r>
                </w:p>
                <w:p w14:paraId="642FDFED">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科研、行政办公为主要功能的区域，以及文物保护单位）的项目</w:t>
                  </w:r>
                </w:p>
              </w:tc>
              <w:tc>
                <w:tcPr>
                  <w:tcW w:w="1673" w:type="dxa"/>
                  <w:vAlign w:val="center"/>
                </w:tcPr>
                <w:p w14:paraId="7D97E127">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不涉及</w:t>
                  </w:r>
                </w:p>
              </w:tc>
            </w:tr>
            <w:tr w14:paraId="34DAE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5" w:type="dxa"/>
                  <w:vAlign w:val="center"/>
                </w:tcPr>
                <w:p w14:paraId="77908AA4">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大气</w:t>
                  </w:r>
                </w:p>
              </w:tc>
              <w:tc>
                <w:tcPr>
                  <w:tcW w:w="4199" w:type="dxa"/>
                  <w:vAlign w:val="center"/>
                </w:tcPr>
                <w:p w14:paraId="0B080F13">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油气、液体化工码头：全部；</w:t>
                  </w:r>
                </w:p>
                <w:p w14:paraId="1C441D09">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干散货（含煤炭、矿石）、件杂、多用途、通用码头：涉及粉尘、挥发性有</w:t>
                  </w:r>
                </w:p>
                <w:p w14:paraId="03C35143">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机物排放的项目</w:t>
                  </w:r>
                </w:p>
              </w:tc>
              <w:tc>
                <w:tcPr>
                  <w:tcW w:w="1673" w:type="dxa"/>
                  <w:vAlign w:val="center"/>
                </w:tcPr>
                <w:p w14:paraId="24CFC850">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不涉及</w:t>
                  </w:r>
                </w:p>
              </w:tc>
            </w:tr>
            <w:tr w14:paraId="7D969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5" w:type="dxa"/>
                  <w:vAlign w:val="center"/>
                </w:tcPr>
                <w:p w14:paraId="053548D7">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噪声</w:t>
                  </w:r>
                </w:p>
              </w:tc>
              <w:tc>
                <w:tcPr>
                  <w:tcW w:w="4199" w:type="dxa"/>
                  <w:vAlign w:val="center"/>
                </w:tcPr>
                <w:p w14:paraId="3ED0F578">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公路、铁路、机场等交通运输业涉及环境敏感区（以居住、医疗卫生、文化</w:t>
                  </w:r>
                </w:p>
                <w:p w14:paraId="4DC304EB">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教育、科研、行政办公为主要功能的区域）的项目；</w:t>
                  </w:r>
                </w:p>
                <w:p w14:paraId="2E9B2B27">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城市道路（不含维护，不含支路、人行天桥、人行地道）：全部</w:t>
                  </w:r>
                </w:p>
              </w:tc>
              <w:tc>
                <w:tcPr>
                  <w:tcW w:w="1673" w:type="dxa"/>
                  <w:vAlign w:val="center"/>
                </w:tcPr>
                <w:p w14:paraId="54E1BD09">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不涉及</w:t>
                  </w:r>
                </w:p>
              </w:tc>
            </w:tr>
            <w:tr w14:paraId="46D97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5" w:type="dxa"/>
                  <w:vAlign w:val="center"/>
                </w:tcPr>
                <w:p w14:paraId="1DBF5DAA">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环境风险</w:t>
                  </w:r>
                </w:p>
              </w:tc>
              <w:tc>
                <w:tcPr>
                  <w:tcW w:w="4199" w:type="dxa"/>
                  <w:vAlign w:val="center"/>
                </w:tcPr>
                <w:p w14:paraId="24B926B8">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石油和天然气开采：全部；</w:t>
                  </w:r>
                </w:p>
                <w:p w14:paraId="47388F64">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油气、液体化工码头：全部；</w:t>
                  </w:r>
                </w:p>
                <w:p w14:paraId="62C5D8A0">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原油、成品油、天然气管线（不含城镇天然气管线、企业厂区内管线），危</w:t>
                  </w:r>
                </w:p>
                <w:p w14:paraId="723B4C9D">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险化学品输送管线（不含企业厂区内管线）：全部</w:t>
                  </w:r>
                </w:p>
              </w:tc>
              <w:tc>
                <w:tcPr>
                  <w:tcW w:w="1673" w:type="dxa"/>
                  <w:vAlign w:val="center"/>
                </w:tcPr>
                <w:p w14:paraId="7FDC1077">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不涉及</w:t>
                  </w:r>
                </w:p>
              </w:tc>
            </w:tr>
          </w:tbl>
          <w:p w14:paraId="06A58281">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both"/>
              <w:rPr>
                <w:rFonts w:hint="default"/>
                <w:lang w:val="en-US" w:eastAsia="zh-CN"/>
              </w:rPr>
            </w:pPr>
            <w:r>
              <w:rPr>
                <w:rFonts w:hint="default"/>
                <w:color w:val="auto"/>
                <w:sz w:val="24"/>
                <w:szCs w:val="24"/>
                <w:u w:val="single"/>
                <w:lang w:val="en-US" w:eastAsia="zh-CN"/>
              </w:rPr>
              <w:t>综上，本项目</w:t>
            </w:r>
            <w:r>
              <w:rPr>
                <w:rFonts w:hint="eastAsia"/>
                <w:color w:val="auto"/>
                <w:sz w:val="24"/>
                <w:szCs w:val="24"/>
                <w:u w:val="single"/>
                <w:lang w:val="en-US" w:eastAsia="zh-CN"/>
              </w:rPr>
              <w:t>无</w:t>
            </w:r>
            <w:r>
              <w:rPr>
                <w:rFonts w:hint="default"/>
                <w:color w:val="auto"/>
                <w:sz w:val="24"/>
                <w:szCs w:val="24"/>
                <w:u w:val="single"/>
                <w:lang w:val="en-US" w:eastAsia="zh-CN"/>
              </w:rPr>
              <w:t>需设置地表水专项评价</w:t>
            </w:r>
            <w:r>
              <w:rPr>
                <w:rFonts w:hint="eastAsia"/>
                <w:color w:val="auto"/>
                <w:sz w:val="24"/>
                <w:szCs w:val="24"/>
                <w:u w:val="single"/>
                <w:lang w:val="en-US" w:eastAsia="zh-CN"/>
              </w:rPr>
              <w:t>。</w:t>
            </w:r>
          </w:p>
        </w:tc>
      </w:tr>
      <w:tr w14:paraId="3646F5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18" w:hRule="atLeast"/>
          <w:jc w:val="center"/>
        </w:trPr>
        <w:tc>
          <w:tcPr>
            <w:tcW w:w="645" w:type="pct"/>
            <w:vAlign w:val="center"/>
          </w:tcPr>
          <w:p w14:paraId="44F523F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u w:val="none"/>
              </w:rPr>
            </w:pPr>
            <w:r>
              <w:rPr>
                <w:rFonts w:hint="default"/>
                <w:b/>
                <w:bCs/>
                <w:color w:val="auto"/>
                <w:sz w:val="24"/>
                <w:u w:val="none"/>
              </w:rPr>
              <w:t>规划情况</w:t>
            </w:r>
          </w:p>
        </w:tc>
        <w:tc>
          <w:tcPr>
            <w:tcW w:w="4354" w:type="pct"/>
            <w:gridSpan w:val="3"/>
            <w:vAlign w:val="center"/>
          </w:tcPr>
          <w:p w14:paraId="190CD742">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eastAsia"/>
                <w:color w:val="auto"/>
                <w:spacing w:val="-2"/>
                <w:sz w:val="24"/>
                <w:u w:val="single"/>
                <w:lang w:val="en-US" w:eastAsia="zh-CN"/>
              </w:rPr>
            </w:pPr>
            <w:r>
              <w:rPr>
                <w:rFonts w:hint="eastAsia"/>
                <w:color w:val="auto"/>
                <w:spacing w:val="-2"/>
                <w:sz w:val="24"/>
                <w:u w:val="single"/>
                <w:lang w:val="en-US" w:eastAsia="zh-CN"/>
              </w:rPr>
              <w:t>《临湘市城市总体规划（2016—2030年）》</w:t>
            </w:r>
          </w:p>
          <w:p w14:paraId="0063AE66">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color w:val="auto"/>
                <w:spacing w:val="-2"/>
                <w:sz w:val="24"/>
                <w:u w:val="none"/>
                <w:lang w:val="en-US" w:eastAsia="zh-CN"/>
              </w:rPr>
            </w:pPr>
            <w:r>
              <w:rPr>
                <w:rFonts w:hint="eastAsia"/>
                <w:color w:val="auto"/>
                <w:spacing w:val="-2"/>
                <w:sz w:val="24"/>
                <w:u w:val="single"/>
                <w:lang w:val="en-US" w:eastAsia="zh-CN"/>
              </w:rPr>
              <w:t>《临湘市十四五水利发展规划》</w:t>
            </w:r>
          </w:p>
        </w:tc>
      </w:tr>
      <w:tr w14:paraId="6BA891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01" w:hRule="atLeast"/>
          <w:jc w:val="center"/>
        </w:trPr>
        <w:tc>
          <w:tcPr>
            <w:tcW w:w="645" w:type="pct"/>
            <w:vAlign w:val="center"/>
          </w:tcPr>
          <w:p w14:paraId="17EDA8EB">
            <w:pPr>
              <w:keepNext w:val="0"/>
              <w:keepLines w:val="0"/>
              <w:suppressLineNumbers w:val="0"/>
              <w:adjustRightInd w:val="0"/>
              <w:snapToGrid w:val="0"/>
              <w:spacing w:before="0" w:beforeAutospacing="0" w:after="0" w:afterAutospacing="0"/>
              <w:ind w:left="0" w:right="0"/>
              <w:jc w:val="center"/>
              <w:rPr>
                <w:rFonts w:hint="default"/>
                <w:b/>
                <w:bCs/>
                <w:color w:val="auto"/>
                <w:sz w:val="24"/>
                <w:u w:val="none"/>
              </w:rPr>
            </w:pPr>
            <w:r>
              <w:rPr>
                <w:rFonts w:hint="default"/>
                <w:b/>
                <w:bCs/>
                <w:color w:val="auto"/>
                <w:sz w:val="24"/>
                <w:u w:val="none"/>
              </w:rPr>
              <w:t>规划环境影响评价情况</w:t>
            </w:r>
          </w:p>
        </w:tc>
        <w:tc>
          <w:tcPr>
            <w:tcW w:w="4354" w:type="pct"/>
            <w:gridSpan w:val="3"/>
            <w:vAlign w:val="center"/>
          </w:tcPr>
          <w:p w14:paraId="38C35128">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eastAsia="宋体"/>
                <w:color w:val="auto"/>
                <w:u w:val="none"/>
                <w:lang w:val="en-US" w:eastAsia="zh-CN"/>
              </w:rPr>
            </w:pPr>
            <w:r>
              <w:rPr>
                <w:rFonts w:hint="eastAsia"/>
                <w:color w:val="auto"/>
                <w:u w:val="none"/>
                <w:lang w:val="en-US" w:eastAsia="zh-CN"/>
              </w:rPr>
              <w:t>无</w:t>
            </w:r>
          </w:p>
        </w:tc>
      </w:tr>
      <w:tr w14:paraId="6CB186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45" w:type="pct"/>
            <w:vAlign w:val="center"/>
          </w:tcPr>
          <w:p w14:paraId="6C6C09E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FF0000"/>
                <w:kern w:val="0"/>
                <w:sz w:val="24"/>
                <w:u w:val="none"/>
              </w:rPr>
            </w:pPr>
            <w:r>
              <w:rPr>
                <w:rFonts w:hint="default"/>
                <w:b/>
                <w:bCs/>
                <w:color w:val="auto"/>
                <w:kern w:val="0"/>
                <w:sz w:val="24"/>
                <w:u w:val="none"/>
              </w:rPr>
              <w:t>规划及规划环境影响评价符合性分析</w:t>
            </w:r>
          </w:p>
        </w:tc>
        <w:tc>
          <w:tcPr>
            <w:tcW w:w="4354" w:type="pct"/>
            <w:gridSpan w:val="3"/>
            <w:vAlign w:val="center"/>
          </w:tcPr>
          <w:p w14:paraId="04584D75">
            <w:pPr>
              <w:keepNext w:val="0"/>
              <w:keepLines w:val="0"/>
              <w:suppressLineNumbers w:val="0"/>
              <w:spacing w:before="0" w:beforeAutospacing="0" w:after="0" w:afterAutospacing="0" w:line="360" w:lineRule="auto"/>
              <w:ind w:left="0" w:right="0" w:firstLine="474" w:firstLineChars="200"/>
              <w:rPr>
                <w:rFonts w:hint="default" w:hAnsi="宋体"/>
                <w:b/>
                <w:bCs/>
                <w:color w:val="auto"/>
                <w:spacing w:val="-2"/>
                <w:sz w:val="24"/>
                <w:u w:val="none"/>
                <w:lang w:val="en-US" w:eastAsia="zh-CN"/>
              </w:rPr>
            </w:pPr>
            <w:r>
              <w:rPr>
                <w:rFonts w:hint="eastAsia" w:hAnsi="宋体"/>
                <w:b/>
                <w:bCs/>
                <w:color w:val="auto"/>
                <w:spacing w:val="-2"/>
                <w:sz w:val="24"/>
                <w:u w:val="none"/>
                <w:lang w:val="en-US" w:eastAsia="zh-CN"/>
              </w:rPr>
              <w:t>1、与《临湘市城市总体规划（2016—2030）》符合性分析</w:t>
            </w:r>
          </w:p>
          <w:p w14:paraId="03D08DC0">
            <w:pPr>
              <w:keepNext w:val="0"/>
              <w:keepLines w:val="0"/>
              <w:suppressLineNumbers w:val="0"/>
              <w:spacing w:before="0" w:beforeAutospacing="0" w:after="0" w:afterAutospacing="0" w:line="360" w:lineRule="auto"/>
              <w:ind w:left="0" w:right="0" w:firstLine="472" w:firstLineChars="200"/>
              <w:rPr>
                <w:rFonts w:hint="eastAsia" w:hAnsi="宋体"/>
                <w:b w:val="0"/>
                <w:bCs w:val="0"/>
                <w:color w:val="auto"/>
                <w:spacing w:val="-2"/>
                <w:sz w:val="24"/>
                <w:u w:val="none"/>
                <w:lang w:val="en-US" w:eastAsia="zh-CN"/>
              </w:rPr>
            </w:pPr>
            <w:r>
              <w:rPr>
                <w:rFonts w:hint="eastAsia" w:hAnsi="宋体"/>
                <w:b w:val="0"/>
                <w:bCs w:val="0"/>
                <w:color w:val="auto"/>
                <w:spacing w:val="-2"/>
                <w:sz w:val="24"/>
                <w:u w:val="none"/>
                <w:lang w:val="en-US" w:eastAsia="zh-CN"/>
              </w:rPr>
              <w:t>《规划》提出要建设宜居优美的城市环境，融入海绵城市理念。海绵城市不仅可以解决当前城市涝灾害、雨水径流污染、水资源短缺等突出问题，有利于修复城市水生态环境，还可以带来综合生态环境效益。如，通过城市植被、湿地、坑塘、溪流的保存和修复，可以明显增加城市“蓝”、“绿”空间，减少城市热岛效应，改善人居环境。因此建立尊重自然、顺应自然的低影响开发模式，是系统解决水安全、水资源、水环境问题的有效措施。同时应加强水土流失防治，加强长江沿岸和港口水利环境保护，加强对龙源水库、团湾水库五家塘水库、栗楠水库等水源涵养地的保护，重点建设黄盖湖湿地自然保护区，减少建设排水管道和钢筋混凝土水池的工程量，利用适宜当地的生态化设施，如植草沟、湿地、雨水塘、多功能调蓄水体等，与自然景观相结合，与城市绿地和水体相结合，充分利用雨水资源，缓解城市径流污染和涝风险，降低水环境污染巨额治理费用，减少城市涉造成的巨额损失。同时，加强五尖山森林公园的保护，加强农业面源污染防治，推进生态示村建设等，加强工业污染防治，大力建设城镇环境设施，推动绿色化发展，大力发展生态产业。</w:t>
            </w:r>
          </w:p>
          <w:p w14:paraId="48991B09">
            <w:pPr>
              <w:keepNext w:val="0"/>
              <w:keepLines w:val="0"/>
              <w:suppressLineNumbers w:val="0"/>
              <w:spacing w:before="0" w:beforeAutospacing="0" w:after="0" w:afterAutospacing="0" w:line="360" w:lineRule="auto"/>
              <w:ind w:left="0" w:right="0" w:firstLine="472" w:firstLineChars="200"/>
              <w:rPr>
                <w:rFonts w:hint="eastAsia" w:hAnsi="宋体"/>
                <w:b w:val="0"/>
                <w:bCs w:val="0"/>
                <w:color w:val="auto"/>
                <w:spacing w:val="-2"/>
                <w:sz w:val="24"/>
                <w:u w:val="none"/>
                <w:lang w:val="en-US" w:eastAsia="zh-CN"/>
              </w:rPr>
            </w:pPr>
            <w:r>
              <w:rPr>
                <w:rFonts w:hint="eastAsia" w:hAnsi="宋体"/>
                <w:b w:val="0"/>
                <w:bCs w:val="0"/>
                <w:color w:val="auto"/>
                <w:spacing w:val="-2"/>
                <w:sz w:val="24"/>
                <w:u w:val="none"/>
                <w:lang w:val="en-US" w:eastAsia="zh-CN"/>
              </w:rPr>
              <w:t>本项目的实施是为了通过对行泄通道、内涝点进行清淤修复等整治措施来解决解决当前城市涝灾害、雨水径流污染同时充分利用雨水资源，缓解城市径流污染和涝风险，降低水环境污染巨额治理费用，减少城市涉造成的巨额损失。</w:t>
            </w:r>
          </w:p>
          <w:p w14:paraId="40386F05">
            <w:pPr>
              <w:keepNext w:val="0"/>
              <w:keepLines w:val="0"/>
              <w:suppressLineNumbers w:val="0"/>
              <w:spacing w:before="0" w:beforeAutospacing="0" w:after="0" w:afterAutospacing="0" w:line="360" w:lineRule="auto"/>
              <w:ind w:left="0" w:right="0" w:firstLine="472" w:firstLineChars="200"/>
              <w:rPr>
                <w:rFonts w:hint="eastAsia" w:hAnsi="宋体"/>
                <w:b w:val="0"/>
                <w:bCs w:val="0"/>
                <w:color w:val="auto"/>
                <w:spacing w:val="-2"/>
                <w:sz w:val="24"/>
                <w:u w:val="none"/>
                <w:lang w:val="en-US" w:eastAsia="zh-CN"/>
              </w:rPr>
            </w:pPr>
            <w:r>
              <w:rPr>
                <w:rFonts w:hint="eastAsia" w:hAnsi="宋体"/>
                <w:b w:val="0"/>
                <w:bCs w:val="0"/>
                <w:color w:val="auto"/>
                <w:spacing w:val="-2"/>
                <w:sz w:val="24"/>
                <w:u w:val="none"/>
                <w:lang w:val="en-US" w:eastAsia="zh-CN"/>
              </w:rPr>
              <w:t>综上，本项目符合《临湘市城市总体规划（2016—2030）》的要求。</w:t>
            </w:r>
          </w:p>
          <w:p w14:paraId="175CFBC8">
            <w:pPr>
              <w:keepNext w:val="0"/>
              <w:keepLines w:val="0"/>
              <w:suppressLineNumbers w:val="0"/>
              <w:spacing w:before="0" w:beforeAutospacing="0" w:after="0" w:afterAutospacing="0" w:line="360" w:lineRule="auto"/>
              <w:ind w:left="0" w:right="0" w:firstLine="474" w:firstLineChars="200"/>
              <w:rPr>
                <w:rFonts w:hint="default" w:hAnsi="宋体"/>
                <w:b/>
                <w:bCs/>
                <w:color w:val="auto"/>
                <w:spacing w:val="-2"/>
                <w:sz w:val="24"/>
                <w:u w:val="none"/>
                <w:lang w:val="en-US" w:eastAsia="zh-CN"/>
              </w:rPr>
            </w:pPr>
            <w:r>
              <w:rPr>
                <w:rFonts w:hint="eastAsia" w:hAnsi="宋体"/>
                <w:b/>
                <w:bCs/>
                <w:color w:val="auto"/>
                <w:spacing w:val="-2"/>
                <w:sz w:val="24"/>
                <w:u w:val="none"/>
                <w:lang w:val="en-US" w:eastAsia="zh-CN"/>
              </w:rPr>
              <w:t>2、与《临湘市城乡排水处理专项规划（2018-2030年）—中心城区（分册）》符合性分析</w:t>
            </w:r>
          </w:p>
          <w:p w14:paraId="6C648464">
            <w:pPr>
              <w:keepNext w:val="0"/>
              <w:keepLines w:val="0"/>
              <w:suppressLineNumbers w:val="0"/>
              <w:spacing w:before="0" w:beforeAutospacing="0" w:after="0" w:afterAutospacing="0" w:line="360" w:lineRule="auto"/>
              <w:ind w:left="0" w:right="0" w:firstLine="472" w:firstLineChars="200"/>
              <w:rPr>
                <w:rFonts w:hint="eastAsia" w:hAnsi="宋体"/>
                <w:b w:val="0"/>
                <w:bCs w:val="0"/>
                <w:color w:val="auto"/>
                <w:spacing w:val="-2"/>
                <w:sz w:val="24"/>
                <w:u w:val="none"/>
                <w:lang w:val="en-US" w:eastAsia="zh-CN"/>
              </w:rPr>
            </w:pPr>
            <w:r>
              <w:rPr>
                <w:rFonts w:hint="eastAsia" w:hAnsi="宋体"/>
                <w:b w:val="0"/>
                <w:bCs w:val="0"/>
                <w:color w:val="auto"/>
                <w:spacing w:val="-2"/>
                <w:sz w:val="24"/>
                <w:u w:val="none"/>
                <w:lang w:val="en-US" w:eastAsia="zh-CN"/>
              </w:rPr>
              <w:t>《规划》提出雨水治理目标是发生城市雨水管网设计标准以内的降雨时，地面不应有明显积水；发生城市内涝防治标准以内的降雨时，城市不能出现内涝灾害；发生超过城市内涝防治标准的降雨时，城市运转基本正常，不得造成重大财产损失和人员伤亡。</w:t>
            </w:r>
          </w:p>
          <w:p w14:paraId="33ED02BF">
            <w:pPr>
              <w:keepNext w:val="0"/>
              <w:keepLines w:val="0"/>
              <w:suppressLineNumbers w:val="0"/>
              <w:spacing w:before="0" w:beforeAutospacing="0" w:after="0" w:afterAutospacing="0" w:line="360" w:lineRule="auto"/>
              <w:ind w:left="0" w:right="0" w:firstLine="472" w:firstLineChars="200"/>
              <w:rPr>
                <w:rFonts w:hint="default"/>
                <w:color w:val="auto"/>
                <w:spacing w:val="-2"/>
                <w:sz w:val="24"/>
                <w:u w:val="none"/>
                <w:lang w:val="en-US"/>
              </w:rPr>
            </w:pPr>
            <w:r>
              <w:rPr>
                <w:rFonts w:hint="eastAsia" w:hAnsi="宋体"/>
                <w:b w:val="0"/>
                <w:bCs w:val="0"/>
                <w:color w:val="auto"/>
                <w:spacing w:val="-2"/>
                <w:sz w:val="24"/>
                <w:u w:val="none"/>
                <w:lang w:val="en-US" w:eastAsia="zh-CN"/>
              </w:rPr>
              <w:t>在此规划基础上完成了可研及初步设计，根据可研、初设及城区实际情况确定了本次环评的具体内容，主要分为两部分，一部分针对城区的内涝点进行整治，第二部分对城区的行泄通道进行清淤扩容、挡墙修建及边坡修整，以此达到提高城区防洪排涝的能力，保障河道持续发挥流域泄洪、增强水资源配置能力和改善环境等方面作用，符合</w:t>
            </w:r>
            <w:r>
              <w:rPr>
                <w:rFonts w:hint="default"/>
                <w:color w:val="auto"/>
                <w:spacing w:val="-2"/>
                <w:sz w:val="24"/>
                <w:u w:val="none"/>
              </w:rPr>
              <w:t>《</w:t>
            </w:r>
            <w:r>
              <w:rPr>
                <w:rFonts w:hint="eastAsia"/>
                <w:color w:val="auto"/>
                <w:spacing w:val="-2"/>
                <w:sz w:val="24"/>
                <w:u w:val="none"/>
                <w:lang w:val="en-US" w:eastAsia="zh-CN"/>
              </w:rPr>
              <w:t>临湘市城乡排水处理专项规划</w:t>
            </w:r>
            <w:r>
              <w:rPr>
                <w:rFonts w:hint="default"/>
                <w:color w:val="auto"/>
                <w:spacing w:val="-2"/>
                <w:sz w:val="24"/>
                <w:u w:val="none"/>
              </w:rPr>
              <w:t>（</w:t>
            </w:r>
            <w:r>
              <w:rPr>
                <w:rFonts w:hint="eastAsia"/>
                <w:color w:val="auto"/>
                <w:spacing w:val="-2"/>
                <w:sz w:val="24"/>
                <w:u w:val="none"/>
                <w:lang w:val="en-US" w:eastAsia="zh-CN"/>
              </w:rPr>
              <w:t>2018-2030</w:t>
            </w:r>
            <w:r>
              <w:rPr>
                <w:rFonts w:hint="default"/>
                <w:color w:val="auto"/>
                <w:spacing w:val="-2"/>
                <w:sz w:val="24"/>
                <w:u w:val="none"/>
              </w:rPr>
              <w:t>年）</w:t>
            </w:r>
            <w:r>
              <w:rPr>
                <w:rFonts w:hint="eastAsia"/>
                <w:color w:val="auto"/>
                <w:spacing w:val="-2"/>
                <w:sz w:val="24"/>
                <w:u w:val="none"/>
                <w:lang w:eastAsia="zh-CN"/>
              </w:rPr>
              <w:t>—</w:t>
            </w:r>
            <w:r>
              <w:rPr>
                <w:rFonts w:hint="eastAsia"/>
                <w:color w:val="auto"/>
                <w:spacing w:val="-2"/>
                <w:sz w:val="24"/>
                <w:u w:val="none"/>
                <w:lang w:val="en-US" w:eastAsia="zh-CN"/>
              </w:rPr>
              <w:t>中心城区（分册）</w:t>
            </w:r>
            <w:r>
              <w:rPr>
                <w:rFonts w:hint="default"/>
                <w:color w:val="auto"/>
                <w:spacing w:val="-2"/>
                <w:sz w:val="24"/>
                <w:u w:val="none"/>
              </w:rPr>
              <w:t>》</w:t>
            </w:r>
            <w:r>
              <w:rPr>
                <w:rFonts w:hint="eastAsia"/>
                <w:color w:val="auto"/>
                <w:spacing w:val="-2"/>
                <w:sz w:val="24"/>
                <w:u w:val="none"/>
                <w:lang w:val="en-US" w:eastAsia="zh-CN"/>
              </w:rPr>
              <w:t>的要求。</w:t>
            </w:r>
          </w:p>
          <w:p w14:paraId="4580CEE1">
            <w:pPr>
              <w:keepNext w:val="0"/>
              <w:keepLines w:val="0"/>
              <w:suppressLineNumbers w:val="0"/>
              <w:spacing w:before="0" w:beforeAutospacing="0" w:after="0" w:afterAutospacing="0" w:line="360" w:lineRule="auto"/>
              <w:ind w:left="0" w:right="0" w:firstLine="474" w:firstLineChars="200"/>
              <w:rPr>
                <w:rFonts w:hint="default" w:hAnsi="宋体"/>
                <w:b/>
                <w:bCs/>
                <w:color w:val="auto"/>
                <w:spacing w:val="-2"/>
                <w:sz w:val="24"/>
                <w:u w:val="none"/>
                <w:lang w:val="en-US" w:eastAsia="zh-CN"/>
              </w:rPr>
            </w:pPr>
            <w:r>
              <w:rPr>
                <w:rFonts w:hint="eastAsia" w:hAnsi="宋体"/>
                <w:b/>
                <w:bCs/>
                <w:color w:val="auto"/>
                <w:spacing w:val="-2"/>
                <w:sz w:val="24"/>
                <w:u w:val="none"/>
                <w:lang w:val="en-US" w:eastAsia="zh-CN"/>
              </w:rPr>
              <w:t>3、与《临湘市中心城区排水（雨水）防涝综合规划（2014-2030年）》符合性分析</w:t>
            </w:r>
          </w:p>
          <w:p w14:paraId="6A5F6AD2">
            <w:pPr>
              <w:keepNext w:val="0"/>
              <w:keepLines w:val="0"/>
              <w:numPr>
                <w:ilvl w:val="0"/>
                <w:numId w:val="0"/>
              </w:numPr>
              <w:suppressLineNumbers w:val="0"/>
              <w:spacing w:before="0" w:beforeAutospacing="0" w:after="0" w:afterAutospacing="0" w:line="360" w:lineRule="auto"/>
              <w:ind w:left="0" w:right="0" w:rightChars="0" w:firstLine="472" w:firstLineChars="200"/>
              <w:rPr>
                <w:rFonts w:hint="eastAsia"/>
                <w:color w:val="auto"/>
                <w:spacing w:val="-2"/>
                <w:sz w:val="24"/>
                <w:u w:val="none"/>
                <w:lang w:val="en-US" w:eastAsia="zh-CN"/>
              </w:rPr>
            </w:pPr>
            <w:r>
              <w:rPr>
                <w:rFonts w:hint="eastAsia"/>
                <w:color w:val="auto"/>
                <w:spacing w:val="-2"/>
                <w:sz w:val="24"/>
                <w:u w:val="none"/>
                <w:lang w:val="en-US" w:eastAsia="zh-CN"/>
              </w:rPr>
              <w:t>《规划》要求针对规划区内雨水行泄能力不足的现状，对所有的城市内河水系等行涝通道的行洪能力进行复核计算，并提出合理化建议。重点对现状城市内河、水系进行清淤改造，适当拓宽行泄通道的宽度。同时结合规划区现状和建设时序，近期重点解决现状内涝区域的雨水排放的问题，配套道路建设，按雨水管网布置方案，在相关路段敷设雨水管道，通过改造现有绿地、城市广场地面结构、涝水行泄通道，满足近期雨水排放的实际需要，同时在有条件的区域采取雨水径流控制措施，减小规划内的径流系数，控制径流污染，保护城区内河水环境质量。</w:t>
            </w:r>
          </w:p>
          <w:p w14:paraId="60EE6F9B">
            <w:pPr>
              <w:keepNext w:val="0"/>
              <w:keepLines w:val="0"/>
              <w:numPr>
                <w:ilvl w:val="0"/>
                <w:numId w:val="0"/>
              </w:numPr>
              <w:suppressLineNumbers w:val="0"/>
              <w:spacing w:before="0" w:beforeAutospacing="0" w:after="0" w:afterAutospacing="0" w:line="360" w:lineRule="auto"/>
              <w:ind w:left="0" w:right="0" w:rightChars="0" w:firstLine="472" w:firstLineChars="200"/>
              <w:rPr>
                <w:rFonts w:hint="eastAsia"/>
                <w:color w:val="auto"/>
                <w:spacing w:val="-2"/>
                <w:sz w:val="24"/>
                <w:u w:val="none"/>
                <w:lang w:val="en-US" w:eastAsia="zh-CN"/>
              </w:rPr>
            </w:pPr>
            <w:r>
              <w:rPr>
                <w:rFonts w:hint="eastAsia"/>
                <w:color w:val="auto"/>
                <w:spacing w:val="-2"/>
                <w:sz w:val="24"/>
                <w:u w:val="none"/>
                <w:lang w:val="en-US" w:eastAsia="zh-CN"/>
              </w:rPr>
              <w:t>本项目对行泄通道通过清淤，边坡修整等行为来拓宽行泄通道宽度，对内涝点通过新建雨水沟、污水管等措施解决内涝点雨水排放问题，同时改善内涝点或环境，符合《临湘市中心城区排水（雨水）防涝综合规划（2014-2030年）》要求。</w:t>
            </w:r>
          </w:p>
          <w:p w14:paraId="288F591B">
            <w:pPr>
              <w:keepNext w:val="0"/>
              <w:keepLines w:val="0"/>
              <w:suppressLineNumbers w:val="0"/>
              <w:spacing w:before="0" w:beforeAutospacing="0" w:after="0" w:afterAutospacing="0" w:line="360" w:lineRule="auto"/>
              <w:ind w:left="0" w:right="0" w:firstLine="474" w:firstLineChars="200"/>
              <w:rPr>
                <w:rFonts w:hint="default" w:hAnsi="宋体"/>
                <w:b/>
                <w:bCs/>
                <w:color w:val="auto"/>
                <w:spacing w:val="-2"/>
                <w:sz w:val="24"/>
                <w:u w:val="single"/>
                <w:lang w:val="en-US" w:eastAsia="zh-CN"/>
              </w:rPr>
            </w:pPr>
            <w:r>
              <w:rPr>
                <w:rFonts w:hint="eastAsia" w:hAnsi="宋体"/>
                <w:b/>
                <w:bCs/>
                <w:color w:val="auto"/>
                <w:spacing w:val="-2"/>
                <w:sz w:val="24"/>
                <w:u w:val="single"/>
                <w:lang w:val="en-US" w:eastAsia="zh-CN"/>
              </w:rPr>
              <w:t>4、与《临湘市十四五水利发展规划》符合性分析</w:t>
            </w:r>
          </w:p>
          <w:p w14:paraId="116D3722">
            <w:pPr>
              <w:keepNext w:val="0"/>
              <w:keepLines w:val="0"/>
              <w:numPr>
                <w:ilvl w:val="0"/>
                <w:numId w:val="0"/>
              </w:numPr>
              <w:suppressLineNumbers w:val="0"/>
              <w:spacing w:before="0" w:beforeAutospacing="0" w:after="0" w:afterAutospacing="0" w:line="360" w:lineRule="auto"/>
              <w:ind w:left="0" w:right="0" w:rightChars="0" w:firstLine="472" w:firstLineChars="200"/>
              <w:rPr>
                <w:rFonts w:hint="eastAsia"/>
                <w:color w:val="auto"/>
                <w:spacing w:val="-2"/>
                <w:sz w:val="24"/>
                <w:u w:val="single"/>
                <w:lang w:val="en-US" w:eastAsia="zh-CN"/>
              </w:rPr>
            </w:pPr>
            <w:r>
              <w:rPr>
                <w:rFonts w:hint="eastAsia"/>
                <w:color w:val="auto"/>
                <w:spacing w:val="-2"/>
                <w:sz w:val="24"/>
                <w:u w:val="single"/>
                <w:lang w:val="en-US" w:eastAsia="zh-CN"/>
              </w:rPr>
              <w:t>《规划》计划在水利”十四五”规划期间对长安河下游段18km（其中6公里撇洪渠工程）的河道进行改造，进行整治；主要建设内容为新增排涝泵站及排涝设施、河道疏浚、护坡护岸、大堤加固、绿化、亮化、硬化，建设沿河风光带10.5km。</w:t>
            </w:r>
          </w:p>
          <w:p w14:paraId="438702B8">
            <w:pPr>
              <w:keepNext w:val="0"/>
              <w:keepLines w:val="0"/>
              <w:numPr>
                <w:ilvl w:val="0"/>
                <w:numId w:val="0"/>
              </w:numPr>
              <w:suppressLineNumbers w:val="0"/>
              <w:spacing w:before="0" w:beforeAutospacing="0" w:after="0" w:afterAutospacing="0" w:line="360" w:lineRule="auto"/>
              <w:ind w:left="0" w:right="0" w:rightChars="0" w:firstLine="472" w:firstLineChars="200"/>
              <w:rPr>
                <w:rFonts w:hint="default"/>
                <w:color w:val="auto"/>
                <w:spacing w:val="-2"/>
                <w:sz w:val="24"/>
                <w:u w:val="none"/>
                <w:lang w:val="en-US" w:eastAsia="zh-CN"/>
              </w:rPr>
            </w:pPr>
            <w:r>
              <w:rPr>
                <w:rFonts w:hint="eastAsia"/>
                <w:color w:val="auto"/>
                <w:spacing w:val="-2"/>
                <w:sz w:val="24"/>
                <w:u w:val="single"/>
                <w:lang w:val="en-US" w:eastAsia="zh-CN"/>
              </w:rPr>
              <w:t>本项目结合规划及实际情况选择对行泄通道通过清淤，边坡修整等行为来拓宽行泄通道宽度，对内涝点通过新建雨水沟、污水管等措施解决内涝点雨水排放问题，同时改善内涝点或环境，符合《临湘市十四五水利发展规划》要求。</w:t>
            </w:r>
          </w:p>
        </w:tc>
      </w:tr>
      <w:tr w14:paraId="31D0FF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45" w:type="pct"/>
            <w:vAlign w:val="center"/>
          </w:tcPr>
          <w:p w14:paraId="78D9FF1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FF0000"/>
                <w:kern w:val="0"/>
                <w:sz w:val="24"/>
                <w:u w:val="none"/>
              </w:rPr>
            </w:pPr>
            <w:r>
              <w:rPr>
                <w:rFonts w:hint="default"/>
                <w:b/>
                <w:bCs/>
                <w:color w:val="auto"/>
                <w:kern w:val="0"/>
                <w:sz w:val="24"/>
                <w:u w:val="none"/>
              </w:rPr>
              <w:t>其他符合性分析</w:t>
            </w:r>
          </w:p>
        </w:tc>
        <w:tc>
          <w:tcPr>
            <w:tcW w:w="4354" w:type="pct"/>
            <w:gridSpan w:val="3"/>
            <w:vAlign w:val="center"/>
          </w:tcPr>
          <w:p w14:paraId="216965C5">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default"/>
                <w:b/>
                <w:bCs/>
                <w:color w:val="auto"/>
                <w:kern w:val="0"/>
                <w:sz w:val="24"/>
                <w:u w:val="none"/>
              </w:rPr>
            </w:pPr>
            <w:r>
              <w:rPr>
                <w:rFonts w:hint="default"/>
                <w:b/>
                <w:bCs/>
                <w:color w:val="auto"/>
                <w:kern w:val="0"/>
                <w:sz w:val="24"/>
                <w:u w:val="none"/>
              </w:rPr>
              <w:t>1、产业</w:t>
            </w:r>
            <w:r>
              <w:rPr>
                <w:rFonts w:hint="eastAsia"/>
                <w:b/>
                <w:bCs/>
                <w:color w:val="auto"/>
                <w:kern w:val="0"/>
                <w:sz w:val="24"/>
                <w:u w:val="none"/>
                <w:lang w:val="en-US" w:eastAsia="zh-CN"/>
              </w:rPr>
              <w:t>政策符合</w:t>
            </w:r>
            <w:r>
              <w:rPr>
                <w:rFonts w:hint="default"/>
                <w:b/>
                <w:bCs/>
                <w:color w:val="auto"/>
                <w:kern w:val="0"/>
                <w:sz w:val="24"/>
                <w:u w:val="none"/>
              </w:rPr>
              <w:t>性分析</w:t>
            </w:r>
          </w:p>
          <w:p w14:paraId="00A66602">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color w:val="auto"/>
                <w:spacing w:val="-2"/>
                <w:sz w:val="24"/>
                <w:u w:val="none"/>
              </w:rPr>
            </w:pPr>
            <w:r>
              <w:rPr>
                <w:rFonts w:hint="eastAsia" w:hAnsi="宋体"/>
                <w:b w:val="0"/>
                <w:bCs w:val="0"/>
                <w:color w:val="auto"/>
                <w:spacing w:val="-2"/>
                <w:sz w:val="24"/>
                <w:u w:val="none"/>
                <w:lang w:val="en-US" w:eastAsia="zh-CN"/>
              </w:rPr>
              <w:t>“</w:t>
            </w:r>
            <w:r>
              <w:rPr>
                <w:rFonts w:hint="default"/>
                <w:color w:val="auto"/>
                <w:sz w:val="24"/>
              </w:rPr>
              <w:t>临湘市城区雨水调蓄及行泄通道工程项目（</w:t>
            </w:r>
            <w:r>
              <w:rPr>
                <w:rFonts w:hint="eastAsia"/>
                <w:color w:val="auto"/>
                <w:sz w:val="24"/>
                <w:lang w:eastAsia="zh-CN"/>
              </w:rPr>
              <w:t>雨水行泄通道及城区内涝点改造</w:t>
            </w:r>
            <w:r>
              <w:rPr>
                <w:rFonts w:hint="default"/>
                <w:color w:val="auto"/>
                <w:sz w:val="24"/>
              </w:rPr>
              <w:t>）</w:t>
            </w:r>
            <w:r>
              <w:rPr>
                <w:rFonts w:hint="eastAsia" w:hAnsi="宋体"/>
                <w:b w:val="0"/>
                <w:bCs w:val="0"/>
                <w:color w:val="auto"/>
                <w:spacing w:val="-2"/>
                <w:sz w:val="24"/>
                <w:u w:val="none"/>
                <w:lang w:val="en-US" w:eastAsia="zh-CN"/>
              </w:rPr>
              <w:t>”为城区雨水行泄通道整治及城区内涝点改造工程项目，</w:t>
            </w:r>
            <w:r>
              <w:rPr>
                <w:rFonts w:hint="default"/>
                <w:color w:val="auto"/>
                <w:spacing w:val="-2"/>
                <w:sz w:val="24"/>
                <w:u w:val="none"/>
              </w:rPr>
              <w:t>根据《产业结构调整指导目录》</w:t>
            </w:r>
            <w:r>
              <w:rPr>
                <w:rFonts w:hint="eastAsia"/>
                <w:color w:val="auto"/>
                <w:spacing w:val="-2"/>
                <w:sz w:val="24"/>
                <w:u w:val="none"/>
                <w:lang w:eastAsia="zh-CN"/>
              </w:rPr>
              <w:t>（</w:t>
            </w:r>
            <w:r>
              <w:rPr>
                <w:rFonts w:hint="default"/>
                <w:color w:val="auto"/>
                <w:spacing w:val="-2"/>
                <w:sz w:val="24"/>
                <w:u w:val="none"/>
              </w:rPr>
              <w:t>20</w:t>
            </w:r>
            <w:r>
              <w:rPr>
                <w:rFonts w:hint="eastAsia"/>
                <w:color w:val="auto"/>
                <w:spacing w:val="-2"/>
                <w:sz w:val="24"/>
                <w:u w:val="none"/>
                <w:lang w:val="en-US" w:eastAsia="zh-CN"/>
              </w:rPr>
              <w:t>24</w:t>
            </w:r>
            <w:r>
              <w:rPr>
                <w:rFonts w:hint="default"/>
                <w:color w:val="auto"/>
                <w:spacing w:val="-2"/>
                <w:sz w:val="24"/>
                <w:u w:val="none"/>
              </w:rPr>
              <w:t>年本</w:t>
            </w:r>
            <w:r>
              <w:rPr>
                <w:rFonts w:hint="eastAsia"/>
                <w:color w:val="auto"/>
                <w:spacing w:val="-2"/>
                <w:sz w:val="24"/>
                <w:u w:val="none"/>
                <w:lang w:eastAsia="zh-CN"/>
              </w:rPr>
              <w:t>）</w:t>
            </w:r>
            <w:r>
              <w:rPr>
                <w:rFonts w:hint="default"/>
                <w:color w:val="auto"/>
                <w:spacing w:val="-2"/>
                <w:sz w:val="24"/>
                <w:u w:val="none"/>
              </w:rPr>
              <w:t>，本项目属于</w:t>
            </w:r>
            <w:r>
              <w:rPr>
                <w:rFonts w:hint="eastAsia"/>
                <w:color w:val="auto"/>
                <w:spacing w:val="-2"/>
                <w:sz w:val="24"/>
                <w:u w:val="none"/>
                <w:lang w:val="en-US" w:eastAsia="zh-CN"/>
              </w:rPr>
              <w:t xml:space="preserve">第一类 </w:t>
            </w:r>
            <w:r>
              <w:rPr>
                <w:rFonts w:hint="default"/>
                <w:color w:val="auto"/>
                <w:spacing w:val="-2"/>
                <w:sz w:val="24"/>
                <w:u w:val="none"/>
              </w:rPr>
              <w:t>鼓励类：“二、水利”中的“</w:t>
            </w:r>
            <w:r>
              <w:rPr>
                <w:rFonts w:hint="eastAsia"/>
                <w:color w:val="auto"/>
                <w:spacing w:val="-2"/>
                <w:sz w:val="24"/>
                <w:u w:val="none"/>
                <w:lang w:val="en-US" w:eastAsia="zh-CN"/>
              </w:rPr>
              <w:t>3</w:t>
            </w:r>
            <w:r>
              <w:rPr>
                <w:rFonts w:hint="default"/>
                <w:color w:val="auto"/>
                <w:spacing w:val="-2"/>
                <w:sz w:val="24"/>
                <w:u w:val="none"/>
              </w:rPr>
              <w:t>、</w:t>
            </w:r>
            <w:r>
              <w:rPr>
                <w:rFonts w:hint="eastAsia"/>
                <w:color w:val="auto"/>
                <w:spacing w:val="-2"/>
                <w:sz w:val="24"/>
                <w:u w:val="none"/>
                <w:lang w:val="en-US" w:eastAsia="zh-CN"/>
              </w:rPr>
              <w:t>防洪提升</w:t>
            </w:r>
            <w:r>
              <w:rPr>
                <w:rFonts w:hint="default"/>
                <w:color w:val="auto"/>
                <w:spacing w:val="-2"/>
                <w:sz w:val="24"/>
                <w:u w:val="none"/>
              </w:rPr>
              <w:t>工程”。因此，本项目建设符合国家产业政策</w:t>
            </w:r>
            <w:r>
              <w:rPr>
                <w:rFonts w:hint="eastAsia"/>
                <w:color w:val="auto"/>
                <w:spacing w:val="-2"/>
                <w:sz w:val="24"/>
                <w:u w:val="none"/>
                <w:lang w:val="en-US" w:eastAsia="zh-CN"/>
              </w:rPr>
              <w:t>规定</w:t>
            </w:r>
            <w:r>
              <w:rPr>
                <w:rFonts w:hint="eastAsia"/>
                <w:color w:val="auto"/>
                <w:spacing w:val="-2"/>
                <w:sz w:val="24"/>
                <w:u w:val="none"/>
                <w:lang w:eastAsia="zh-CN"/>
              </w:rPr>
              <w:t>。</w:t>
            </w:r>
          </w:p>
          <w:p w14:paraId="05E308DF">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default"/>
                <w:b/>
                <w:bCs/>
                <w:color w:val="auto"/>
                <w:kern w:val="0"/>
                <w:sz w:val="24"/>
                <w:highlight w:val="none"/>
                <w:u w:val="single"/>
              </w:rPr>
            </w:pPr>
            <w:r>
              <w:rPr>
                <w:rFonts w:hint="eastAsia"/>
                <w:b/>
                <w:bCs/>
                <w:color w:val="auto"/>
                <w:kern w:val="0"/>
                <w:sz w:val="24"/>
                <w:highlight w:val="none"/>
                <w:u w:val="single"/>
                <w:lang w:val="en-US" w:eastAsia="zh-CN"/>
              </w:rPr>
              <w:t>2</w:t>
            </w:r>
            <w:r>
              <w:rPr>
                <w:rFonts w:hint="default"/>
                <w:b/>
                <w:bCs/>
                <w:color w:val="auto"/>
                <w:kern w:val="0"/>
                <w:sz w:val="24"/>
                <w:highlight w:val="none"/>
                <w:u w:val="single"/>
              </w:rPr>
              <w:t>、“生态环境分区管控”要求的符合性分析</w:t>
            </w:r>
          </w:p>
          <w:p w14:paraId="099E9F93">
            <w:pPr>
              <w:keepNext w:val="0"/>
              <w:keepLines w:val="0"/>
              <w:suppressLineNumbers w:val="0"/>
              <w:spacing w:before="0" w:beforeAutospacing="0" w:after="0" w:afterAutospacing="0" w:line="360" w:lineRule="auto"/>
              <w:ind w:left="0" w:right="0" w:firstLine="480" w:firstLineChars="200"/>
              <w:rPr>
                <w:rFonts w:hint="eastAsia"/>
                <w:color w:val="auto"/>
                <w:sz w:val="24"/>
                <w:u w:val="single"/>
                <w:lang w:eastAsia="zh-CN"/>
              </w:rPr>
            </w:pPr>
            <w:r>
              <w:rPr>
                <w:rFonts w:hint="eastAsia"/>
                <w:color w:val="auto"/>
                <w:sz w:val="24"/>
                <w:u w:val="single"/>
                <w:lang w:val="en-US" w:eastAsia="zh-CN"/>
              </w:rPr>
              <w:t>根据2024年12月17日岳阳市生态环境局发布的《岳阳市生态环境分区管控动态更新成果（2023年版）》</w:t>
            </w:r>
            <w:r>
              <w:rPr>
                <w:rFonts w:hint="eastAsia"/>
                <w:color w:val="auto"/>
                <w:sz w:val="24"/>
                <w:u w:val="single"/>
              </w:rPr>
              <w:t>对全市按行政区域实行生态环境分区管控</w:t>
            </w:r>
            <w:r>
              <w:rPr>
                <w:rFonts w:hint="eastAsia"/>
                <w:color w:val="auto"/>
                <w:sz w:val="24"/>
                <w:u w:val="single"/>
                <w:lang w:eastAsia="zh-CN"/>
              </w:rPr>
              <w:t>，岳阳市生态环境管控单元更新后，共划定63个单元，其中包括优先保护单元为19个，面积占比为41.07%；重点管控单元32个，面积占比为38.87%；一般管控单元12个，面积占比为20.06%。</w:t>
            </w:r>
          </w:p>
          <w:p w14:paraId="6A9FC533">
            <w:pPr>
              <w:keepNext w:val="0"/>
              <w:keepLines w:val="0"/>
              <w:suppressLineNumbers w:val="0"/>
              <w:spacing w:before="0" w:beforeAutospacing="0" w:after="0" w:afterAutospacing="0" w:line="360" w:lineRule="auto"/>
              <w:ind w:left="0" w:right="0" w:firstLine="474" w:firstLineChars="200"/>
              <w:rPr>
                <w:rFonts w:hint="eastAsia" w:hAnsi="宋体"/>
                <w:b/>
                <w:bCs/>
                <w:color w:val="auto"/>
                <w:spacing w:val="-2"/>
                <w:sz w:val="24"/>
                <w:u w:val="single"/>
                <w:lang w:val="en-US" w:eastAsia="zh-CN"/>
              </w:rPr>
            </w:pPr>
            <w:r>
              <w:rPr>
                <w:rFonts w:hint="eastAsia" w:hAnsi="宋体"/>
                <w:b/>
                <w:bCs/>
                <w:color w:val="auto"/>
                <w:spacing w:val="-2"/>
                <w:sz w:val="24"/>
                <w:u w:val="single"/>
                <w:lang w:val="en-US" w:eastAsia="zh-CN"/>
              </w:rPr>
              <w:t>①环境管控单元生态环境准入清单</w:t>
            </w:r>
          </w:p>
          <w:p w14:paraId="197B0516">
            <w:pPr>
              <w:keepNext w:val="0"/>
              <w:keepLines w:val="0"/>
              <w:suppressLineNumbers w:val="0"/>
              <w:spacing w:before="0" w:beforeAutospacing="0" w:after="0" w:afterAutospacing="0" w:line="360" w:lineRule="auto"/>
              <w:ind w:left="0" w:right="0" w:firstLine="480" w:firstLineChars="200"/>
              <w:rPr>
                <w:rFonts w:hint="eastAsia"/>
                <w:bCs/>
                <w:color w:val="auto"/>
                <w:sz w:val="24"/>
                <w:u w:val="single"/>
                <w:lang w:eastAsia="zh-CN"/>
              </w:rPr>
            </w:pPr>
            <w:r>
              <w:rPr>
                <w:rFonts w:hint="eastAsia"/>
                <w:bCs/>
                <w:color w:val="auto"/>
                <w:sz w:val="24"/>
                <w:u w:val="single"/>
              </w:rPr>
              <w:t>根据</w:t>
            </w:r>
            <w:r>
              <w:rPr>
                <w:rFonts w:hint="eastAsia"/>
                <w:color w:val="auto"/>
                <w:sz w:val="24"/>
                <w:u w:val="single"/>
                <w:lang w:val="en-US" w:eastAsia="zh-CN"/>
              </w:rPr>
              <w:t>《岳阳市生态环境分区管控动态更新成果（2023年版）》</w:t>
            </w:r>
            <w:r>
              <w:rPr>
                <w:rFonts w:hint="eastAsia"/>
                <w:bCs/>
                <w:color w:val="auto"/>
                <w:sz w:val="24"/>
                <w:u w:val="single"/>
              </w:rPr>
              <w:t>，项目</w:t>
            </w:r>
            <w:r>
              <w:rPr>
                <w:rFonts w:hint="eastAsia"/>
                <w:bCs/>
                <w:color w:val="auto"/>
                <w:sz w:val="24"/>
                <w:u w:val="single"/>
                <w:lang w:val="en-US" w:eastAsia="zh-CN"/>
              </w:rPr>
              <w:t>建设地属于重点管控单元：ZH43068220002（</w:t>
            </w:r>
            <w:r>
              <w:rPr>
                <w:rFonts w:hint="default" w:ascii="宋体" w:hAnsi="宋体" w:eastAsia="宋体" w:cs="宋体"/>
                <w:sz w:val="24"/>
                <w:szCs w:val="24"/>
                <w:u w:val="single"/>
              </w:rPr>
              <w:t>桃矿街道/桃林镇/</w:t>
            </w:r>
            <w:r>
              <w:rPr>
                <w:rFonts w:hint="default" w:ascii="宋体" w:hAnsi="宋体" w:eastAsia="宋体" w:cs="宋体"/>
                <w:b/>
                <w:bCs/>
                <w:sz w:val="24"/>
                <w:szCs w:val="24"/>
                <w:u w:val="single"/>
              </w:rPr>
              <w:t>五里牌街道/云湖街道/长安街道</w:t>
            </w:r>
            <w:r>
              <w:rPr>
                <w:rFonts w:hint="default" w:ascii="宋体" w:hAnsi="宋体" w:eastAsia="宋体" w:cs="宋体"/>
                <w:sz w:val="24"/>
                <w:szCs w:val="24"/>
                <w:u w:val="single"/>
              </w:rPr>
              <w:t>/忠防镇</w:t>
            </w:r>
            <w:r>
              <w:rPr>
                <w:rFonts w:hint="eastAsia"/>
                <w:bCs/>
                <w:color w:val="auto"/>
                <w:sz w:val="24"/>
                <w:u w:val="single"/>
                <w:lang w:val="en-US" w:eastAsia="zh-CN"/>
              </w:rPr>
              <w:t>）,具体情况详见下表</w:t>
            </w:r>
            <w:r>
              <w:rPr>
                <w:rFonts w:hint="eastAsia"/>
                <w:bCs/>
                <w:color w:val="auto"/>
                <w:sz w:val="24"/>
                <w:u w:val="single"/>
                <w:lang w:eastAsia="zh-CN"/>
              </w:rPr>
              <w:t>。</w:t>
            </w:r>
          </w:p>
          <w:p w14:paraId="604EE083">
            <w:pPr>
              <w:pStyle w:val="7"/>
              <w:keepNext w:val="0"/>
              <w:keepLines w:val="0"/>
              <w:suppressLineNumbers w:val="0"/>
              <w:spacing w:before="0" w:beforeAutospacing="0" w:after="0" w:afterAutospacing="0" w:line="360" w:lineRule="exact"/>
              <w:ind w:left="0" w:right="0"/>
              <w:rPr>
                <w:rFonts w:hint="default" w:ascii="Times New Roman" w:hAnsi="Times New Roman" w:eastAsia="宋体"/>
                <w:color w:val="auto"/>
                <w:sz w:val="21"/>
                <w:u w:val="single"/>
                <w:lang w:val="en-US" w:eastAsia="zh-CN"/>
              </w:rPr>
            </w:pPr>
            <w:r>
              <w:rPr>
                <w:rFonts w:hint="default" w:ascii="Times New Roman" w:hAnsi="Times New Roman"/>
                <w:color w:val="auto"/>
                <w:sz w:val="21"/>
                <w:u w:val="single"/>
              </w:rPr>
              <w:t>表1-</w:t>
            </w:r>
            <w:r>
              <w:rPr>
                <w:rFonts w:hint="eastAsia" w:ascii="Times New Roman" w:hAnsi="Times New Roman"/>
                <w:color w:val="auto"/>
                <w:sz w:val="21"/>
                <w:u w:val="single"/>
                <w:lang w:val="en-US" w:eastAsia="zh-CN"/>
              </w:rPr>
              <w:t>2  管控单元基本情况</w:t>
            </w:r>
          </w:p>
          <w:tbl>
            <w:tblPr>
              <w:tblStyle w:val="2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469"/>
              <w:gridCol w:w="794"/>
              <w:gridCol w:w="638"/>
              <w:gridCol w:w="634"/>
              <w:gridCol w:w="2094"/>
              <w:gridCol w:w="783"/>
            </w:tblGrid>
            <w:tr w14:paraId="36A23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8" w:type="pct"/>
                  <w:vAlign w:val="center"/>
                </w:tcPr>
                <w:p w14:paraId="39206F41">
                  <w:pPr>
                    <w:keepNext w:val="0"/>
                    <w:keepLines w:val="0"/>
                    <w:suppressLineNumbers w:val="0"/>
                    <w:spacing w:before="0" w:beforeAutospacing="0" w:after="0" w:afterAutospacing="0" w:line="320" w:lineRule="exact"/>
                    <w:ind w:left="0" w:right="0"/>
                    <w:jc w:val="center"/>
                    <w:rPr>
                      <w:rFonts w:hint="default" w:eastAsia="宋体"/>
                      <w:b/>
                      <w:bCs w:val="0"/>
                      <w:color w:val="auto"/>
                      <w:szCs w:val="21"/>
                      <w:u w:val="single"/>
                      <w:lang w:val="en-US" w:eastAsia="zh-CN"/>
                    </w:rPr>
                  </w:pPr>
                  <w:r>
                    <w:rPr>
                      <w:rFonts w:hint="eastAsia"/>
                      <w:b/>
                      <w:bCs w:val="0"/>
                      <w:color w:val="auto"/>
                      <w:szCs w:val="21"/>
                      <w:u w:val="single"/>
                      <w:lang w:val="en-US" w:eastAsia="zh-CN"/>
                    </w:rPr>
                    <w:t>环境管控单元编码</w:t>
                  </w:r>
                </w:p>
              </w:tc>
              <w:tc>
                <w:tcPr>
                  <w:tcW w:w="333" w:type="pct"/>
                  <w:vAlign w:val="center"/>
                </w:tcPr>
                <w:p w14:paraId="28E490CC">
                  <w:pPr>
                    <w:keepNext w:val="0"/>
                    <w:keepLines w:val="0"/>
                    <w:suppressLineNumbers w:val="0"/>
                    <w:spacing w:before="0" w:beforeAutospacing="0" w:after="0" w:afterAutospacing="0" w:line="320" w:lineRule="exact"/>
                    <w:ind w:left="0" w:right="0"/>
                    <w:jc w:val="center"/>
                    <w:rPr>
                      <w:rFonts w:hint="eastAsia" w:eastAsia="宋体"/>
                      <w:b/>
                      <w:bCs w:val="0"/>
                      <w:color w:val="auto"/>
                      <w:szCs w:val="21"/>
                      <w:u w:val="single"/>
                      <w:lang w:eastAsia="zh-CN"/>
                    </w:rPr>
                  </w:pPr>
                  <w:r>
                    <w:rPr>
                      <w:rFonts w:hint="eastAsia"/>
                      <w:b/>
                      <w:bCs w:val="0"/>
                      <w:color w:val="auto"/>
                      <w:szCs w:val="21"/>
                      <w:u w:val="single"/>
                      <w:lang w:val="en-US" w:eastAsia="zh-CN"/>
                    </w:rPr>
                    <w:t>单元分类</w:t>
                  </w:r>
                </w:p>
              </w:tc>
              <w:tc>
                <w:tcPr>
                  <w:tcW w:w="562" w:type="pct"/>
                  <w:vAlign w:val="center"/>
                </w:tcPr>
                <w:p w14:paraId="38BF5F87">
                  <w:pPr>
                    <w:keepNext w:val="0"/>
                    <w:keepLines w:val="0"/>
                    <w:suppressLineNumbers w:val="0"/>
                    <w:spacing w:before="0" w:beforeAutospacing="0" w:after="0" w:afterAutospacing="0" w:line="320" w:lineRule="exact"/>
                    <w:ind w:left="0" w:right="0"/>
                    <w:jc w:val="center"/>
                    <w:rPr>
                      <w:rFonts w:hint="default" w:eastAsia="宋体"/>
                      <w:b/>
                      <w:bCs w:val="0"/>
                      <w:color w:val="auto"/>
                      <w:szCs w:val="21"/>
                      <w:u w:val="single"/>
                      <w:lang w:val="en-US" w:eastAsia="zh-CN"/>
                    </w:rPr>
                  </w:pPr>
                  <w:r>
                    <w:rPr>
                      <w:rFonts w:hint="eastAsia"/>
                      <w:b/>
                      <w:bCs w:val="0"/>
                      <w:color w:val="auto"/>
                      <w:szCs w:val="21"/>
                      <w:u w:val="single"/>
                      <w:lang w:val="en-US" w:eastAsia="zh-CN"/>
                    </w:rPr>
                    <w:t>单元面积km</w:t>
                  </w:r>
                  <w:r>
                    <w:rPr>
                      <w:rFonts w:hint="eastAsia"/>
                      <w:b/>
                      <w:bCs w:val="0"/>
                      <w:color w:val="auto"/>
                      <w:szCs w:val="21"/>
                      <w:u w:val="single"/>
                      <w:vertAlign w:val="superscript"/>
                      <w:lang w:val="en-US" w:eastAsia="zh-CN"/>
                    </w:rPr>
                    <w:t>2</w:t>
                  </w:r>
                </w:p>
              </w:tc>
              <w:tc>
                <w:tcPr>
                  <w:tcW w:w="451" w:type="pct"/>
                  <w:vAlign w:val="center"/>
                </w:tcPr>
                <w:p w14:paraId="1203CF7A">
                  <w:pPr>
                    <w:keepNext w:val="0"/>
                    <w:keepLines w:val="0"/>
                    <w:suppressLineNumbers w:val="0"/>
                    <w:spacing w:before="0" w:beforeAutospacing="0" w:after="0" w:afterAutospacing="0" w:line="320" w:lineRule="exact"/>
                    <w:ind w:left="0" w:right="0"/>
                    <w:jc w:val="center"/>
                    <w:rPr>
                      <w:rFonts w:hint="default" w:eastAsia="宋体"/>
                      <w:b/>
                      <w:bCs w:val="0"/>
                      <w:color w:val="auto"/>
                      <w:szCs w:val="21"/>
                      <w:u w:val="single"/>
                      <w:lang w:val="en-US" w:eastAsia="zh-CN"/>
                    </w:rPr>
                  </w:pPr>
                  <w:r>
                    <w:rPr>
                      <w:rFonts w:hint="eastAsia"/>
                      <w:b/>
                      <w:bCs w:val="0"/>
                      <w:color w:val="auto"/>
                      <w:szCs w:val="21"/>
                      <w:u w:val="single"/>
                      <w:lang w:val="en-US" w:eastAsia="zh-CN"/>
                    </w:rPr>
                    <w:t>涉及乡镇（街道）</w:t>
                  </w:r>
                </w:p>
              </w:tc>
              <w:tc>
                <w:tcPr>
                  <w:tcW w:w="449" w:type="pct"/>
                  <w:vAlign w:val="center"/>
                </w:tcPr>
                <w:p w14:paraId="70AF61C7">
                  <w:pPr>
                    <w:keepNext w:val="0"/>
                    <w:keepLines w:val="0"/>
                    <w:suppressLineNumbers w:val="0"/>
                    <w:spacing w:before="0" w:beforeAutospacing="0" w:after="0" w:afterAutospacing="0" w:line="320" w:lineRule="exact"/>
                    <w:ind w:left="0" w:right="0"/>
                    <w:jc w:val="center"/>
                    <w:rPr>
                      <w:rFonts w:hint="default" w:eastAsia="宋体"/>
                      <w:b/>
                      <w:bCs w:val="0"/>
                      <w:color w:val="auto"/>
                      <w:szCs w:val="21"/>
                      <w:u w:val="single"/>
                      <w:lang w:val="en-US" w:eastAsia="zh-CN"/>
                    </w:rPr>
                  </w:pPr>
                  <w:r>
                    <w:rPr>
                      <w:rFonts w:hint="eastAsia"/>
                      <w:b/>
                      <w:bCs w:val="0"/>
                      <w:color w:val="auto"/>
                      <w:szCs w:val="21"/>
                      <w:u w:val="single"/>
                      <w:lang w:val="en-US" w:eastAsia="zh-CN"/>
                    </w:rPr>
                    <w:t>主体功能定位</w:t>
                  </w:r>
                </w:p>
              </w:tc>
              <w:tc>
                <w:tcPr>
                  <w:tcW w:w="1482" w:type="pct"/>
                  <w:vAlign w:val="center"/>
                </w:tcPr>
                <w:p w14:paraId="2F1D95B7">
                  <w:pPr>
                    <w:keepNext w:val="0"/>
                    <w:keepLines w:val="0"/>
                    <w:suppressLineNumbers w:val="0"/>
                    <w:spacing w:before="0" w:beforeAutospacing="0" w:after="0" w:afterAutospacing="0" w:line="320" w:lineRule="exact"/>
                    <w:ind w:left="0" w:right="0"/>
                    <w:jc w:val="center"/>
                    <w:rPr>
                      <w:rFonts w:hint="default"/>
                      <w:b/>
                      <w:bCs w:val="0"/>
                      <w:color w:val="auto"/>
                      <w:szCs w:val="21"/>
                      <w:u w:val="single"/>
                      <w:lang w:val="en-US" w:eastAsia="zh-CN"/>
                    </w:rPr>
                  </w:pPr>
                  <w:r>
                    <w:rPr>
                      <w:rFonts w:hint="eastAsia"/>
                      <w:b/>
                      <w:bCs w:val="0"/>
                      <w:color w:val="auto"/>
                      <w:szCs w:val="21"/>
                      <w:u w:val="single"/>
                      <w:lang w:val="en-US" w:eastAsia="zh-CN"/>
                    </w:rPr>
                    <w:t>经济产业布局</w:t>
                  </w:r>
                </w:p>
              </w:tc>
              <w:tc>
                <w:tcPr>
                  <w:tcW w:w="552" w:type="pct"/>
                  <w:vAlign w:val="center"/>
                </w:tcPr>
                <w:p w14:paraId="4B314DB5">
                  <w:pPr>
                    <w:keepNext w:val="0"/>
                    <w:keepLines w:val="0"/>
                    <w:suppressLineNumbers w:val="0"/>
                    <w:spacing w:before="0" w:beforeAutospacing="0" w:after="0" w:afterAutospacing="0" w:line="320" w:lineRule="exact"/>
                    <w:ind w:left="0" w:right="0"/>
                    <w:jc w:val="center"/>
                    <w:rPr>
                      <w:rFonts w:hint="default"/>
                      <w:b/>
                      <w:bCs w:val="0"/>
                      <w:color w:val="auto"/>
                      <w:szCs w:val="21"/>
                      <w:u w:val="single"/>
                      <w:lang w:val="en-US" w:eastAsia="zh-CN"/>
                    </w:rPr>
                  </w:pPr>
                  <w:r>
                    <w:rPr>
                      <w:rFonts w:hint="eastAsia"/>
                      <w:b/>
                      <w:bCs w:val="0"/>
                      <w:color w:val="auto"/>
                      <w:szCs w:val="21"/>
                      <w:u w:val="single"/>
                      <w:lang w:val="en-US" w:eastAsia="zh-CN"/>
                    </w:rPr>
                    <w:t>主要环境问题</w:t>
                  </w:r>
                </w:p>
              </w:tc>
            </w:tr>
            <w:tr w14:paraId="71646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168" w:type="pct"/>
                  <w:vMerge w:val="restart"/>
                  <w:vAlign w:val="center"/>
                </w:tcPr>
                <w:p w14:paraId="7D576E45">
                  <w:pPr>
                    <w:keepNext w:val="0"/>
                    <w:keepLines w:val="0"/>
                    <w:suppressLineNumbers w:val="0"/>
                    <w:spacing w:before="0" w:beforeAutospacing="0" w:after="0" w:afterAutospacing="0" w:line="320" w:lineRule="exact"/>
                    <w:ind w:left="0" w:right="0"/>
                    <w:jc w:val="center"/>
                    <w:rPr>
                      <w:rFonts w:hint="eastAsia"/>
                      <w:b w:val="0"/>
                      <w:bCs/>
                      <w:color w:val="auto"/>
                      <w:szCs w:val="21"/>
                      <w:u w:val="single"/>
                      <w:lang w:val="en-US" w:eastAsia="zh-CN"/>
                    </w:rPr>
                  </w:pPr>
                  <w:r>
                    <w:rPr>
                      <w:rFonts w:hint="eastAsia"/>
                      <w:b w:val="0"/>
                      <w:bCs/>
                      <w:color w:val="auto"/>
                      <w:szCs w:val="21"/>
                      <w:u w:val="single"/>
                      <w:lang w:val="en-US" w:eastAsia="zh-CN"/>
                    </w:rPr>
                    <w:t>ZH43068220002</w:t>
                  </w:r>
                </w:p>
              </w:tc>
              <w:tc>
                <w:tcPr>
                  <w:tcW w:w="333" w:type="pct"/>
                  <w:vMerge w:val="restart"/>
                  <w:vAlign w:val="center"/>
                </w:tcPr>
                <w:p w14:paraId="57FE6967">
                  <w:pPr>
                    <w:keepNext w:val="0"/>
                    <w:keepLines w:val="0"/>
                    <w:suppressLineNumbers w:val="0"/>
                    <w:spacing w:before="0" w:beforeAutospacing="0" w:after="0" w:afterAutospacing="0" w:line="320" w:lineRule="exact"/>
                    <w:ind w:left="0" w:right="0"/>
                    <w:jc w:val="center"/>
                    <w:rPr>
                      <w:rFonts w:hint="default"/>
                      <w:b w:val="0"/>
                      <w:bCs/>
                      <w:color w:val="auto"/>
                      <w:szCs w:val="21"/>
                      <w:u w:val="single"/>
                      <w:lang w:val="en-US" w:eastAsia="zh-CN"/>
                    </w:rPr>
                  </w:pPr>
                  <w:r>
                    <w:rPr>
                      <w:rFonts w:hint="eastAsia"/>
                      <w:b w:val="0"/>
                      <w:bCs/>
                      <w:color w:val="auto"/>
                      <w:szCs w:val="21"/>
                      <w:u w:val="single"/>
                      <w:lang w:val="en-US" w:eastAsia="zh-CN"/>
                    </w:rPr>
                    <w:t>重点管控单元</w:t>
                  </w:r>
                </w:p>
              </w:tc>
              <w:tc>
                <w:tcPr>
                  <w:tcW w:w="562" w:type="pct"/>
                  <w:vMerge w:val="restart"/>
                  <w:vAlign w:val="center"/>
                </w:tcPr>
                <w:p w14:paraId="79AAA6D1">
                  <w:pPr>
                    <w:keepNext w:val="0"/>
                    <w:keepLines w:val="0"/>
                    <w:suppressLineNumbers w:val="0"/>
                    <w:spacing w:before="0" w:beforeAutospacing="0" w:after="0" w:afterAutospacing="0" w:line="320" w:lineRule="exact"/>
                    <w:ind w:left="0" w:right="0"/>
                    <w:jc w:val="center"/>
                    <w:rPr>
                      <w:rFonts w:hint="default"/>
                      <w:b w:val="0"/>
                      <w:bCs/>
                      <w:color w:val="auto"/>
                      <w:szCs w:val="21"/>
                      <w:u w:val="single"/>
                      <w:lang w:val="en-US" w:eastAsia="zh-CN"/>
                    </w:rPr>
                  </w:pPr>
                  <w:r>
                    <w:rPr>
                      <w:rFonts w:hint="eastAsia"/>
                      <w:b w:val="0"/>
                      <w:bCs/>
                      <w:color w:val="auto"/>
                      <w:szCs w:val="21"/>
                      <w:u w:val="single"/>
                      <w:lang w:val="en-US" w:eastAsia="zh-CN"/>
                    </w:rPr>
                    <w:t>386.08</w:t>
                  </w:r>
                </w:p>
              </w:tc>
              <w:tc>
                <w:tcPr>
                  <w:tcW w:w="451" w:type="pct"/>
                  <w:vAlign w:val="center"/>
                </w:tcPr>
                <w:p w14:paraId="1B01A1FB">
                  <w:pPr>
                    <w:keepNext w:val="0"/>
                    <w:keepLines w:val="0"/>
                    <w:suppressLineNumbers w:val="0"/>
                    <w:spacing w:before="0" w:beforeAutospacing="0" w:after="0" w:afterAutospacing="0" w:line="320" w:lineRule="exact"/>
                    <w:ind w:left="0" w:right="0"/>
                    <w:jc w:val="center"/>
                    <w:rPr>
                      <w:rFonts w:hint="eastAsia"/>
                      <w:b w:val="0"/>
                      <w:bCs/>
                      <w:color w:val="auto"/>
                      <w:szCs w:val="21"/>
                      <w:u w:val="single"/>
                      <w:lang w:val="en-US" w:eastAsia="zh-CN"/>
                    </w:rPr>
                  </w:pPr>
                  <w:r>
                    <w:rPr>
                      <w:rFonts w:hint="eastAsia"/>
                      <w:b w:val="0"/>
                      <w:bCs/>
                      <w:color w:val="auto"/>
                      <w:szCs w:val="21"/>
                      <w:u w:val="single"/>
                      <w:lang w:val="en-US" w:eastAsia="zh-CN"/>
                    </w:rPr>
                    <w:t>桃矿街道/桃林镇/</w:t>
                  </w:r>
                  <w:r>
                    <w:rPr>
                      <w:rFonts w:hint="eastAsia"/>
                      <w:b/>
                      <w:bCs w:val="0"/>
                      <w:color w:val="auto"/>
                      <w:szCs w:val="21"/>
                      <w:u w:val="single"/>
                      <w:lang w:val="en-US" w:eastAsia="zh-CN"/>
                    </w:rPr>
                    <w:t>五里牌街道/长安街道</w:t>
                  </w:r>
                  <w:r>
                    <w:rPr>
                      <w:rFonts w:hint="eastAsia"/>
                      <w:b w:val="0"/>
                      <w:bCs/>
                      <w:color w:val="auto"/>
                      <w:szCs w:val="21"/>
                      <w:u w:val="single"/>
                      <w:lang w:val="en-US" w:eastAsia="zh-CN"/>
                    </w:rPr>
                    <w:t>/</w:t>
                  </w:r>
                </w:p>
              </w:tc>
              <w:tc>
                <w:tcPr>
                  <w:tcW w:w="449" w:type="pct"/>
                  <w:vAlign w:val="center"/>
                </w:tcPr>
                <w:p w14:paraId="538AF8F9">
                  <w:pPr>
                    <w:keepNext w:val="0"/>
                    <w:keepLines w:val="0"/>
                    <w:suppressLineNumbers w:val="0"/>
                    <w:spacing w:before="0" w:beforeAutospacing="0" w:after="0" w:afterAutospacing="0" w:line="320" w:lineRule="exact"/>
                    <w:ind w:left="0" w:right="0"/>
                    <w:jc w:val="center"/>
                    <w:rPr>
                      <w:rFonts w:hint="eastAsia"/>
                      <w:b w:val="0"/>
                      <w:bCs/>
                      <w:color w:val="auto"/>
                      <w:szCs w:val="21"/>
                      <w:u w:val="single"/>
                      <w:lang w:val="en-US" w:eastAsia="zh-CN"/>
                    </w:rPr>
                  </w:pPr>
                  <w:r>
                    <w:rPr>
                      <w:rFonts w:hint="eastAsia"/>
                      <w:b w:val="0"/>
                      <w:bCs/>
                      <w:color w:val="auto"/>
                      <w:szCs w:val="21"/>
                      <w:u w:val="single"/>
                      <w:lang w:val="en-US" w:eastAsia="zh-CN"/>
                    </w:rPr>
                    <w:t>城市化地区</w:t>
                  </w:r>
                </w:p>
              </w:tc>
              <w:tc>
                <w:tcPr>
                  <w:tcW w:w="1482" w:type="pct"/>
                  <w:vAlign w:val="center"/>
                </w:tcPr>
                <w:p w14:paraId="06552233">
                  <w:pPr>
                    <w:keepNext w:val="0"/>
                    <w:keepLines w:val="0"/>
                    <w:suppressLineNumbers w:val="0"/>
                    <w:spacing w:before="0" w:beforeAutospacing="0" w:after="0" w:afterAutospacing="0" w:line="320" w:lineRule="exact"/>
                    <w:ind w:left="0" w:right="0"/>
                    <w:jc w:val="center"/>
                    <w:rPr>
                      <w:rFonts w:hint="eastAsia"/>
                      <w:b w:val="0"/>
                      <w:bCs/>
                      <w:color w:val="auto"/>
                      <w:szCs w:val="21"/>
                      <w:u w:val="single"/>
                      <w:lang w:val="en-US" w:eastAsia="zh-CN"/>
                    </w:rPr>
                  </w:pPr>
                  <w:r>
                    <w:rPr>
                      <w:rFonts w:hint="eastAsia"/>
                      <w:b/>
                      <w:bCs w:val="0"/>
                      <w:color w:val="auto"/>
                      <w:szCs w:val="21"/>
                      <w:u w:val="single"/>
                      <w:lang w:val="en-US" w:eastAsia="zh-CN"/>
                    </w:rPr>
                    <w:t>长安街道/云湖街道：</w:t>
                  </w:r>
                  <w:r>
                    <w:rPr>
                      <w:rFonts w:hint="eastAsia"/>
                      <w:b w:val="0"/>
                      <w:bCs/>
                      <w:color w:val="auto"/>
                      <w:szCs w:val="21"/>
                      <w:u w:val="single"/>
                      <w:lang w:val="en-US" w:eastAsia="zh-CN"/>
                    </w:rPr>
                    <w:t>做大做强白云石矿业，搞好矿石深加工；沿城市周边荆竹山、杨田、路口铺、麻塘社区打造城市后花园，市民一日游</w:t>
                  </w:r>
                </w:p>
                <w:p w14:paraId="37FBA168">
                  <w:pPr>
                    <w:keepNext w:val="0"/>
                    <w:keepLines w:val="0"/>
                    <w:suppressLineNumbers w:val="0"/>
                    <w:spacing w:before="0" w:beforeAutospacing="0" w:after="0" w:afterAutospacing="0" w:line="320" w:lineRule="exact"/>
                    <w:ind w:left="0" w:right="0"/>
                    <w:jc w:val="center"/>
                    <w:rPr>
                      <w:rFonts w:hint="default"/>
                      <w:b w:val="0"/>
                      <w:bCs/>
                      <w:color w:val="auto"/>
                      <w:szCs w:val="21"/>
                      <w:u w:val="single"/>
                      <w:lang w:val="en-US" w:eastAsia="zh-CN"/>
                    </w:rPr>
                  </w:pPr>
                  <w:r>
                    <w:rPr>
                      <w:rFonts w:hint="eastAsia"/>
                      <w:b w:val="0"/>
                      <w:bCs/>
                      <w:color w:val="auto"/>
                      <w:szCs w:val="21"/>
                      <w:u w:val="single"/>
                      <w:lang w:val="en-US" w:eastAsia="zh-CN"/>
                    </w:rPr>
                    <w:t>休闲路线；打造矿产运输物流业。</w:t>
                  </w:r>
                </w:p>
              </w:tc>
              <w:tc>
                <w:tcPr>
                  <w:tcW w:w="552" w:type="pct"/>
                  <w:vMerge w:val="restart"/>
                  <w:vAlign w:val="center"/>
                </w:tcPr>
                <w:p w14:paraId="67A9828B">
                  <w:pPr>
                    <w:keepNext w:val="0"/>
                    <w:keepLines w:val="0"/>
                    <w:suppressLineNumbers w:val="0"/>
                    <w:spacing w:before="0" w:beforeAutospacing="0" w:after="0" w:afterAutospacing="0" w:line="320" w:lineRule="exact"/>
                    <w:ind w:left="0" w:right="0"/>
                    <w:jc w:val="center"/>
                    <w:rPr>
                      <w:rFonts w:hint="eastAsia"/>
                      <w:b w:val="0"/>
                      <w:bCs/>
                      <w:color w:val="auto"/>
                      <w:szCs w:val="21"/>
                      <w:u w:val="single"/>
                      <w:lang w:val="en-US" w:eastAsia="zh-CN"/>
                    </w:rPr>
                  </w:pPr>
                  <w:r>
                    <w:rPr>
                      <w:rFonts w:hint="eastAsia"/>
                      <w:b/>
                      <w:bCs w:val="0"/>
                      <w:color w:val="auto"/>
                      <w:szCs w:val="21"/>
                      <w:u w:val="single"/>
                      <w:lang w:val="en-US" w:eastAsia="zh-CN"/>
                    </w:rPr>
                    <w:t>长安街道/五里牌街道/云湖街道：</w:t>
                  </w:r>
                  <w:r>
                    <w:rPr>
                      <w:rFonts w:hint="eastAsia"/>
                      <w:b w:val="0"/>
                      <w:bCs/>
                      <w:color w:val="auto"/>
                      <w:szCs w:val="21"/>
                      <w:u w:val="single"/>
                      <w:lang w:val="en-US" w:eastAsia="zh-CN"/>
                    </w:rPr>
                    <w:t>部分浮标企业未有效防治，对城区环境有一定影响；白云矿区扬尘防治有一定压力。</w:t>
                  </w:r>
                </w:p>
              </w:tc>
            </w:tr>
            <w:tr w14:paraId="3FEEF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168" w:type="pct"/>
                  <w:vMerge w:val="continue"/>
                  <w:vAlign w:val="center"/>
                </w:tcPr>
                <w:p w14:paraId="1125C57A">
                  <w:pPr>
                    <w:keepNext w:val="0"/>
                    <w:keepLines w:val="0"/>
                    <w:suppressLineNumbers w:val="0"/>
                    <w:spacing w:before="0" w:beforeAutospacing="0" w:after="0" w:afterAutospacing="0" w:line="320" w:lineRule="exact"/>
                    <w:ind w:left="0" w:right="0"/>
                    <w:jc w:val="center"/>
                    <w:rPr>
                      <w:rFonts w:hint="default"/>
                      <w:u w:val="single"/>
                    </w:rPr>
                  </w:pPr>
                </w:p>
              </w:tc>
              <w:tc>
                <w:tcPr>
                  <w:tcW w:w="333" w:type="pct"/>
                  <w:vMerge w:val="continue"/>
                  <w:vAlign w:val="center"/>
                </w:tcPr>
                <w:p w14:paraId="384942C5">
                  <w:pPr>
                    <w:keepNext w:val="0"/>
                    <w:keepLines w:val="0"/>
                    <w:suppressLineNumbers w:val="0"/>
                    <w:spacing w:before="0" w:beforeAutospacing="0" w:after="0" w:afterAutospacing="0" w:line="320" w:lineRule="exact"/>
                    <w:ind w:left="0" w:right="0"/>
                    <w:jc w:val="center"/>
                    <w:rPr>
                      <w:rFonts w:hint="default"/>
                      <w:u w:val="single"/>
                    </w:rPr>
                  </w:pPr>
                </w:p>
              </w:tc>
              <w:tc>
                <w:tcPr>
                  <w:tcW w:w="562" w:type="pct"/>
                  <w:vMerge w:val="continue"/>
                  <w:vAlign w:val="center"/>
                </w:tcPr>
                <w:p w14:paraId="11754136">
                  <w:pPr>
                    <w:keepNext w:val="0"/>
                    <w:keepLines w:val="0"/>
                    <w:suppressLineNumbers w:val="0"/>
                    <w:spacing w:before="0" w:beforeAutospacing="0" w:after="0" w:afterAutospacing="0" w:line="320" w:lineRule="exact"/>
                    <w:ind w:left="0" w:right="0"/>
                    <w:jc w:val="center"/>
                    <w:rPr>
                      <w:rFonts w:hint="default"/>
                      <w:u w:val="single"/>
                    </w:rPr>
                  </w:pPr>
                </w:p>
              </w:tc>
              <w:tc>
                <w:tcPr>
                  <w:tcW w:w="451" w:type="pct"/>
                  <w:vAlign w:val="center"/>
                </w:tcPr>
                <w:p w14:paraId="57413C19">
                  <w:pPr>
                    <w:keepNext w:val="0"/>
                    <w:keepLines w:val="0"/>
                    <w:suppressLineNumbers w:val="0"/>
                    <w:spacing w:before="0" w:beforeAutospacing="0" w:after="0" w:afterAutospacing="0" w:line="320" w:lineRule="exact"/>
                    <w:ind w:left="0" w:right="0"/>
                    <w:jc w:val="center"/>
                    <w:rPr>
                      <w:rFonts w:hint="eastAsia"/>
                      <w:b w:val="0"/>
                      <w:bCs/>
                      <w:color w:val="auto"/>
                      <w:szCs w:val="21"/>
                      <w:u w:val="single"/>
                      <w:lang w:val="en-US" w:eastAsia="zh-CN"/>
                    </w:rPr>
                  </w:pPr>
                  <w:r>
                    <w:rPr>
                      <w:rFonts w:hint="eastAsia"/>
                      <w:b w:val="0"/>
                      <w:bCs/>
                      <w:color w:val="auto"/>
                      <w:szCs w:val="21"/>
                      <w:u w:val="single"/>
                      <w:lang w:val="en-US" w:eastAsia="zh-CN"/>
                    </w:rPr>
                    <w:t>忠防镇</w:t>
                  </w:r>
                </w:p>
              </w:tc>
              <w:tc>
                <w:tcPr>
                  <w:tcW w:w="449" w:type="pct"/>
                  <w:vAlign w:val="center"/>
                </w:tcPr>
                <w:p w14:paraId="667100CD">
                  <w:pPr>
                    <w:keepNext w:val="0"/>
                    <w:keepLines w:val="0"/>
                    <w:suppressLineNumbers w:val="0"/>
                    <w:spacing w:before="0" w:beforeAutospacing="0" w:after="0" w:afterAutospacing="0" w:line="320" w:lineRule="exact"/>
                    <w:ind w:left="0" w:right="0"/>
                    <w:jc w:val="center"/>
                    <w:rPr>
                      <w:rFonts w:hint="eastAsia"/>
                      <w:b w:val="0"/>
                      <w:bCs/>
                      <w:color w:val="auto"/>
                      <w:szCs w:val="21"/>
                      <w:u w:val="single"/>
                      <w:lang w:val="en-US" w:eastAsia="zh-CN"/>
                    </w:rPr>
                  </w:pPr>
                  <w:r>
                    <w:rPr>
                      <w:rFonts w:hint="eastAsia"/>
                      <w:b w:val="0"/>
                      <w:bCs/>
                      <w:color w:val="auto"/>
                      <w:szCs w:val="21"/>
                      <w:u w:val="single"/>
                      <w:lang w:val="en-US" w:eastAsia="zh-CN"/>
                    </w:rPr>
                    <w:t>农产品</w:t>
                  </w:r>
                </w:p>
                <w:p w14:paraId="5D9B66E8">
                  <w:pPr>
                    <w:keepNext w:val="0"/>
                    <w:keepLines w:val="0"/>
                    <w:suppressLineNumbers w:val="0"/>
                    <w:spacing w:before="0" w:beforeAutospacing="0" w:after="0" w:afterAutospacing="0" w:line="320" w:lineRule="exact"/>
                    <w:ind w:left="0" w:right="0"/>
                    <w:jc w:val="center"/>
                    <w:rPr>
                      <w:rFonts w:hint="eastAsia"/>
                      <w:b w:val="0"/>
                      <w:bCs/>
                      <w:color w:val="auto"/>
                      <w:szCs w:val="21"/>
                      <w:u w:val="single"/>
                      <w:lang w:val="en-US" w:eastAsia="zh-CN"/>
                    </w:rPr>
                  </w:pPr>
                  <w:r>
                    <w:rPr>
                      <w:rFonts w:hint="eastAsia"/>
                      <w:b w:val="0"/>
                      <w:bCs/>
                      <w:color w:val="auto"/>
                      <w:szCs w:val="21"/>
                      <w:u w:val="single"/>
                      <w:lang w:val="en-US" w:eastAsia="zh-CN"/>
                    </w:rPr>
                    <w:t>主产区</w:t>
                  </w:r>
                </w:p>
              </w:tc>
              <w:tc>
                <w:tcPr>
                  <w:tcW w:w="1482" w:type="pct"/>
                  <w:vAlign w:val="center"/>
                </w:tcPr>
                <w:p w14:paraId="35575F5B">
                  <w:pPr>
                    <w:keepNext w:val="0"/>
                    <w:keepLines w:val="0"/>
                    <w:suppressLineNumbers w:val="0"/>
                    <w:spacing w:before="0" w:beforeAutospacing="0" w:after="0" w:afterAutospacing="0" w:line="320" w:lineRule="exact"/>
                    <w:ind w:left="0" w:right="0"/>
                    <w:jc w:val="center"/>
                    <w:rPr>
                      <w:rFonts w:hint="eastAsia"/>
                      <w:b w:val="0"/>
                      <w:bCs/>
                      <w:color w:val="auto"/>
                      <w:szCs w:val="21"/>
                      <w:u w:val="single"/>
                      <w:lang w:val="en-US" w:eastAsia="zh-CN"/>
                    </w:rPr>
                  </w:pPr>
                  <w:r>
                    <w:rPr>
                      <w:rFonts w:hint="eastAsia"/>
                      <w:b/>
                      <w:bCs w:val="0"/>
                      <w:color w:val="auto"/>
                      <w:szCs w:val="21"/>
                      <w:u w:val="single"/>
                      <w:lang w:val="en-US" w:eastAsia="zh-CN"/>
                    </w:rPr>
                    <w:t>五里牌街道：</w:t>
                  </w:r>
                  <w:r>
                    <w:rPr>
                      <w:rFonts w:hint="eastAsia"/>
                      <w:b w:val="0"/>
                      <w:bCs/>
                      <w:color w:val="auto"/>
                      <w:szCs w:val="21"/>
                      <w:u w:val="single"/>
                      <w:lang w:val="en-US" w:eastAsia="zh-CN"/>
                    </w:rPr>
                    <w:t>沿107国道发展茶叶加工业、果蔬采摘园、商业贸易服务业、农产品贸易市场及物流服务业；沿最江公路发展茶叶加工业、茶叶种植、艾绒加工、竹木家具加工、建材加工（混凝土和料场、水泥砖、轻能砖、电线厂）；沿五大路发展竹笋加工，康养产业；浮标制造业。</w:t>
                  </w:r>
                </w:p>
              </w:tc>
              <w:tc>
                <w:tcPr>
                  <w:tcW w:w="552" w:type="pct"/>
                  <w:vMerge w:val="continue"/>
                  <w:vAlign w:val="center"/>
                </w:tcPr>
                <w:p w14:paraId="37760217">
                  <w:pPr>
                    <w:keepNext w:val="0"/>
                    <w:keepLines w:val="0"/>
                    <w:suppressLineNumbers w:val="0"/>
                    <w:spacing w:before="0" w:beforeAutospacing="0" w:after="0" w:afterAutospacing="0" w:line="320" w:lineRule="exact"/>
                    <w:ind w:left="0" w:right="0"/>
                    <w:jc w:val="center"/>
                    <w:rPr>
                      <w:rFonts w:hint="eastAsia"/>
                      <w:b w:val="0"/>
                      <w:bCs/>
                      <w:color w:val="auto"/>
                      <w:szCs w:val="21"/>
                      <w:u w:val="single"/>
                      <w:lang w:val="en-US" w:eastAsia="zh-CN"/>
                    </w:rPr>
                  </w:pPr>
                </w:p>
              </w:tc>
            </w:tr>
            <w:tr w14:paraId="469E1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8" w:type="pct"/>
                  <w:vAlign w:val="center"/>
                </w:tcPr>
                <w:p w14:paraId="5A2CEE01">
                  <w:pPr>
                    <w:keepNext w:val="0"/>
                    <w:keepLines w:val="0"/>
                    <w:suppressLineNumbers w:val="0"/>
                    <w:spacing w:before="0" w:beforeAutospacing="0" w:after="0" w:afterAutospacing="0" w:line="320" w:lineRule="exact"/>
                    <w:ind w:left="0" w:right="0"/>
                    <w:jc w:val="center"/>
                    <w:rPr>
                      <w:rFonts w:hint="eastAsia"/>
                      <w:b/>
                      <w:bCs w:val="0"/>
                      <w:color w:val="auto"/>
                      <w:szCs w:val="21"/>
                      <w:u w:val="single"/>
                      <w:lang w:val="en-US" w:eastAsia="zh-CN"/>
                    </w:rPr>
                  </w:pPr>
                  <w:r>
                    <w:rPr>
                      <w:rFonts w:hint="eastAsia"/>
                      <w:b/>
                      <w:bCs w:val="0"/>
                      <w:color w:val="auto"/>
                      <w:szCs w:val="21"/>
                      <w:u w:val="single"/>
                      <w:lang w:val="en-US" w:eastAsia="zh-CN"/>
                    </w:rPr>
                    <w:t>重要敏感目标</w:t>
                  </w:r>
                </w:p>
              </w:tc>
              <w:tc>
                <w:tcPr>
                  <w:tcW w:w="3831" w:type="pct"/>
                  <w:gridSpan w:val="6"/>
                  <w:vAlign w:val="center"/>
                </w:tcPr>
                <w:p w14:paraId="354B85FA">
                  <w:pPr>
                    <w:keepNext w:val="0"/>
                    <w:keepLines w:val="0"/>
                    <w:suppressLineNumbers w:val="0"/>
                    <w:spacing w:before="0" w:beforeAutospacing="0" w:after="0" w:afterAutospacing="0" w:line="320" w:lineRule="exact"/>
                    <w:ind w:left="0" w:right="0"/>
                    <w:jc w:val="left"/>
                    <w:rPr>
                      <w:rFonts w:hint="eastAsia"/>
                      <w:b w:val="0"/>
                      <w:bCs/>
                      <w:color w:val="auto"/>
                      <w:szCs w:val="21"/>
                      <w:u w:val="single"/>
                      <w:lang w:val="en-US" w:eastAsia="zh-CN"/>
                    </w:rPr>
                  </w:pPr>
                  <w:r>
                    <w:rPr>
                      <w:rFonts w:hint="eastAsia"/>
                      <w:b/>
                      <w:bCs w:val="0"/>
                      <w:color w:val="auto"/>
                      <w:szCs w:val="21"/>
                      <w:u w:val="single"/>
                      <w:lang w:val="en-US" w:eastAsia="zh-CN"/>
                    </w:rPr>
                    <w:t>五里牌街道：</w:t>
                  </w:r>
                  <w:r>
                    <w:rPr>
                      <w:rFonts w:hint="eastAsia"/>
                      <w:b w:val="0"/>
                      <w:bCs/>
                      <w:color w:val="auto"/>
                      <w:szCs w:val="21"/>
                      <w:u w:val="single"/>
                      <w:lang w:val="en-US" w:eastAsia="zh-CN"/>
                    </w:rPr>
                    <w:t>岳阳临湘市龙源水库饮用水水源保护区</w:t>
                  </w:r>
                </w:p>
                <w:p w14:paraId="44A14270">
                  <w:pPr>
                    <w:keepNext w:val="0"/>
                    <w:keepLines w:val="0"/>
                    <w:suppressLineNumbers w:val="0"/>
                    <w:spacing w:before="0" w:beforeAutospacing="0" w:after="0" w:afterAutospacing="0" w:line="320" w:lineRule="exact"/>
                    <w:ind w:left="0" w:right="0"/>
                    <w:jc w:val="left"/>
                    <w:rPr>
                      <w:rFonts w:hint="eastAsia"/>
                      <w:b w:val="0"/>
                      <w:bCs/>
                      <w:color w:val="auto"/>
                      <w:szCs w:val="21"/>
                      <w:u w:val="single"/>
                      <w:lang w:val="en-US" w:eastAsia="zh-CN"/>
                    </w:rPr>
                  </w:pPr>
                  <w:r>
                    <w:rPr>
                      <w:rFonts w:hint="eastAsia"/>
                      <w:b/>
                      <w:bCs w:val="0"/>
                      <w:color w:val="auto"/>
                      <w:szCs w:val="21"/>
                      <w:u w:val="single"/>
                      <w:lang w:val="en-US" w:eastAsia="zh-CN"/>
                    </w:rPr>
                    <w:t>云湖街道：</w:t>
                  </w:r>
                  <w:r>
                    <w:rPr>
                      <w:rFonts w:hint="eastAsia"/>
                      <w:b w:val="0"/>
                      <w:bCs/>
                      <w:color w:val="auto"/>
                      <w:szCs w:val="21"/>
                      <w:u w:val="single"/>
                      <w:lang w:val="en-US" w:eastAsia="zh-CN"/>
                    </w:rPr>
                    <w:t>湖南五尖山国家森林公园、岳阳临湘市龙源水库饮用水水源保护区</w:t>
                  </w:r>
                </w:p>
                <w:p w14:paraId="26D8B31D">
                  <w:pPr>
                    <w:keepNext w:val="0"/>
                    <w:keepLines w:val="0"/>
                    <w:suppressLineNumbers w:val="0"/>
                    <w:spacing w:before="0" w:beforeAutospacing="0" w:after="0" w:afterAutospacing="0" w:line="320" w:lineRule="exact"/>
                    <w:ind w:left="0" w:right="0"/>
                    <w:jc w:val="left"/>
                    <w:rPr>
                      <w:rFonts w:hint="eastAsia"/>
                      <w:b w:val="0"/>
                      <w:bCs/>
                      <w:color w:val="auto"/>
                      <w:szCs w:val="21"/>
                      <w:u w:val="single"/>
                      <w:lang w:val="en-US" w:eastAsia="zh-CN"/>
                    </w:rPr>
                  </w:pPr>
                  <w:r>
                    <w:rPr>
                      <w:rFonts w:hint="eastAsia"/>
                      <w:b/>
                      <w:bCs w:val="0"/>
                      <w:color w:val="auto"/>
                      <w:szCs w:val="21"/>
                      <w:u w:val="single"/>
                      <w:lang w:val="en-US" w:eastAsia="zh-CN"/>
                    </w:rPr>
                    <w:t>长安街道：</w:t>
                  </w:r>
                  <w:r>
                    <w:rPr>
                      <w:rFonts w:hint="eastAsia"/>
                      <w:b w:val="0"/>
                      <w:bCs/>
                      <w:color w:val="auto"/>
                      <w:szCs w:val="21"/>
                      <w:u w:val="single"/>
                      <w:lang w:val="en-US" w:eastAsia="zh-CN"/>
                    </w:rPr>
                    <w:t>岳阳市云溪区双花水库饮用水水保护区、湖南五尖山国家森林公园</w:t>
                  </w:r>
                </w:p>
              </w:tc>
            </w:tr>
            <w:tr w14:paraId="01B59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8" w:type="pct"/>
                  <w:vAlign w:val="center"/>
                </w:tcPr>
                <w:p w14:paraId="7410BF7C">
                  <w:pPr>
                    <w:keepNext w:val="0"/>
                    <w:keepLines w:val="0"/>
                    <w:suppressLineNumbers w:val="0"/>
                    <w:spacing w:before="0" w:beforeAutospacing="0" w:after="0" w:afterAutospacing="0" w:line="320" w:lineRule="exact"/>
                    <w:ind w:left="0" w:right="0"/>
                    <w:jc w:val="center"/>
                    <w:rPr>
                      <w:rFonts w:hint="default"/>
                      <w:b/>
                      <w:bCs w:val="0"/>
                      <w:color w:val="auto"/>
                      <w:szCs w:val="21"/>
                      <w:u w:val="single"/>
                      <w:lang w:val="en-US" w:eastAsia="zh-CN"/>
                    </w:rPr>
                  </w:pPr>
                  <w:r>
                    <w:rPr>
                      <w:rFonts w:hint="eastAsia"/>
                      <w:b/>
                      <w:bCs w:val="0"/>
                      <w:color w:val="auto"/>
                      <w:szCs w:val="21"/>
                      <w:u w:val="single"/>
                      <w:lang w:val="en-US" w:eastAsia="zh-CN"/>
                    </w:rPr>
                    <w:t>主要属性</w:t>
                  </w:r>
                </w:p>
              </w:tc>
              <w:tc>
                <w:tcPr>
                  <w:tcW w:w="3831" w:type="pct"/>
                  <w:gridSpan w:val="6"/>
                  <w:vAlign w:val="center"/>
                </w:tcPr>
                <w:p w14:paraId="3543BE6A">
                  <w:pPr>
                    <w:keepNext w:val="0"/>
                    <w:keepLines w:val="0"/>
                    <w:suppressLineNumbers w:val="0"/>
                    <w:spacing w:before="0" w:beforeAutospacing="0" w:after="0" w:afterAutospacing="0" w:line="320" w:lineRule="exact"/>
                    <w:ind w:left="0" w:right="0"/>
                    <w:jc w:val="left"/>
                    <w:rPr>
                      <w:rFonts w:hint="eastAsia"/>
                      <w:b w:val="0"/>
                      <w:bCs/>
                      <w:color w:val="auto"/>
                      <w:szCs w:val="21"/>
                      <w:u w:val="single"/>
                      <w:lang w:val="en-US" w:eastAsia="zh-CN"/>
                    </w:rPr>
                  </w:pPr>
                  <w:r>
                    <w:rPr>
                      <w:rFonts w:hint="eastAsia"/>
                      <w:b/>
                      <w:bCs w:val="0"/>
                      <w:color w:val="auto"/>
                      <w:szCs w:val="21"/>
                      <w:u w:val="single"/>
                      <w:lang w:val="en-US" w:eastAsia="zh-CN"/>
                    </w:rPr>
                    <w:t>长安街道：</w:t>
                  </w:r>
                  <w:r>
                    <w:rPr>
                      <w:rFonts w:hint="eastAsia"/>
                      <w:b w:val="0"/>
                      <w:bCs/>
                      <w:color w:val="auto"/>
                      <w:szCs w:val="21"/>
                      <w:u w:val="single"/>
                      <w:lang w:val="en-US" w:eastAsia="zh-CN"/>
                    </w:rPr>
                    <w:t>红线/一般生态空间/森林公园/水源涵养重要区/生物多样性保护功能重要区/水土流失敏感区/水环境优先保护区/水环境工业园重点管控区/水环境城镇生活污染重点管控区/水环境一般管控区/水源地（县级及以上）/工业园区/污水处理厂/岳阳市云溪区双花水库饮用水水源保护区/临湘高新技术产业开发区/临湘市水质净化中心/大气环境优先保护区/大气环境高排放重点管控区/大气环境受体敏感重点管控区/湖南五尖山国家森林公园/湖南云溪清溪省级森林公园/白云镇工业片区/临湘高新技术产业开发区/农用地优先保护区/农用地重点管控区/建设用地</w:t>
                  </w:r>
                </w:p>
                <w:p w14:paraId="0A627138">
                  <w:pPr>
                    <w:keepNext w:val="0"/>
                    <w:keepLines w:val="0"/>
                    <w:suppressLineNumbers w:val="0"/>
                    <w:spacing w:before="0" w:beforeAutospacing="0" w:after="0" w:afterAutospacing="0" w:line="320" w:lineRule="exact"/>
                    <w:ind w:left="0" w:right="0"/>
                    <w:jc w:val="left"/>
                    <w:rPr>
                      <w:rFonts w:hint="eastAsia"/>
                      <w:b w:val="0"/>
                      <w:bCs/>
                      <w:color w:val="auto"/>
                      <w:szCs w:val="21"/>
                      <w:u w:val="single"/>
                      <w:lang w:val="en-US" w:eastAsia="zh-CN"/>
                    </w:rPr>
                  </w:pPr>
                  <w:r>
                    <w:rPr>
                      <w:rFonts w:hint="eastAsia"/>
                      <w:b w:val="0"/>
                      <w:bCs/>
                      <w:color w:val="auto"/>
                      <w:szCs w:val="21"/>
                      <w:u w:val="single"/>
                      <w:lang w:val="en-US" w:eastAsia="zh-CN"/>
                    </w:rPr>
                    <w:t>重点管控区/其他重点管控区/一般管控区/矿区/中高风险企业用地/重点行业企业重点区域/高污染燃料禁燃区。</w:t>
                  </w:r>
                </w:p>
                <w:p w14:paraId="3B9DBD8E">
                  <w:pPr>
                    <w:keepNext w:val="0"/>
                    <w:keepLines w:val="0"/>
                    <w:suppressLineNumbers w:val="0"/>
                    <w:spacing w:before="0" w:beforeAutospacing="0" w:after="0" w:afterAutospacing="0" w:line="320" w:lineRule="exact"/>
                    <w:ind w:left="0" w:right="0"/>
                    <w:jc w:val="left"/>
                    <w:rPr>
                      <w:rFonts w:hint="eastAsia"/>
                      <w:b w:val="0"/>
                      <w:bCs/>
                      <w:color w:val="auto"/>
                      <w:szCs w:val="21"/>
                      <w:u w:val="single"/>
                      <w:lang w:val="en-US" w:eastAsia="zh-CN"/>
                    </w:rPr>
                  </w:pPr>
                  <w:r>
                    <w:rPr>
                      <w:rFonts w:hint="eastAsia"/>
                      <w:b/>
                      <w:bCs w:val="0"/>
                      <w:color w:val="auto"/>
                      <w:szCs w:val="21"/>
                      <w:u w:val="single"/>
                      <w:lang w:val="en-US" w:eastAsia="zh-CN"/>
                    </w:rPr>
                    <w:t>五里牌街道：</w:t>
                  </w:r>
                  <w:r>
                    <w:rPr>
                      <w:rFonts w:hint="eastAsia"/>
                      <w:b w:val="0"/>
                      <w:bCs/>
                      <w:color w:val="auto"/>
                      <w:szCs w:val="21"/>
                      <w:u w:val="single"/>
                      <w:lang w:val="en-US" w:eastAsia="zh-CN"/>
                    </w:rPr>
                    <w:t>红线/一般生态空间/水源涵养重要区/三区三线生态红线/生物多样性保护功能重要区/原生态红线/水土流失敏感区/水环境优先保护区/水环境农业污染重点管控区/水环境城镇生活污染重点管控区/水环境一般管控区/水源地（县级及以上）/超标断面/污水处理厂/岳阳临湘</w:t>
                  </w:r>
                </w:p>
                <w:p w14:paraId="527FC298">
                  <w:pPr>
                    <w:keepNext w:val="0"/>
                    <w:keepLines w:val="0"/>
                    <w:suppressLineNumbers w:val="0"/>
                    <w:spacing w:before="0" w:beforeAutospacing="0" w:after="0" w:afterAutospacing="0" w:line="320" w:lineRule="exact"/>
                    <w:ind w:left="0" w:right="0"/>
                    <w:jc w:val="left"/>
                    <w:rPr>
                      <w:rFonts w:hint="eastAsia"/>
                      <w:b w:val="0"/>
                      <w:bCs/>
                      <w:color w:val="auto"/>
                      <w:szCs w:val="21"/>
                      <w:u w:val="single"/>
                      <w:lang w:val="en-US" w:eastAsia="zh-CN"/>
                    </w:rPr>
                  </w:pPr>
                  <w:r>
                    <w:rPr>
                      <w:rFonts w:hint="eastAsia"/>
                      <w:b w:val="0"/>
                      <w:bCs/>
                      <w:color w:val="auto"/>
                      <w:szCs w:val="21"/>
                      <w:u w:val="single"/>
                      <w:lang w:val="en-US" w:eastAsia="zh-CN"/>
                    </w:rPr>
                    <w:t>市龙源水库饮用水水源保护区/黄盖湖超标断面（汇水）/临湘市水质净化中心（汇水）/大气环境高排放重点管控区/大气环境受体敏感重点管控区/农用地优先保护区/其他重点管控区/一般管控区/矿区/高污染燃料禁燃区。</w:t>
                  </w:r>
                </w:p>
                <w:p w14:paraId="074E7584">
                  <w:pPr>
                    <w:keepNext w:val="0"/>
                    <w:keepLines w:val="0"/>
                    <w:suppressLineNumbers w:val="0"/>
                    <w:spacing w:before="0" w:beforeAutospacing="0" w:after="0" w:afterAutospacing="0" w:line="320" w:lineRule="exact"/>
                    <w:ind w:left="0" w:right="0"/>
                    <w:jc w:val="left"/>
                    <w:rPr>
                      <w:rFonts w:hint="default"/>
                      <w:b w:val="0"/>
                      <w:bCs/>
                      <w:color w:val="auto"/>
                      <w:szCs w:val="21"/>
                      <w:u w:val="single"/>
                      <w:lang w:val="en-US" w:eastAsia="zh-CN"/>
                    </w:rPr>
                  </w:pPr>
                  <w:r>
                    <w:rPr>
                      <w:rFonts w:hint="eastAsia"/>
                      <w:b/>
                      <w:bCs w:val="0"/>
                      <w:color w:val="auto"/>
                      <w:szCs w:val="21"/>
                      <w:u w:val="single"/>
                      <w:lang w:val="en-US" w:eastAsia="zh-CN"/>
                    </w:rPr>
                    <w:t>云湖街道：</w:t>
                  </w:r>
                  <w:r>
                    <w:rPr>
                      <w:rFonts w:hint="eastAsia"/>
                      <w:b w:val="0"/>
                      <w:bCs/>
                      <w:color w:val="auto"/>
                      <w:szCs w:val="21"/>
                      <w:u w:val="single"/>
                      <w:lang w:val="en-US" w:eastAsia="zh-CN"/>
                    </w:rPr>
                    <w:t>红线/一般生态空间/森林公园/水源涵养重要区/生物多样性保护功能重要区/水土流失敏感区/三区三线生态红线/石漠化敏感区/原生态红线/水环境工业污染重点管控区、水环境城镇生活污染重点管控区/水环境一般管控区/工业园区、污水处理厂/临湘市水质净化中心（汇水）、临湘高新技术产业开发区/大气环境优先保护区/大气环境高排放重点管控区/大气环境受体敏感重点管控区/湖南五尖山国家森林公园/湖南临湘工业园区（三湾工业园实际开发区）/湖南临湘工业园区(三湾工业园主区)/临湘高新技术产业开发区/农用地优先保护区/建设用地重点管控区/其他重点管控区/一般管控区/矿区/中高风险企业用地/高污染燃料禁燃区。</w:t>
                  </w:r>
                </w:p>
              </w:tc>
            </w:tr>
          </w:tbl>
          <w:p w14:paraId="6E49E7B3">
            <w:pPr>
              <w:pStyle w:val="7"/>
              <w:keepNext w:val="0"/>
              <w:keepLines w:val="0"/>
              <w:suppressLineNumbers w:val="0"/>
              <w:spacing w:before="0" w:beforeAutospacing="0" w:after="0" w:afterAutospacing="0" w:line="360" w:lineRule="exact"/>
              <w:ind w:left="0" w:right="0"/>
              <w:rPr>
                <w:rFonts w:hint="default" w:ascii="Times New Roman" w:hAnsi="Times New Roman"/>
                <w:color w:val="auto"/>
                <w:sz w:val="21"/>
                <w:u w:val="single"/>
              </w:rPr>
            </w:pPr>
            <w:r>
              <w:rPr>
                <w:rFonts w:hint="default" w:ascii="Times New Roman" w:hAnsi="Times New Roman"/>
                <w:color w:val="auto"/>
                <w:sz w:val="21"/>
                <w:u w:val="single"/>
              </w:rPr>
              <w:t>表1-</w:t>
            </w:r>
            <w:r>
              <w:rPr>
                <w:rFonts w:hint="eastAsia" w:ascii="Times New Roman" w:hAnsi="Times New Roman"/>
                <w:color w:val="auto"/>
                <w:sz w:val="21"/>
                <w:u w:val="single"/>
                <w:lang w:val="en-US" w:eastAsia="zh-CN"/>
              </w:rPr>
              <w:t xml:space="preserve">3  </w:t>
            </w:r>
            <w:r>
              <w:rPr>
                <w:rFonts w:hint="eastAsia" w:ascii="Times New Roman" w:hAnsi="Times New Roman"/>
                <w:color w:val="auto"/>
                <w:sz w:val="21"/>
                <w:u w:val="single"/>
              </w:rPr>
              <w:t>项目与</w:t>
            </w:r>
            <w:r>
              <w:rPr>
                <w:rFonts w:hint="eastAsia" w:ascii="Times New Roman" w:hAnsi="Times New Roman"/>
                <w:color w:val="auto"/>
                <w:sz w:val="21"/>
                <w:u w:val="single"/>
                <w:lang w:val="en-US" w:eastAsia="zh-CN"/>
              </w:rPr>
              <w:t>临湘市生态环境准入清单</w:t>
            </w:r>
            <w:r>
              <w:rPr>
                <w:rFonts w:hint="eastAsia" w:ascii="Times New Roman" w:hAnsi="Times New Roman"/>
                <w:color w:val="auto"/>
                <w:sz w:val="21"/>
                <w:u w:val="single"/>
              </w:rPr>
              <w:t>的</w:t>
            </w:r>
            <w:r>
              <w:rPr>
                <w:rFonts w:hint="eastAsia" w:ascii="Times New Roman" w:hAnsi="Times New Roman"/>
                <w:color w:val="auto"/>
                <w:sz w:val="21"/>
                <w:u w:val="single"/>
                <w:lang w:val="en-US" w:eastAsia="zh-CN"/>
              </w:rPr>
              <w:t>符合性</w:t>
            </w:r>
            <w:r>
              <w:rPr>
                <w:rFonts w:hint="eastAsia" w:ascii="Times New Roman" w:hAnsi="Times New Roman"/>
                <w:color w:val="auto"/>
                <w:sz w:val="21"/>
                <w:u w:val="single"/>
              </w:rPr>
              <w:t>分析</w:t>
            </w:r>
          </w:p>
          <w:tbl>
            <w:tblPr>
              <w:tblStyle w:val="2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3062"/>
              <w:gridCol w:w="2497"/>
              <w:gridCol w:w="804"/>
            </w:tblGrid>
            <w:tr w14:paraId="1B045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Align w:val="center"/>
                </w:tcPr>
                <w:p w14:paraId="5CF5B669">
                  <w:pPr>
                    <w:keepNext w:val="0"/>
                    <w:keepLines w:val="0"/>
                    <w:suppressLineNumbers w:val="0"/>
                    <w:spacing w:before="0" w:beforeAutospacing="0" w:after="0" w:afterAutospacing="0" w:line="320" w:lineRule="exact"/>
                    <w:ind w:left="0" w:right="0"/>
                    <w:jc w:val="center"/>
                    <w:rPr>
                      <w:rFonts w:hint="default"/>
                      <w:b/>
                      <w:bCs w:val="0"/>
                      <w:color w:val="auto"/>
                      <w:szCs w:val="21"/>
                      <w:u w:val="single"/>
                    </w:rPr>
                  </w:pPr>
                  <w:r>
                    <w:rPr>
                      <w:rFonts w:hint="default"/>
                      <w:b/>
                      <w:bCs w:val="0"/>
                      <w:color w:val="auto"/>
                      <w:szCs w:val="21"/>
                      <w:u w:val="single"/>
                    </w:rPr>
                    <w:t>管控类别</w:t>
                  </w:r>
                </w:p>
              </w:tc>
              <w:tc>
                <w:tcPr>
                  <w:tcW w:w="2167" w:type="pct"/>
                  <w:vAlign w:val="center"/>
                </w:tcPr>
                <w:p w14:paraId="59831F1A">
                  <w:pPr>
                    <w:keepNext w:val="0"/>
                    <w:keepLines w:val="0"/>
                    <w:suppressLineNumbers w:val="0"/>
                    <w:spacing w:before="0" w:beforeAutospacing="0" w:after="0" w:afterAutospacing="0" w:line="320" w:lineRule="exact"/>
                    <w:ind w:left="0" w:right="0"/>
                    <w:jc w:val="center"/>
                    <w:rPr>
                      <w:rFonts w:hint="default"/>
                      <w:b/>
                      <w:bCs w:val="0"/>
                      <w:color w:val="auto"/>
                      <w:szCs w:val="21"/>
                      <w:u w:val="single"/>
                    </w:rPr>
                  </w:pPr>
                  <w:r>
                    <w:rPr>
                      <w:rFonts w:hint="default"/>
                      <w:b/>
                      <w:bCs w:val="0"/>
                      <w:color w:val="auto"/>
                      <w:szCs w:val="21"/>
                      <w:u w:val="single"/>
                    </w:rPr>
                    <w:t>管控要求</w:t>
                  </w:r>
                </w:p>
              </w:tc>
              <w:tc>
                <w:tcPr>
                  <w:tcW w:w="1767" w:type="pct"/>
                  <w:vAlign w:val="center"/>
                </w:tcPr>
                <w:p w14:paraId="58A5B3CD">
                  <w:pPr>
                    <w:keepNext w:val="0"/>
                    <w:keepLines w:val="0"/>
                    <w:suppressLineNumbers w:val="0"/>
                    <w:spacing w:before="0" w:beforeAutospacing="0" w:after="0" w:afterAutospacing="0" w:line="320" w:lineRule="exact"/>
                    <w:ind w:left="0" w:right="0"/>
                    <w:jc w:val="center"/>
                    <w:rPr>
                      <w:rFonts w:hint="eastAsia" w:eastAsia="宋体"/>
                      <w:b/>
                      <w:bCs w:val="0"/>
                      <w:color w:val="auto"/>
                      <w:szCs w:val="21"/>
                      <w:u w:val="single"/>
                      <w:lang w:eastAsia="zh-CN"/>
                    </w:rPr>
                  </w:pPr>
                  <w:r>
                    <w:rPr>
                      <w:rFonts w:hint="eastAsia"/>
                      <w:b/>
                      <w:bCs w:val="0"/>
                      <w:color w:val="auto"/>
                      <w:szCs w:val="21"/>
                      <w:u w:val="single"/>
                      <w:lang w:eastAsia="zh-CN"/>
                    </w:rPr>
                    <w:t>项目情况</w:t>
                  </w:r>
                </w:p>
              </w:tc>
              <w:tc>
                <w:tcPr>
                  <w:tcW w:w="569" w:type="pct"/>
                  <w:vAlign w:val="center"/>
                </w:tcPr>
                <w:p w14:paraId="2EF375CA">
                  <w:pPr>
                    <w:keepNext w:val="0"/>
                    <w:keepLines w:val="0"/>
                    <w:suppressLineNumbers w:val="0"/>
                    <w:spacing w:before="0" w:beforeAutospacing="0" w:after="0" w:afterAutospacing="0" w:line="320" w:lineRule="exact"/>
                    <w:ind w:left="0" w:right="0"/>
                    <w:jc w:val="center"/>
                    <w:rPr>
                      <w:rFonts w:hint="default"/>
                      <w:b/>
                      <w:bCs w:val="0"/>
                      <w:color w:val="auto"/>
                      <w:szCs w:val="21"/>
                      <w:u w:val="single"/>
                    </w:rPr>
                  </w:pPr>
                  <w:r>
                    <w:rPr>
                      <w:rFonts w:hint="default"/>
                      <w:b/>
                      <w:bCs w:val="0"/>
                      <w:color w:val="auto"/>
                      <w:szCs w:val="21"/>
                      <w:u w:val="single"/>
                    </w:rPr>
                    <w:t>符合性</w:t>
                  </w:r>
                </w:p>
              </w:tc>
            </w:tr>
            <w:tr w14:paraId="29507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Align w:val="center"/>
                </w:tcPr>
                <w:p w14:paraId="103FB9AE">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kern w:val="0"/>
                      <w:szCs w:val="21"/>
                      <w:u w:val="single"/>
                    </w:rPr>
                    <w:t>空间布局约束</w:t>
                  </w:r>
                </w:p>
              </w:tc>
              <w:tc>
                <w:tcPr>
                  <w:tcW w:w="2167" w:type="pct"/>
                  <w:vAlign w:val="center"/>
                </w:tcPr>
                <w:p w14:paraId="4C614754">
                  <w:pPr>
                    <w:keepNext w:val="0"/>
                    <w:keepLines w:val="0"/>
                    <w:suppressLineNumbers w:val="0"/>
                    <w:spacing w:before="0" w:beforeAutospacing="0" w:after="0" w:afterAutospacing="0" w:line="320" w:lineRule="exact"/>
                    <w:ind w:left="0" w:right="0"/>
                    <w:jc w:val="left"/>
                    <w:rPr>
                      <w:rFonts w:hint="eastAsia"/>
                      <w:color w:val="auto"/>
                      <w:u w:val="single"/>
                      <w:lang w:eastAsia="zh-CN"/>
                    </w:rPr>
                  </w:pPr>
                  <w:r>
                    <w:rPr>
                      <w:rFonts w:hint="eastAsia"/>
                      <w:color w:val="auto"/>
                      <w:u w:val="single"/>
                      <w:lang w:eastAsia="zh-CN"/>
                    </w:rPr>
                    <w:t>（1.1）按照“依法直接取缔关闭一批，妥善处置一批”的原则，问题矿山按关闭名单依法取缔关闭；鼓励不属于依法取缔关闭的矿山主动申请注销采矿权；在矿规中没有予以单独保留、整合或扩界的合法砂石土矿，限期开采退出一批；已纳入矿规，符合单独保留专项规划技术参数与开采条件，单独保留一批；已纳入矿规，符合整合开采专项规划技术参数与开采条件，整合开采一批；已纳入矿规，符合扩界开采专项规划技术参数与开采条件，扩界开采一批。</w:t>
                  </w:r>
                </w:p>
                <w:p w14:paraId="4CCFC549">
                  <w:pPr>
                    <w:keepNext w:val="0"/>
                    <w:keepLines w:val="0"/>
                    <w:suppressLineNumbers w:val="0"/>
                    <w:spacing w:before="0" w:beforeAutospacing="0" w:after="0" w:afterAutospacing="0" w:line="320" w:lineRule="exact"/>
                    <w:ind w:left="0" w:right="0"/>
                    <w:jc w:val="left"/>
                    <w:rPr>
                      <w:rFonts w:hint="eastAsia"/>
                      <w:color w:val="auto"/>
                      <w:u w:val="single"/>
                      <w:lang w:eastAsia="zh-CN"/>
                    </w:rPr>
                  </w:pPr>
                  <w:r>
                    <w:rPr>
                      <w:rFonts w:hint="eastAsia"/>
                      <w:color w:val="auto"/>
                      <w:u w:val="single"/>
                      <w:lang w:eastAsia="zh-CN"/>
                    </w:rPr>
                    <w:t>（1.2）加大对非法开采砂石土矿产资源的打击力度，严厉打击无证开采、越界开采、持过期采矿许可证开采等非法采矿行为。</w:t>
                  </w:r>
                </w:p>
                <w:p w14:paraId="61591588">
                  <w:pPr>
                    <w:keepNext w:val="0"/>
                    <w:keepLines w:val="0"/>
                    <w:suppressLineNumbers w:val="0"/>
                    <w:spacing w:before="0" w:beforeAutospacing="0" w:after="0" w:afterAutospacing="0" w:line="320" w:lineRule="exact"/>
                    <w:ind w:left="0" w:right="0"/>
                    <w:jc w:val="left"/>
                    <w:rPr>
                      <w:rFonts w:hint="eastAsia"/>
                      <w:color w:val="auto"/>
                      <w:u w:val="single"/>
                      <w:lang w:eastAsia="zh-CN"/>
                    </w:rPr>
                  </w:pPr>
                  <w:r>
                    <w:rPr>
                      <w:rFonts w:hint="eastAsia"/>
                      <w:color w:val="auto"/>
                      <w:u w:val="single"/>
                      <w:lang w:eastAsia="zh-CN"/>
                    </w:rPr>
                    <w:t>（1.3）新建矿山必须达到绿色矿山要求，延续矿山限期达到绿色矿山要求。</w:t>
                  </w:r>
                </w:p>
                <w:p w14:paraId="7EE97EE6">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color w:val="auto"/>
                      <w:u w:val="single"/>
                      <w:lang w:eastAsia="zh-CN"/>
                    </w:rPr>
                    <w:t>（1.4）新建规模养殖场优先布局在粪污集中处理设施周边区域，严格执行畜禽养殖分区管理制度，禁养区规模畜禽养殖场全部关停退养或搬迁，依法关停未按期安装粪污处理设施和未实现达标排放的规模养殖场。</w:t>
                  </w:r>
                </w:p>
              </w:tc>
              <w:tc>
                <w:tcPr>
                  <w:tcW w:w="1767" w:type="pct"/>
                  <w:vAlign w:val="center"/>
                </w:tcPr>
                <w:p w14:paraId="12B633A7">
                  <w:pPr>
                    <w:keepNext w:val="0"/>
                    <w:keepLines w:val="0"/>
                    <w:suppressLineNumbers w:val="0"/>
                    <w:spacing w:before="0" w:beforeAutospacing="0" w:after="0" w:afterAutospacing="0" w:line="320" w:lineRule="exact"/>
                    <w:ind w:left="0" w:right="0"/>
                    <w:jc w:val="center"/>
                    <w:rPr>
                      <w:rFonts w:hint="default"/>
                      <w:color w:val="FF0000"/>
                      <w:szCs w:val="21"/>
                      <w:u w:val="single"/>
                    </w:rPr>
                  </w:pPr>
                  <w:r>
                    <w:rPr>
                      <w:rFonts w:hint="default" w:ascii="瀹嬩綋" w:hAnsi="瀹嬩綋" w:eastAsia="瀹嬩綋" w:cs="瀹嬩綋"/>
                      <w:color w:val="000000"/>
                      <w:kern w:val="0"/>
                      <w:sz w:val="21"/>
                      <w:szCs w:val="21"/>
                      <w:u w:val="single"/>
                      <w:lang w:val="en-US" w:eastAsia="zh-CN" w:bidi="ar"/>
                    </w:rPr>
                    <w:t>本项目属于河湖整治</w:t>
                  </w:r>
                  <w:r>
                    <w:rPr>
                      <w:rFonts w:hint="eastAsia" w:ascii="瀹嬩綋" w:hAnsi="瀹嬩綋" w:eastAsia="瀹嬩綋" w:cs="瀹嬩綋"/>
                      <w:color w:val="000000"/>
                      <w:kern w:val="0"/>
                      <w:sz w:val="21"/>
                      <w:szCs w:val="21"/>
                      <w:u w:val="single"/>
                      <w:lang w:val="en-US" w:eastAsia="zh-CN" w:bidi="ar"/>
                    </w:rPr>
                    <w:t>及防洪除涝</w:t>
                  </w:r>
                  <w:r>
                    <w:rPr>
                      <w:rFonts w:hint="default" w:ascii="瀹嬩綋" w:hAnsi="瀹嬩綋" w:eastAsia="瀹嬩綋" w:cs="瀹嬩綋"/>
                      <w:color w:val="000000"/>
                      <w:kern w:val="0"/>
                      <w:sz w:val="21"/>
                      <w:szCs w:val="21"/>
                      <w:u w:val="single"/>
                      <w:lang w:val="en-US" w:eastAsia="zh-CN" w:bidi="ar"/>
                    </w:rPr>
                    <w:t>工程项目，为非污染生态影响类项目，符合省级、市级生态环境准入总体清单的有关规定。</w:t>
                  </w:r>
                </w:p>
              </w:tc>
              <w:tc>
                <w:tcPr>
                  <w:tcW w:w="569" w:type="pct"/>
                  <w:vAlign w:val="center"/>
                </w:tcPr>
                <w:p w14:paraId="672A2345">
                  <w:pPr>
                    <w:keepNext w:val="0"/>
                    <w:keepLines w:val="0"/>
                    <w:suppressLineNumbers w:val="0"/>
                    <w:spacing w:before="0" w:beforeAutospacing="0" w:after="0" w:afterAutospacing="0" w:line="320" w:lineRule="exact"/>
                    <w:ind w:left="0" w:right="0"/>
                    <w:jc w:val="center"/>
                    <w:rPr>
                      <w:rFonts w:hint="eastAsia" w:eastAsia="宋体"/>
                      <w:color w:val="FF0000"/>
                      <w:szCs w:val="21"/>
                      <w:u w:val="single"/>
                      <w:lang w:eastAsia="zh-CN"/>
                    </w:rPr>
                  </w:pPr>
                  <w:r>
                    <w:rPr>
                      <w:rFonts w:hint="eastAsia"/>
                      <w:color w:val="auto"/>
                      <w:szCs w:val="21"/>
                      <w:u w:val="single"/>
                      <w:lang w:eastAsia="zh-CN"/>
                    </w:rPr>
                    <w:t>符合</w:t>
                  </w:r>
                </w:p>
              </w:tc>
            </w:tr>
            <w:tr w14:paraId="5DC1E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Align w:val="center"/>
                </w:tcPr>
                <w:p w14:paraId="58CB026B">
                  <w:pPr>
                    <w:keepNext w:val="0"/>
                    <w:keepLines w:val="0"/>
                    <w:suppressLineNumbers w:val="0"/>
                    <w:spacing w:before="0" w:beforeAutospacing="0" w:after="0" w:afterAutospacing="0" w:line="320" w:lineRule="exact"/>
                    <w:ind w:left="0" w:right="0"/>
                    <w:jc w:val="center"/>
                    <w:rPr>
                      <w:rFonts w:hint="default"/>
                      <w:color w:val="FF0000"/>
                      <w:szCs w:val="21"/>
                      <w:u w:val="single"/>
                    </w:rPr>
                  </w:pPr>
                  <w:r>
                    <w:rPr>
                      <w:rFonts w:hint="default"/>
                      <w:color w:val="auto"/>
                      <w:kern w:val="0"/>
                      <w:szCs w:val="21"/>
                      <w:u w:val="single"/>
                    </w:rPr>
                    <w:t>污染物排放管控</w:t>
                  </w:r>
                </w:p>
              </w:tc>
              <w:tc>
                <w:tcPr>
                  <w:tcW w:w="2167" w:type="pct"/>
                  <w:vAlign w:val="center"/>
                </w:tcPr>
                <w:p w14:paraId="1E8F774A">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（2.1）废气</w:t>
                  </w:r>
                </w:p>
                <w:p w14:paraId="04D33CD3">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2.1.1）坚持源头防控、系统治理，以柴油货车、露天焚烧秸秆、餐饮油烟、城市扬尘等为重点领域，以细颗粒物（PM2.5）等为重点因子，以特护期（当年10月16日至次年3月15日）为重点时段，开展“守护蓝天”行动。</w:t>
                  </w:r>
                </w:p>
                <w:p w14:paraId="78DB1623">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（2.1.2）聚焦臭氧前体物VOCs和氮氧化物，实施清洁能源替代，强化油品储运销VOCs深度治理，加大移动源氮氧化物减排力度。</w:t>
                  </w:r>
                </w:p>
                <w:p w14:paraId="73430BB7">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（2.1.3）加强机动车和非道路移动机械环保达标监管，加强对机动车尾气排放检验检测机构的执法监督检查工作。</w:t>
                  </w:r>
                </w:p>
                <w:p w14:paraId="2D99D1AB">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（2.2）废水</w:t>
                  </w:r>
                </w:p>
                <w:p w14:paraId="53AB177D">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（2.2.1）按照“一河（湖）一策”的要求，综合采取截污、治污、清淤、修复等措施，深入推进重点河湖的系统治理。</w:t>
                  </w:r>
                </w:p>
                <w:p w14:paraId="10D4A6C3">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（2.2.2）持续打好长江保护修复攻坚战。扎实推进污染治理工程，推进长江经济带内河主要港口船舶污染物接收转运处置，深化“三磷”排查整治，持续开展河湖岸线生态修护，认真实施“十年禁渔”。</w:t>
                  </w:r>
                </w:p>
                <w:p w14:paraId="64A4CE51">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（2.2.3）持续打好洞庭湖总磷污染治理攻坚战。继续实施一批畜禽粪污治理、水产养殖尾水治理、入河湖排污口管控、城乡生活污染治理、重点内湖（内河）整治等重点工程项目。</w:t>
                  </w:r>
                </w:p>
                <w:p w14:paraId="0FF50507">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（2.2.4）统筹好上下游、左右岸、干支流、城市和乡村，系统推进城市黑臭水体治理。</w:t>
                  </w:r>
                </w:p>
                <w:p w14:paraId="0A327C52">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（2.3）固体废物：到2025年，畜禽粪污综合利用率达到95%以上，规模养殖场粪污处理设施装备配套率稳定在100%，规模养殖场粪污资源化利用计划编制与台账建立率100%，粪肥还田利用取得阶段性成效。推动病</w:t>
                  </w:r>
                </w:p>
                <w:p w14:paraId="49063EC6">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死畜禽集中收集、无害化处理，规模畜禽养殖病死畜禽集中无害化处理率达到90%以上。</w:t>
                  </w:r>
                </w:p>
                <w:p w14:paraId="15F25DDC">
                  <w:pPr>
                    <w:keepNext w:val="0"/>
                    <w:keepLines w:val="0"/>
                    <w:suppressLineNumbers w:val="0"/>
                    <w:spacing w:before="0" w:beforeAutospacing="0" w:after="0" w:afterAutospacing="0" w:line="320" w:lineRule="exact"/>
                    <w:ind w:left="0" w:right="0"/>
                    <w:jc w:val="left"/>
                    <w:rPr>
                      <w:rFonts w:hint="eastAsia" w:eastAsia="宋体"/>
                      <w:color w:val="auto"/>
                      <w:u w:val="single"/>
                      <w:lang w:eastAsia="zh-CN"/>
                    </w:rPr>
                  </w:pPr>
                  <w:r>
                    <w:rPr>
                      <w:rFonts w:hint="eastAsia" w:eastAsia="宋体"/>
                      <w:color w:val="auto"/>
                      <w:u w:val="single"/>
                      <w:lang w:eastAsia="zh-CN"/>
                    </w:rPr>
                    <w:t>（2.4）农业面源：深入推进化肥农药减量增效，依法落实化肥使用总量控制。推进科学用药，提高农药利用率。主要农作物测土配方施肥技术覆盖率稳定在90%以上，主要农作物病虫害绿色防控和统防统治覆盖率进一步提升。</w:t>
                  </w:r>
                </w:p>
              </w:tc>
              <w:tc>
                <w:tcPr>
                  <w:tcW w:w="1767" w:type="pct"/>
                  <w:vAlign w:val="center"/>
                </w:tcPr>
                <w:p w14:paraId="6E1BD694">
                  <w:pPr>
                    <w:pStyle w:val="26"/>
                    <w:spacing w:before="0" w:beforeAutospacing="0" w:after="0" w:line="320" w:lineRule="exact"/>
                    <w:ind w:left="0" w:leftChars="0" w:right="0" w:firstLine="0" w:firstLineChars="0"/>
                    <w:jc w:val="left"/>
                    <w:rPr>
                      <w:rFonts w:hint="eastAsia" w:eastAsia="宋体"/>
                      <w:color w:val="auto"/>
                      <w:u w:val="single"/>
                      <w:lang w:eastAsia="zh-CN"/>
                    </w:rPr>
                  </w:pPr>
                  <w:r>
                    <w:rPr>
                      <w:rFonts w:hint="eastAsia"/>
                      <w:color w:val="auto"/>
                      <w:u w:val="single"/>
                    </w:rPr>
                    <w:t>本项目属于河湖整治</w:t>
                  </w:r>
                  <w:r>
                    <w:rPr>
                      <w:rFonts w:hint="eastAsia"/>
                      <w:color w:val="auto"/>
                      <w:u w:val="single"/>
                      <w:lang w:val="en-US" w:eastAsia="zh-CN"/>
                    </w:rPr>
                    <w:t>及防洪除涝</w:t>
                  </w:r>
                  <w:r>
                    <w:rPr>
                      <w:rFonts w:hint="eastAsia"/>
                      <w:color w:val="auto"/>
                      <w:u w:val="single"/>
                    </w:rPr>
                    <w:t>工程项目，为非污染生态影响类项目,主要对</w:t>
                  </w:r>
                  <w:r>
                    <w:rPr>
                      <w:rFonts w:hint="eastAsia"/>
                      <w:color w:val="auto"/>
                      <w:u w:val="single"/>
                      <w:lang w:val="en-US" w:eastAsia="zh-CN"/>
                    </w:rPr>
                    <w:t>临湘城区内</w:t>
                  </w:r>
                  <w:r>
                    <w:rPr>
                      <w:rFonts w:hint="eastAsia"/>
                      <w:color w:val="auto"/>
                      <w:u w:val="single"/>
                    </w:rPr>
                    <w:t>流域进行清淤疏浚以提高河流的行洪能力,</w:t>
                  </w:r>
                  <w:r>
                    <w:rPr>
                      <w:rFonts w:hint="eastAsia"/>
                      <w:color w:val="auto"/>
                      <w:u w:val="single"/>
                      <w:lang w:val="en-US" w:eastAsia="zh-CN"/>
                    </w:rPr>
                    <w:t>铺设雨水管道改善城区内涝，同时</w:t>
                  </w:r>
                  <w:r>
                    <w:rPr>
                      <w:rFonts w:hint="eastAsia"/>
                      <w:color w:val="auto"/>
                      <w:u w:val="single"/>
                    </w:rPr>
                    <w:t>可改善和提升区域的环境质量。本项目施工期间主要产生扬尘和噪声污染，但污染源强度较低，通过针对性污染防治措施处理后，确保项目扬尘符合《环境空气质量标准》中的二级标准，噪声符合《建筑施工场界环境噪声排放标准》相关排放标准</w:t>
                  </w:r>
                  <w:r>
                    <w:rPr>
                      <w:rFonts w:hint="eastAsia"/>
                      <w:color w:val="auto"/>
                      <w:u w:val="single"/>
                      <w:lang w:eastAsia="zh-CN"/>
                    </w:rPr>
                    <w:t>，</w:t>
                  </w:r>
                  <w:r>
                    <w:rPr>
                      <w:rFonts w:hint="eastAsia"/>
                      <w:color w:val="auto"/>
                      <w:u w:val="single"/>
                      <w:lang w:val="en-US" w:eastAsia="zh-CN"/>
                    </w:rPr>
                    <w:t>淤泥脱水废水经</w:t>
                  </w:r>
                  <w:r>
                    <w:rPr>
                      <w:rFonts w:hint="eastAsia" w:eastAsia="宋体"/>
                      <w:color w:val="auto"/>
                      <w:kern w:val="0"/>
                      <w:sz w:val="21"/>
                      <w:szCs w:val="21"/>
                      <w:highlight w:val="none"/>
                      <w:u w:val="single"/>
                      <w:lang w:val="en-US" w:eastAsia="zh-CN"/>
                    </w:rPr>
                    <w:t>经三级沉淀池→混凝沉淀（PAC+PAM）→活性炭吸附后</w:t>
                  </w:r>
                  <w:r>
                    <w:rPr>
                      <w:rFonts w:hint="eastAsia"/>
                      <w:color w:val="auto"/>
                      <w:u w:val="single"/>
                      <w:lang w:val="en-US" w:eastAsia="zh-CN"/>
                    </w:rPr>
                    <w:t>达《污水综合排放标准》一级标准后排放</w:t>
                  </w:r>
                  <w:r>
                    <w:rPr>
                      <w:rFonts w:hint="eastAsia"/>
                      <w:color w:val="auto"/>
                      <w:u w:val="single"/>
                    </w:rPr>
                    <w:t>；不会降低周围区域空气环境</w:t>
                  </w:r>
                  <w:r>
                    <w:rPr>
                      <w:rFonts w:hint="eastAsia"/>
                      <w:color w:val="auto"/>
                      <w:u w:val="single"/>
                      <w:lang w:eastAsia="zh-CN"/>
                    </w:rPr>
                    <w:t>、</w:t>
                  </w:r>
                  <w:r>
                    <w:rPr>
                      <w:rFonts w:hint="eastAsia"/>
                      <w:color w:val="auto"/>
                      <w:u w:val="single"/>
                      <w:lang w:val="en-US" w:eastAsia="zh-CN"/>
                    </w:rPr>
                    <w:t>地表水</w:t>
                  </w:r>
                  <w:r>
                    <w:rPr>
                      <w:rFonts w:hint="eastAsia"/>
                      <w:color w:val="auto"/>
                      <w:u w:val="single"/>
                    </w:rPr>
                    <w:t>、声环境功能，本项目各类污染物的排放不会对周边环境造成不良影响。运营期不产生污染物</w:t>
                  </w:r>
                  <w:r>
                    <w:rPr>
                      <w:rFonts w:hint="eastAsia"/>
                      <w:color w:val="auto"/>
                      <w:u w:val="single"/>
                      <w:lang w:eastAsia="zh-CN"/>
                    </w:rPr>
                    <w:t>。</w:t>
                  </w:r>
                </w:p>
              </w:tc>
              <w:tc>
                <w:tcPr>
                  <w:tcW w:w="569" w:type="pct"/>
                  <w:vAlign w:val="center"/>
                </w:tcPr>
                <w:p w14:paraId="5B19F902">
                  <w:pPr>
                    <w:pStyle w:val="26"/>
                    <w:spacing w:before="0" w:beforeAutospacing="0" w:after="0" w:line="320" w:lineRule="exact"/>
                    <w:ind w:left="0" w:leftChars="0" w:right="0" w:firstLine="0" w:firstLineChars="0"/>
                    <w:jc w:val="center"/>
                    <w:rPr>
                      <w:rFonts w:hint="eastAsia" w:eastAsia="宋体"/>
                      <w:color w:val="auto"/>
                      <w:u w:val="single"/>
                      <w:lang w:eastAsia="zh-CN"/>
                    </w:rPr>
                  </w:pPr>
                  <w:r>
                    <w:rPr>
                      <w:rFonts w:hint="eastAsia"/>
                      <w:color w:val="auto"/>
                      <w:u w:val="single"/>
                      <w:lang w:eastAsia="zh-CN"/>
                    </w:rPr>
                    <w:t>符合</w:t>
                  </w:r>
                </w:p>
              </w:tc>
            </w:tr>
            <w:tr w14:paraId="0DF7D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Align w:val="center"/>
                </w:tcPr>
                <w:p w14:paraId="71188090">
                  <w:pPr>
                    <w:keepNext w:val="0"/>
                    <w:keepLines w:val="0"/>
                    <w:suppressLineNumbers w:val="0"/>
                    <w:spacing w:before="0" w:beforeAutospacing="0" w:after="0" w:afterAutospacing="0" w:line="320" w:lineRule="exact"/>
                    <w:ind w:left="0" w:right="0"/>
                    <w:jc w:val="center"/>
                    <w:rPr>
                      <w:rFonts w:hint="default"/>
                      <w:color w:val="FF0000"/>
                      <w:szCs w:val="21"/>
                      <w:u w:val="none"/>
                    </w:rPr>
                  </w:pPr>
                  <w:r>
                    <w:rPr>
                      <w:rFonts w:hint="default"/>
                      <w:color w:val="auto"/>
                      <w:kern w:val="0"/>
                      <w:szCs w:val="21"/>
                      <w:u w:val="none"/>
                    </w:rPr>
                    <w:t>环境风险防控</w:t>
                  </w:r>
                </w:p>
              </w:tc>
              <w:tc>
                <w:tcPr>
                  <w:tcW w:w="2167" w:type="pct"/>
                  <w:vAlign w:val="center"/>
                </w:tcPr>
                <w:p w14:paraId="57A0363A">
                  <w:pPr>
                    <w:keepNext w:val="0"/>
                    <w:keepLines w:val="0"/>
                    <w:suppressLineNumbers w:val="0"/>
                    <w:spacing w:before="0" w:beforeAutospacing="0" w:after="0" w:afterAutospacing="0" w:line="320" w:lineRule="exact"/>
                    <w:ind w:left="0" w:right="0"/>
                    <w:jc w:val="left"/>
                    <w:rPr>
                      <w:rFonts w:hint="eastAsia"/>
                      <w:color w:val="auto"/>
                      <w:u w:val="none"/>
                      <w:lang w:eastAsia="zh-CN"/>
                    </w:rPr>
                  </w:pPr>
                  <w:r>
                    <w:rPr>
                      <w:rFonts w:hint="eastAsia"/>
                      <w:color w:val="auto"/>
                      <w:u w:val="none"/>
                      <w:lang w:eastAsia="zh-CN"/>
                    </w:rPr>
                    <w:t>（3.1）有效管控建设用地土壤污染风险。配合开展重点行业企业用地调查和典型行业周边土壤环境调查。严格土壤污染重点监管单位搬迁腾退用地土壤污染风险管控。</w:t>
                  </w:r>
                </w:p>
                <w:p w14:paraId="4E81A11A">
                  <w:pPr>
                    <w:keepNext w:val="0"/>
                    <w:keepLines w:val="0"/>
                    <w:suppressLineNumbers w:val="0"/>
                    <w:spacing w:before="0" w:beforeAutospacing="0" w:after="0" w:afterAutospacing="0" w:line="320" w:lineRule="exact"/>
                    <w:ind w:left="0" w:right="0"/>
                    <w:jc w:val="left"/>
                    <w:rPr>
                      <w:rFonts w:hint="eastAsia"/>
                      <w:color w:val="auto"/>
                      <w:u w:val="none"/>
                      <w:lang w:eastAsia="zh-CN"/>
                    </w:rPr>
                  </w:pPr>
                  <w:r>
                    <w:rPr>
                      <w:rFonts w:hint="eastAsia"/>
                      <w:color w:val="auto"/>
                      <w:u w:val="none"/>
                      <w:lang w:eastAsia="zh-CN"/>
                    </w:rPr>
                    <w:t>（3.2）配合省生态环境厅开展受污染耕地土壤重金属成因排查试点，督促开展污染源头风险管控。</w:t>
                  </w:r>
                </w:p>
                <w:p w14:paraId="24DFC0F7">
                  <w:pPr>
                    <w:keepNext w:val="0"/>
                    <w:keepLines w:val="0"/>
                    <w:suppressLineNumbers w:val="0"/>
                    <w:spacing w:before="0" w:beforeAutospacing="0" w:after="0" w:afterAutospacing="0" w:line="320" w:lineRule="exact"/>
                    <w:ind w:left="0" w:right="0"/>
                    <w:jc w:val="left"/>
                    <w:rPr>
                      <w:rFonts w:hint="eastAsia" w:eastAsia="宋体"/>
                      <w:color w:val="auto"/>
                      <w:u w:val="none"/>
                      <w:lang w:eastAsia="zh-CN"/>
                    </w:rPr>
                  </w:pPr>
                  <w:r>
                    <w:rPr>
                      <w:rFonts w:hint="eastAsia"/>
                      <w:color w:val="auto"/>
                      <w:u w:val="none"/>
                      <w:lang w:eastAsia="zh-CN"/>
                    </w:rPr>
                    <w:t>（3.3）强化在产企业土壤和地下水污染源头管控，启动地下水污染防治重点区划定工作，加强地下水环境监测监管能力建设，推进地下水污染预防、风险管控与修复试点，完成地下水环境状况调查评估。</w:t>
                  </w:r>
                </w:p>
              </w:tc>
              <w:tc>
                <w:tcPr>
                  <w:tcW w:w="1767" w:type="pct"/>
                  <w:vAlign w:val="center"/>
                </w:tcPr>
                <w:p w14:paraId="5ECE9399">
                  <w:pPr>
                    <w:keepNext w:val="0"/>
                    <w:keepLines w:val="0"/>
                    <w:suppressLineNumbers w:val="0"/>
                    <w:spacing w:before="0" w:beforeAutospacing="0" w:after="0" w:afterAutospacing="0" w:line="320" w:lineRule="exact"/>
                    <w:ind w:left="0" w:right="0"/>
                    <w:jc w:val="center"/>
                    <w:rPr>
                      <w:rFonts w:hint="default" w:eastAsia="宋体"/>
                      <w:color w:val="auto"/>
                      <w:szCs w:val="21"/>
                      <w:u w:val="single"/>
                      <w:lang w:val="en-US" w:eastAsia="zh-CN"/>
                    </w:rPr>
                  </w:pPr>
                  <w:r>
                    <w:rPr>
                      <w:rFonts w:hint="eastAsia"/>
                      <w:color w:val="auto"/>
                      <w:u w:val="single"/>
                    </w:rPr>
                    <w:t>本项目属于河湖整治</w:t>
                  </w:r>
                  <w:r>
                    <w:rPr>
                      <w:rFonts w:hint="eastAsia"/>
                      <w:color w:val="auto"/>
                      <w:u w:val="single"/>
                      <w:lang w:val="en-US" w:eastAsia="zh-CN"/>
                    </w:rPr>
                    <w:t>及防洪除涝</w:t>
                  </w:r>
                  <w:r>
                    <w:rPr>
                      <w:rFonts w:hint="eastAsia"/>
                      <w:color w:val="auto"/>
                      <w:u w:val="single"/>
                    </w:rPr>
                    <w:t>工程项目，为非污染生态影响类项目,</w:t>
                  </w:r>
                  <w:r>
                    <w:rPr>
                      <w:rFonts w:hint="eastAsia"/>
                      <w:color w:val="auto"/>
                      <w:u w:val="single"/>
                      <w:lang w:val="en-US" w:eastAsia="zh-CN"/>
                    </w:rPr>
                    <w:t>建设完成后可改善现状内涝区域的雨水排放的问题，本项目不涉及环境风险管控要求内容。</w:t>
                  </w:r>
                </w:p>
              </w:tc>
              <w:tc>
                <w:tcPr>
                  <w:tcW w:w="569" w:type="pct"/>
                  <w:vAlign w:val="center"/>
                </w:tcPr>
                <w:p w14:paraId="636C8385">
                  <w:pPr>
                    <w:keepNext w:val="0"/>
                    <w:keepLines w:val="0"/>
                    <w:suppressLineNumbers w:val="0"/>
                    <w:spacing w:before="0" w:beforeAutospacing="0" w:after="0" w:afterAutospacing="0" w:line="320" w:lineRule="exact"/>
                    <w:ind w:left="0" w:right="0"/>
                    <w:jc w:val="center"/>
                    <w:rPr>
                      <w:rFonts w:hint="eastAsia" w:eastAsia="宋体"/>
                      <w:color w:val="auto"/>
                      <w:szCs w:val="21"/>
                      <w:u w:val="single"/>
                      <w:lang w:eastAsia="zh-CN"/>
                    </w:rPr>
                  </w:pPr>
                  <w:r>
                    <w:rPr>
                      <w:rFonts w:hint="eastAsia"/>
                      <w:color w:val="auto"/>
                      <w:szCs w:val="21"/>
                      <w:u w:val="single"/>
                      <w:lang w:eastAsia="zh-CN"/>
                    </w:rPr>
                    <w:t>符合</w:t>
                  </w:r>
                </w:p>
              </w:tc>
            </w:tr>
            <w:tr w14:paraId="3942E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Align w:val="center"/>
                </w:tcPr>
                <w:p w14:paraId="78612589">
                  <w:pPr>
                    <w:keepNext w:val="0"/>
                    <w:keepLines w:val="0"/>
                    <w:suppressLineNumbers w:val="0"/>
                    <w:spacing w:before="0" w:beforeAutospacing="0" w:after="0" w:afterAutospacing="0" w:line="320" w:lineRule="exact"/>
                    <w:ind w:left="0" w:right="0"/>
                    <w:jc w:val="center"/>
                    <w:rPr>
                      <w:rFonts w:hint="default"/>
                      <w:color w:val="FF0000"/>
                      <w:szCs w:val="21"/>
                      <w:u w:val="single"/>
                    </w:rPr>
                  </w:pPr>
                  <w:r>
                    <w:rPr>
                      <w:rFonts w:hint="default"/>
                      <w:color w:val="auto"/>
                      <w:kern w:val="0"/>
                      <w:szCs w:val="21"/>
                      <w:u w:val="single"/>
                    </w:rPr>
                    <w:t>资源开发效率要求</w:t>
                  </w:r>
                </w:p>
              </w:tc>
              <w:tc>
                <w:tcPr>
                  <w:tcW w:w="2167" w:type="pct"/>
                  <w:vAlign w:val="center"/>
                </w:tcPr>
                <w:p w14:paraId="673C4EAF">
                  <w:pPr>
                    <w:keepNext w:val="0"/>
                    <w:keepLines w:val="0"/>
                    <w:suppressLineNumbers w:val="0"/>
                    <w:spacing w:before="0" w:beforeAutospacing="0" w:after="0" w:afterAutospacing="0" w:line="320" w:lineRule="exact"/>
                    <w:ind w:left="0" w:right="0"/>
                    <w:jc w:val="left"/>
                    <w:rPr>
                      <w:rFonts w:hint="default"/>
                      <w:color w:val="auto"/>
                      <w:u w:val="single"/>
                    </w:rPr>
                  </w:pPr>
                  <w:r>
                    <w:rPr>
                      <w:rFonts w:hint="default"/>
                      <w:color w:val="auto"/>
                      <w:u w:val="single"/>
                    </w:rPr>
                    <w:t>（4.1）分区域规模化推进高效节水灌溉；大力推广高效冷却、循环用水等节水工艺和技术；将再生水、雨水等非常规水源纳入水资源统一配置。</w:t>
                  </w:r>
                </w:p>
                <w:p w14:paraId="1C77F89C">
                  <w:pPr>
                    <w:keepNext w:val="0"/>
                    <w:keepLines w:val="0"/>
                    <w:suppressLineNumbers w:val="0"/>
                    <w:spacing w:before="0" w:beforeAutospacing="0" w:after="0" w:afterAutospacing="0" w:line="320" w:lineRule="exact"/>
                    <w:ind w:left="0" w:right="0"/>
                    <w:jc w:val="left"/>
                    <w:rPr>
                      <w:rFonts w:hint="default"/>
                      <w:color w:val="auto"/>
                      <w:u w:val="single"/>
                    </w:rPr>
                  </w:pPr>
                  <w:r>
                    <w:rPr>
                      <w:rFonts w:hint="default"/>
                      <w:color w:val="auto"/>
                      <w:u w:val="single"/>
                    </w:rPr>
                    <w:t>（4.2）水资源：2025年，临湘市用水总量控制在3.23亿立方米，万元地区生产总值用水量比2020年下降27.07%，万元工业增加值用水量比2020年下降10.12%，农田灌溉水有效利用系数为0.58。</w:t>
                  </w:r>
                </w:p>
                <w:p w14:paraId="783FDA71">
                  <w:pPr>
                    <w:keepNext w:val="0"/>
                    <w:keepLines w:val="0"/>
                    <w:suppressLineNumbers w:val="0"/>
                    <w:spacing w:before="0" w:beforeAutospacing="0" w:after="0" w:afterAutospacing="0" w:line="320" w:lineRule="exact"/>
                    <w:ind w:left="0" w:right="0"/>
                    <w:jc w:val="left"/>
                    <w:rPr>
                      <w:rFonts w:hint="default" w:eastAsia="宋体"/>
                      <w:color w:val="FF0000"/>
                      <w:szCs w:val="21"/>
                      <w:u w:val="single"/>
                      <w:lang w:val="en-US" w:eastAsia="zh-CN"/>
                    </w:rPr>
                  </w:pPr>
                  <w:r>
                    <w:rPr>
                      <w:rFonts w:hint="default"/>
                      <w:color w:val="auto"/>
                      <w:u w:val="single"/>
                    </w:rPr>
                    <w:t>（4.3）能源：临湘市“十四五”能耗强度降低基本目标16%，激励目标16.5%。</w:t>
                  </w:r>
                  <w:r>
                    <w:rPr>
                      <w:rFonts w:hint="eastAsia"/>
                      <w:color w:val="auto"/>
                      <w:u w:val="single"/>
                      <w:lang w:val="en-US" w:eastAsia="zh-CN"/>
                    </w:rPr>
                    <w:t>...</w:t>
                  </w:r>
                </w:p>
              </w:tc>
              <w:tc>
                <w:tcPr>
                  <w:tcW w:w="1767" w:type="pct"/>
                  <w:vAlign w:val="center"/>
                </w:tcPr>
                <w:p w14:paraId="44CF341C">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u w:val="single"/>
                    </w:rPr>
                    <w:t>本项目属于河湖整治</w:t>
                  </w:r>
                  <w:r>
                    <w:rPr>
                      <w:rFonts w:hint="eastAsia"/>
                      <w:color w:val="auto"/>
                      <w:u w:val="single"/>
                      <w:lang w:val="en-US" w:eastAsia="zh-CN"/>
                    </w:rPr>
                    <w:t>及防洪除涝</w:t>
                  </w:r>
                  <w:r>
                    <w:rPr>
                      <w:rFonts w:hint="eastAsia"/>
                      <w:color w:val="auto"/>
                      <w:u w:val="single"/>
                    </w:rPr>
                    <w:t>工程项目，为非污染生态影响类项目</w:t>
                  </w:r>
                  <w:r>
                    <w:rPr>
                      <w:rFonts w:hint="eastAsia"/>
                      <w:color w:val="auto"/>
                      <w:u w:val="single"/>
                      <w:lang w:eastAsia="zh-CN"/>
                    </w:rPr>
                    <w:t>，</w:t>
                  </w:r>
                  <w:r>
                    <w:rPr>
                      <w:rFonts w:hint="eastAsia"/>
                      <w:color w:val="auto"/>
                      <w:u w:val="single"/>
                      <w:lang w:val="en-US" w:eastAsia="zh-CN"/>
                    </w:rPr>
                    <w:t>在营运期无耗能，不另外占用建设用地</w:t>
                  </w:r>
                  <w:r>
                    <w:rPr>
                      <w:rFonts w:hint="default"/>
                      <w:color w:val="auto"/>
                      <w:szCs w:val="21"/>
                      <w:u w:val="single"/>
                    </w:rPr>
                    <w:t>。</w:t>
                  </w:r>
                </w:p>
              </w:tc>
              <w:tc>
                <w:tcPr>
                  <w:tcW w:w="569" w:type="pct"/>
                  <w:vAlign w:val="center"/>
                </w:tcPr>
                <w:p w14:paraId="6AA9F440">
                  <w:pPr>
                    <w:keepNext w:val="0"/>
                    <w:keepLines w:val="0"/>
                    <w:suppressLineNumbers w:val="0"/>
                    <w:spacing w:before="0" w:beforeAutospacing="0" w:after="0" w:afterAutospacing="0" w:line="320" w:lineRule="exact"/>
                    <w:ind w:left="0" w:right="0"/>
                    <w:jc w:val="center"/>
                    <w:rPr>
                      <w:rFonts w:hint="default"/>
                      <w:color w:val="auto"/>
                      <w:szCs w:val="21"/>
                      <w:u w:val="none"/>
                    </w:rPr>
                  </w:pPr>
                  <w:r>
                    <w:rPr>
                      <w:rFonts w:hint="default"/>
                      <w:color w:val="auto"/>
                      <w:szCs w:val="21"/>
                      <w:u w:val="single"/>
                    </w:rPr>
                    <w:t>符合</w:t>
                  </w:r>
                </w:p>
              </w:tc>
            </w:tr>
          </w:tbl>
          <w:p w14:paraId="3043459D">
            <w:pPr>
              <w:keepNext w:val="0"/>
              <w:keepLines w:val="0"/>
              <w:suppressLineNumbers w:val="0"/>
              <w:spacing w:before="0" w:beforeAutospacing="0" w:after="0" w:afterAutospacing="0" w:line="360" w:lineRule="auto"/>
              <w:ind w:left="0" w:right="0" w:firstLine="472" w:firstLineChars="200"/>
              <w:rPr>
                <w:rFonts w:hint="default"/>
                <w:color w:val="auto"/>
                <w:sz w:val="24"/>
                <w:u w:val="none"/>
              </w:rPr>
            </w:pPr>
            <w:r>
              <w:rPr>
                <w:rFonts w:hint="default"/>
                <w:color w:val="auto"/>
                <w:spacing w:val="-2"/>
                <w:sz w:val="24"/>
                <w:u w:val="none"/>
              </w:rPr>
              <w:t>综上对照分析，本项目的建设符合</w:t>
            </w:r>
            <w:r>
              <w:rPr>
                <w:rFonts w:hint="eastAsia"/>
                <w:color w:val="auto"/>
                <w:sz w:val="24"/>
                <w:u w:val="none"/>
              </w:rPr>
              <w:t>《岳阳市生态环境分区管控动态更新成果（2023年版）》</w:t>
            </w:r>
            <w:r>
              <w:rPr>
                <w:rFonts w:hint="eastAsia"/>
                <w:color w:val="auto"/>
                <w:sz w:val="24"/>
                <w:u w:val="none"/>
                <w:lang w:val="en-US" w:eastAsia="zh-CN"/>
              </w:rPr>
              <w:t>的相关</w:t>
            </w:r>
            <w:r>
              <w:rPr>
                <w:rFonts w:hint="default"/>
                <w:color w:val="auto"/>
                <w:spacing w:val="-2"/>
                <w:sz w:val="24"/>
                <w:u w:val="none"/>
              </w:rPr>
              <w:t>要求。</w:t>
            </w:r>
          </w:p>
          <w:p w14:paraId="462BACC9">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eastAsia"/>
                <w:b/>
                <w:bCs/>
                <w:color w:val="auto"/>
                <w:kern w:val="0"/>
                <w:sz w:val="24"/>
                <w:u w:val="none"/>
                <w:lang w:val="en-US" w:eastAsia="zh-CN"/>
              </w:rPr>
            </w:pPr>
            <w:r>
              <w:rPr>
                <w:rFonts w:hint="eastAsia"/>
                <w:b/>
                <w:bCs/>
                <w:color w:val="auto"/>
                <w:kern w:val="0"/>
                <w:sz w:val="24"/>
                <w:u w:val="none"/>
                <w:lang w:val="en-US" w:eastAsia="zh-CN"/>
              </w:rPr>
              <w:t>3、与《水利建设项目（河湖整治与防洪除涝工程）环境影响评价文件审批原则（试行）》符合性分析</w:t>
            </w:r>
          </w:p>
          <w:p w14:paraId="1B292AC1">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default"/>
                <w:b w:val="0"/>
                <w:bCs w:val="0"/>
                <w:color w:val="auto"/>
                <w:kern w:val="0"/>
                <w:sz w:val="24"/>
                <w:u w:val="none"/>
                <w:lang w:val="en-US" w:eastAsia="zh-CN"/>
              </w:rPr>
            </w:pPr>
            <w:r>
              <w:rPr>
                <w:rFonts w:hint="eastAsia"/>
                <w:b w:val="0"/>
                <w:bCs w:val="0"/>
                <w:color w:val="auto"/>
                <w:kern w:val="0"/>
                <w:sz w:val="24"/>
                <w:u w:val="none"/>
                <w:lang w:val="en-US" w:eastAsia="zh-CN"/>
              </w:rPr>
              <w:t>项目与《水利建设项目（河湖整治与防洪除涝工程）环境影响评价文件审批原则（试行）》符合性分析见下表。</w:t>
            </w:r>
          </w:p>
          <w:p w14:paraId="4B359A4F">
            <w:pPr>
              <w:pStyle w:val="26"/>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kern w:val="2"/>
                <w:sz w:val="21"/>
                <w:szCs w:val="21"/>
                <w:u w:val="none"/>
                <w:lang w:val="en-US" w:eastAsia="zh-CN" w:bidi="ar-SA"/>
              </w:rPr>
            </w:pPr>
            <w:r>
              <w:rPr>
                <w:rFonts w:hint="default" w:ascii="Times New Roman" w:hAnsi="Times New Roman" w:eastAsia="宋体" w:cs="Times New Roman"/>
                <w:b/>
                <w:bCs/>
                <w:color w:val="auto"/>
                <w:kern w:val="2"/>
                <w:sz w:val="21"/>
                <w:szCs w:val="21"/>
                <w:u w:val="none"/>
                <w:lang w:val="en-US" w:eastAsia="zh-CN" w:bidi="ar-SA"/>
              </w:rPr>
              <w:t>表1-</w:t>
            </w:r>
            <w:r>
              <w:rPr>
                <w:rFonts w:hint="eastAsia" w:cs="Times New Roman"/>
                <w:b/>
                <w:bCs/>
                <w:color w:val="auto"/>
                <w:kern w:val="2"/>
                <w:sz w:val="21"/>
                <w:szCs w:val="21"/>
                <w:u w:val="none"/>
                <w:lang w:val="en-US" w:eastAsia="zh-CN" w:bidi="ar-SA"/>
              </w:rPr>
              <w:t xml:space="preserve">4 </w:t>
            </w:r>
            <w:r>
              <w:rPr>
                <w:rFonts w:hint="default" w:ascii="Times New Roman" w:hAnsi="Times New Roman" w:eastAsia="宋体" w:cs="Times New Roman"/>
                <w:b/>
                <w:bCs/>
                <w:color w:val="auto"/>
                <w:kern w:val="2"/>
                <w:sz w:val="21"/>
                <w:szCs w:val="21"/>
                <w:u w:val="none"/>
                <w:lang w:val="en-US" w:eastAsia="zh-CN" w:bidi="ar-SA"/>
              </w:rPr>
              <w:t xml:space="preserve"> 与水利建设项目（河湖整治与防洪除涝工程）环境影响评价文件审批原则（试行）相符性分析</w:t>
            </w:r>
          </w:p>
          <w:tbl>
            <w:tblPr>
              <w:tblStyle w:val="2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3334"/>
              <w:gridCol w:w="2616"/>
              <w:gridCol w:w="689"/>
            </w:tblGrid>
            <w:tr w14:paraId="33108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Align w:val="center"/>
                </w:tcPr>
                <w:p w14:paraId="6A2FE55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4"/>
                      <w:u w:val="none"/>
                      <w:vertAlign w:val="baseline"/>
                      <w:lang w:val="en-US" w:eastAsia="zh-CN"/>
                    </w:rPr>
                  </w:pPr>
                  <w:r>
                    <w:rPr>
                      <w:rFonts w:hint="default" w:ascii="Times New Roman" w:hAnsi="Times New Roman" w:eastAsia="宋体" w:cs="Times New Roman"/>
                      <w:b/>
                      <w:bCs/>
                      <w:color w:val="auto"/>
                      <w:kern w:val="2"/>
                      <w:sz w:val="21"/>
                      <w:szCs w:val="24"/>
                      <w:u w:val="none"/>
                      <w:vertAlign w:val="baseline"/>
                      <w:lang w:val="en-US" w:eastAsia="zh-CN"/>
                    </w:rPr>
                    <w:t>序号</w:t>
                  </w:r>
                </w:p>
              </w:tc>
              <w:tc>
                <w:tcPr>
                  <w:tcW w:w="2359" w:type="pct"/>
                  <w:vAlign w:val="center"/>
                </w:tcPr>
                <w:p w14:paraId="614FD6B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4"/>
                      <w:u w:val="none"/>
                      <w:vertAlign w:val="baseline"/>
                      <w:lang w:val="en-US" w:eastAsia="zh-CN"/>
                    </w:rPr>
                  </w:pPr>
                  <w:r>
                    <w:rPr>
                      <w:rFonts w:hint="eastAsia" w:cs="Times New Roman"/>
                      <w:b/>
                      <w:bCs/>
                      <w:color w:val="auto"/>
                      <w:kern w:val="2"/>
                      <w:sz w:val="21"/>
                      <w:szCs w:val="24"/>
                      <w:u w:val="none"/>
                      <w:vertAlign w:val="baseline"/>
                      <w:lang w:val="en-US" w:eastAsia="zh-CN"/>
                    </w:rPr>
                    <w:t>相关要求/不利影响</w:t>
                  </w:r>
                </w:p>
              </w:tc>
              <w:tc>
                <w:tcPr>
                  <w:tcW w:w="1850" w:type="pct"/>
                  <w:vAlign w:val="center"/>
                </w:tcPr>
                <w:p w14:paraId="250F3D5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4"/>
                      <w:u w:val="none"/>
                      <w:vertAlign w:val="baseline"/>
                      <w:lang w:val="en-US" w:eastAsia="zh-CN"/>
                    </w:rPr>
                  </w:pPr>
                  <w:r>
                    <w:rPr>
                      <w:rFonts w:hint="default" w:ascii="Times New Roman" w:hAnsi="Times New Roman" w:eastAsia="宋体" w:cs="Times New Roman"/>
                      <w:b/>
                      <w:bCs/>
                      <w:color w:val="auto"/>
                      <w:kern w:val="2"/>
                      <w:sz w:val="21"/>
                      <w:szCs w:val="24"/>
                      <w:u w:val="none"/>
                      <w:vertAlign w:val="baseline"/>
                      <w:lang w:val="en-US" w:eastAsia="zh-CN"/>
                    </w:rPr>
                    <w:t>本项目情况</w:t>
                  </w:r>
                </w:p>
              </w:tc>
              <w:tc>
                <w:tcPr>
                  <w:tcW w:w="487" w:type="pct"/>
                  <w:vAlign w:val="center"/>
                </w:tcPr>
                <w:p w14:paraId="2BAD221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4"/>
                      <w:u w:val="none"/>
                      <w:vertAlign w:val="baseline"/>
                      <w:lang w:val="en-US" w:eastAsia="zh-CN"/>
                    </w:rPr>
                  </w:pPr>
                  <w:r>
                    <w:rPr>
                      <w:rFonts w:hint="default" w:ascii="Times New Roman" w:hAnsi="Times New Roman" w:eastAsia="宋体" w:cs="Times New Roman"/>
                      <w:b/>
                      <w:bCs/>
                      <w:color w:val="auto"/>
                      <w:kern w:val="2"/>
                      <w:sz w:val="21"/>
                      <w:szCs w:val="24"/>
                      <w:u w:val="none"/>
                      <w:vertAlign w:val="baseline"/>
                      <w:lang w:val="en-US" w:eastAsia="zh-CN"/>
                    </w:rPr>
                    <w:t>符合性分析</w:t>
                  </w:r>
                </w:p>
              </w:tc>
            </w:tr>
            <w:tr w14:paraId="6751D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Align w:val="center"/>
                </w:tcPr>
                <w:p w14:paraId="566A36B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u w:val="none"/>
                      <w:vertAlign w:val="baseline"/>
                      <w:lang w:val="en-US" w:eastAsia="zh-CN"/>
                    </w:rPr>
                  </w:pPr>
                  <w:r>
                    <w:rPr>
                      <w:rFonts w:hint="eastAsia" w:cs="Times New Roman"/>
                      <w:b w:val="0"/>
                      <w:bCs w:val="0"/>
                      <w:color w:val="auto"/>
                      <w:kern w:val="2"/>
                      <w:sz w:val="21"/>
                      <w:szCs w:val="24"/>
                      <w:u w:val="none"/>
                      <w:vertAlign w:val="baseline"/>
                      <w:lang w:val="en-US" w:eastAsia="zh-CN"/>
                    </w:rPr>
                    <w:t>1</w:t>
                  </w:r>
                </w:p>
              </w:tc>
              <w:tc>
                <w:tcPr>
                  <w:tcW w:w="2359" w:type="pct"/>
                  <w:vAlign w:val="center"/>
                </w:tcPr>
                <w:p w14:paraId="4E7573D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u w:val="none"/>
                      <w:vertAlign w:val="baseline"/>
                      <w:lang w:val="en-US" w:eastAsia="zh-CN"/>
                    </w:rPr>
                  </w:pPr>
                  <w:r>
                    <w:rPr>
                      <w:rFonts w:hint="default" w:ascii="Times New Roman" w:hAnsi="Times New Roman" w:eastAsia="宋体" w:cs="Times New Roman"/>
                      <w:b w:val="0"/>
                      <w:bCs w:val="0"/>
                      <w:color w:val="auto"/>
                      <w:kern w:val="2"/>
                      <w:sz w:val="21"/>
                      <w:szCs w:val="24"/>
                      <w:u w:val="none"/>
                      <w:vertAlign w:val="baseline"/>
                      <w:lang w:val="en-US" w:eastAsia="zh-CN"/>
                    </w:rPr>
                    <w:t>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最大程度保持了河湖自然形态，最大限度维护了河湖健康、生态系统功能和生物多样性。</w:t>
                  </w:r>
                </w:p>
              </w:tc>
              <w:tc>
                <w:tcPr>
                  <w:tcW w:w="1850" w:type="pct"/>
                  <w:vAlign w:val="center"/>
                </w:tcPr>
                <w:p w14:paraId="09FB594E">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val="0"/>
                      <w:bCs w:val="0"/>
                      <w:color w:val="auto"/>
                      <w:kern w:val="2"/>
                      <w:sz w:val="21"/>
                      <w:szCs w:val="24"/>
                      <w:u w:val="none"/>
                      <w:vertAlign w:val="baseline"/>
                      <w:lang w:val="en-US" w:eastAsia="zh-CN"/>
                    </w:rPr>
                  </w:pPr>
                  <w:r>
                    <w:rPr>
                      <w:rFonts w:hint="eastAsia"/>
                      <w:color w:val="auto"/>
                      <w:u w:val="single"/>
                    </w:rPr>
                    <w:t>本项目属于河湖整治</w:t>
                  </w:r>
                  <w:r>
                    <w:rPr>
                      <w:rFonts w:hint="eastAsia"/>
                      <w:color w:val="auto"/>
                      <w:u w:val="single"/>
                      <w:lang w:val="en-US" w:eastAsia="zh-CN"/>
                    </w:rPr>
                    <w:t>及防洪除涝</w:t>
                  </w:r>
                  <w:r>
                    <w:rPr>
                      <w:rFonts w:hint="eastAsia"/>
                      <w:color w:val="auto"/>
                      <w:u w:val="none"/>
                    </w:rPr>
                    <w:t>工程项目，为非污染生态影响类项目</w:t>
                  </w:r>
                  <w:r>
                    <w:rPr>
                      <w:rFonts w:hint="eastAsia"/>
                      <w:color w:val="auto"/>
                      <w:u w:val="none"/>
                      <w:lang w:eastAsia="zh-CN"/>
                    </w:rPr>
                    <w:t>。</w:t>
                  </w:r>
                  <w:r>
                    <w:rPr>
                      <w:rFonts w:hint="eastAsia"/>
                      <w:color w:val="auto"/>
                      <w:u w:val="none"/>
                      <w:lang w:val="en-US" w:eastAsia="zh-CN"/>
                    </w:rPr>
                    <w:t>建设内容</w:t>
                  </w:r>
                  <w:r>
                    <w:rPr>
                      <w:rFonts w:hint="eastAsia" w:ascii="Times New Roman" w:hAnsi="Times New Roman" w:eastAsia="宋体" w:cs="Times New Roman"/>
                      <w:b w:val="0"/>
                      <w:bCs w:val="0"/>
                      <w:color w:val="auto"/>
                      <w:kern w:val="2"/>
                      <w:sz w:val="21"/>
                      <w:szCs w:val="24"/>
                      <w:u w:val="none"/>
                      <w:vertAlign w:val="baseline"/>
                      <w:lang w:val="en-US" w:eastAsia="zh-CN"/>
                    </w:rPr>
                    <w:t>符合《临湘市中心城区排水（雨水）防涝综合规划（2014-2030年）》相关要求。</w:t>
                  </w:r>
                </w:p>
              </w:tc>
              <w:tc>
                <w:tcPr>
                  <w:tcW w:w="487" w:type="pct"/>
                  <w:vAlign w:val="center"/>
                </w:tcPr>
                <w:p w14:paraId="3AF09EC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u w:val="none"/>
                      <w:vertAlign w:val="baseline"/>
                      <w:lang w:val="en-US" w:eastAsia="zh-CN"/>
                    </w:rPr>
                  </w:pPr>
                  <w:r>
                    <w:rPr>
                      <w:rFonts w:hint="eastAsia" w:cs="Times New Roman"/>
                      <w:b w:val="0"/>
                      <w:bCs w:val="0"/>
                      <w:color w:val="auto"/>
                      <w:kern w:val="2"/>
                      <w:sz w:val="21"/>
                      <w:szCs w:val="24"/>
                      <w:u w:val="none"/>
                      <w:vertAlign w:val="baseline"/>
                      <w:lang w:val="en-US" w:eastAsia="zh-CN"/>
                    </w:rPr>
                    <w:t>符合</w:t>
                  </w:r>
                </w:p>
              </w:tc>
            </w:tr>
            <w:tr w14:paraId="2D616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Align w:val="center"/>
                </w:tcPr>
                <w:p w14:paraId="72BC6C7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u w:val="none"/>
                      <w:vertAlign w:val="baseline"/>
                      <w:lang w:val="en-US" w:eastAsia="zh-CN"/>
                    </w:rPr>
                  </w:pPr>
                  <w:r>
                    <w:rPr>
                      <w:rFonts w:hint="eastAsia" w:cs="Times New Roman"/>
                      <w:b w:val="0"/>
                      <w:bCs w:val="0"/>
                      <w:color w:val="auto"/>
                      <w:kern w:val="2"/>
                      <w:sz w:val="21"/>
                      <w:szCs w:val="24"/>
                      <w:u w:val="none"/>
                      <w:vertAlign w:val="baseline"/>
                      <w:lang w:val="en-US" w:eastAsia="zh-CN"/>
                    </w:rPr>
                    <w:t>2</w:t>
                  </w:r>
                </w:p>
              </w:tc>
              <w:tc>
                <w:tcPr>
                  <w:tcW w:w="2359" w:type="pct"/>
                  <w:vAlign w:val="center"/>
                </w:tcPr>
                <w:p w14:paraId="4D00941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u w:val="none"/>
                      <w:vertAlign w:val="baseline"/>
                      <w:lang w:val="en-US" w:eastAsia="zh-CN"/>
                    </w:rPr>
                  </w:pPr>
                  <w:r>
                    <w:rPr>
                      <w:rFonts w:hint="default" w:ascii="Times New Roman" w:hAnsi="Times New Roman" w:eastAsia="宋体" w:cs="Times New Roman"/>
                      <w:b w:val="0"/>
                      <w:bCs w:val="0"/>
                      <w:color w:val="auto"/>
                      <w:kern w:val="2"/>
                      <w:sz w:val="21"/>
                      <w:szCs w:val="24"/>
                      <w:u w:val="none"/>
                      <w:vertAlign w:val="baseline"/>
                      <w:lang w:val="en-US" w:eastAsia="zh-CN"/>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1850" w:type="pct"/>
                  <w:vAlign w:val="center"/>
                </w:tcPr>
                <w:p w14:paraId="34633B3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u w:val="none"/>
                      <w:vertAlign w:val="baseline"/>
                      <w:lang w:val="en-US" w:eastAsia="zh-CN"/>
                    </w:rPr>
                  </w:pPr>
                  <w:r>
                    <w:rPr>
                      <w:rFonts w:hint="default" w:ascii="Times New Roman" w:hAnsi="Times New Roman" w:eastAsia="宋体" w:cs="Times New Roman"/>
                      <w:b w:val="0"/>
                      <w:bCs w:val="0"/>
                      <w:color w:val="auto"/>
                      <w:kern w:val="2"/>
                      <w:sz w:val="21"/>
                      <w:szCs w:val="24"/>
                      <w:highlight w:val="none"/>
                      <w:u w:val="none"/>
                      <w:vertAlign w:val="baseline"/>
                      <w:lang w:val="en-US" w:eastAsia="zh-CN"/>
                    </w:rPr>
                    <w:t>本项目不</w:t>
                  </w:r>
                  <w:r>
                    <w:rPr>
                      <w:rFonts w:hint="eastAsia" w:cs="Times New Roman"/>
                      <w:b w:val="0"/>
                      <w:bCs w:val="0"/>
                      <w:color w:val="auto"/>
                      <w:kern w:val="2"/>
                      <w:sz w:val="21"/>
                      <w:szCs w:val="24"/>
                      <w:highlight w:val="none"/>
                      <w:u w:val="none"/>
                      <w:vertAlign w:val="baseline"/>
                      <w:lang w:val="en-US" w:eastAsia="zh-CN"/>
                    </w:rPr>
                    <w:t>涉及</w:t>
                  </w:r>
                  <w:r>
                    <w:rPr>
                      <w:rFonts w:hint="default" w:ascii="Times New Roman" w:hAnsi="Times New Roman" w:eastAsia="宋体" w:cs="Times New Roman"/>
                      <w:b w:val="0"/>
                      <w:bCs w:val="0"/>
                      <w:color w:val="auto"/>
                      <w:kern w:val="2"/>
                      <w:sz w:val="21"/>
                      <w:szCs w:val="24"/>
                      <w:highlight w:val="none"/>
                      <w:u w:val="none"/>
                      <w:vertAlign w:val="baseline"/>
                      <w:lang w:val="en-US" w:eastAsia="zh-CN"/>
                    </w:rPr>
                    <w:t>自然保护区、风景名胜区、世界文化和自然遗产地以及其他生态保护红线等环境敏感区中法律法规禁止占用的区域</w:t>
                  </w:r>
                  <w:r>
                    <w:rPr>
                      <w:rFonts w:hint="eastAsia" w:cs="Times New Roman"/>
                      <w:b w:val="0"/>
                      <w:bCs w:val="0"/>
                      <w:color w:val="auto"/>
                      <w:kern w:val="2"/>
                      <w:sz w:val="21"/>
                      <w:szCs w:val="24"/>
                      <w:highlight w:val="none"/>
                      <w:u w:val="none"/>
                      <w:vertAlign w:val="baseline"/>
                      <w:lang w:val="en-US" w:eastAsia="zh-CN"/>
                    </w:rPr>
                    <w:t>，且项目已取得自然资源局出具的建设工程规划审批单。</w:t>
                  </w:r>
                </w:p>
              </w:tc>
              <w:tc>
                <w:tcPr>
                  <w:tcW w:w="487" w:type="pct"/>
                  <w:vAlign w:val="center"/>
                </w:tcPr>
                <w:p w14:paraId="7A87D4B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u w:val="none"/>
                      <w:vertAlign w:val="baseline"/>
                      <w:lang w:val="en-US" w:eastAsia="zh-CN"/>
                    </w:rPr>
                  </w:pPr>
                  <w:r>
                    <w:rPr>
                      <w:rFonts w:hint="eastAsia" w:cs="Times New Roman"/>
                      <w:b w:val="0"/>
                      <w:bCs w:val="0"/>
                      <w:color w:val="auto"/>
                      <w:kern w:val="2"/>
                      <w:sz w:val="21"/>
                      <w:szCs w:val="24"/>
                      <w:highlight w:val="none"/>
                      <w:u w:val="none"/>
                      <w:vertAlign w:val="baseline"/>
                      <w:lang w:val="en-US" w:eastAsia="zh-CN"/>
                    </w:rPr>
                    <w:t>符合</w:t>
                  </w:r>
                </w:p>
              </w:tc>
            </w:tr>
            <w:tr w14:paraId="1FA58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Align w:val="center"/>
                </w:tcPr>
                <w:p w14:paraId="33FB970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u w:val="none"/>
                      <w:vertAlign w:val="baseline"/>
                      <w:lang w:val="en-US" w:eastAsia="zh-CN"/>
                    </w:rPr>
                  </w:pPr>
                  <w:r>
                    <w:rPr>
                      <w:rFonts w:hint="eastAsia" w:cs="Times New Roman"/>
                      <w:b w:val="0"/>
                      <w:bCs w:val="0"/>
                      <w:color w:val="auto"/>
                      <w:kern w:val="2"/>
                      <w:sz w:val="21"/>
                      <w:szCs w:val="24"/>
                      <w:u w:val="none"/>
                      <w:vertAlign w:val="baseline"/>
                      <w:lang w:val="en-US" w:eastAsia="zh-CN"/>
                    </w:rPr>
                    <w:t>3</w:t>
                  </w:r>
                </w:p>
              </w:tc>
              <w:tc>
                <w:tcPr>
                  <w:tcW w:w="2359" w:type="pct"/>
                  <w:vAlign w:val="center"/>
                </w:tcPr>
                <w:p w14:paraId="7BE20E2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u w:val="none"/>
                      <w:vertAlign w:val="baseline"/>
                      <w:lang w:val="en-US" w:eastAsia="zh-CN"/>
                    </w:rPr>
                  </w:pPr>
                  <w:r>
                    <w:rPr>
                      <w:rFonts w:hint="default" w:ascii="Times New Roman" w:hAnsi="Times New Roman" w:eastAsia="宋体" w:cs="Times New Roman"/>
                      <w:b w:val="0"/>
                      <w:bCs w:val="0"/>
                      <w:color w:val="auto"/>
                      <w:kern w:val="2"/>
                      <w:sz w:val="21"/>
                      <w:szCs w:val="24"/>
                      <w:u w:val="none"/>
                      <w:vertAlign w:val="baseline"/>
                      <w:lang w:val="en-US" w:eastAsia="zh-CN"/>
                    </w:rPr>
                    <w:t>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w:t>
                  </w:r>
                </w:p>
              </w:tc>
              <w:tc>
                <w:tcPr>
                  <w:tcW w:w="1850" w:type="pct"/>
                  <w:vAlign w:val="center"/>
                </w:tcPr>
                <w:p w14:paraId="55BC570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FF0000"/>
                      <w:kern w:val="2"/>
                      <w:sz w:val="21"/>
                      <w:szCs w:val="24"/>
                      <w:highlight w:val="yellow"/>
                      <w:u w:val="none"/>
                      <w:vertAlign w:val="baseline"/>
                      <w:lang w:val="en-US" w:eastAsia="zh-CN"/>
                    </w:rPr>
                  </w:pPr>
                  <w:r>
                    <w:rPr>
                      <w:rFonts w:hint="default" w:ascii="Times New Roman" w:hAnsi="Times New Roman" w:eastAsia="宋体" w:cs="Times New Roman"/>
                      <w:b w:val="0"/>
                      <w:bCs w:val="0"/>
                      <w:color w:val="auto"/>
                      <w:kern w:val="2"/>
                      <w:sz w:val="21"/>
                      <w:szCs w:val="24"/>
                      <w:highlight w:val="none"/>
                      <w:u w:val="none"/>
                      <w:vertAlign w:val="baseline"/>
                      <w:lang w:val="en-US" w:eastAsia="zh-CN"/>
                    </w:rPr>
                    <w:t>本项目工程施工期安排在枯水期进行。本项目清障疏浚过程中主要对河道内堆积泥沙等进行清理，对地下水造成的影响较小。针对清淤过程中</w:t>
                  </w:r>
                  <w:r>
                    <w:rPr>
                      <w:rFonts w:hint="eastAsia" w:cs="Times New Roman"/>
                      <w:b w:val="0"/>
                      <w:bCs w:val="0"/>
                      <w:color w:val="auto"/>
                      <w:kern w:val="2"/>
                      <w:sz w:val="21"/>
                      <w:szCs w:val="24"/>
                      <w:highlight w:val="none"/>
                      <w:u w:val="none"/>
                      <w:vertAlign w:val="baseline"/>
                      <w:lang w:val="en-US" w:eastAsia="zh-CN"/>
                    </w:rPr>
                    <w:t>淤泥脱水</w:t>
                  </w:r>
                  <w:r>
                    <w:rPr>
                      <w:rFonts w:hint="default" w:ascii="Times New Roman" w:hAnsi="Times New Roman" w:eastAsia="宋体" w:cs="Times New Roman"/>
                      <w:b w:val="0"/>
                      <w:bCs w:val="0"/>
                      <w:color w:val="auto"/>
                      <w:kern w:val="2"/>
                      <w:sz w:val="21"/>
                      <w:szCs w:val="24"/>
                      <w:highlight w:val="none"/>
                      <w:u w:val="none"/>
                      <w:vertAlign w:val="baseline"/>
                      <w:lang w:val="en-US" w:eastAsia="zh-CN"/>
                    </w:rPr>
                    <w:t>产生的废水经</w:t>
                  </w:r>
                  <w:r>
                    <w:rPr>
                      <w:rFonts w:hint="eastAsia"/>
                      <w:color w:val="auto"/>
                      <w:kern w:val="0"/>
                      <w:sz w:val="21"/>
                      <w:szCs w:val="21"/>
                      <w:highlight w:val="none"/>
                      <w:u w:val="none"/>
                      <w:lang w:val="en-US" w:eastAsia="zh-CN"/>
                    </w:rPr>
                    <w:t>废水经三级沉淀池→混凝沉淀（PAC+PAM）→活性炭吸附→清水池回用/排放,</w:t>
                  </w:r>
                  <w:r>
                    <w:rPr>
                      <w:rFonts w:hint="default" w:ascii="Times New Roman" w:hAnsi="Times New Roman" w:eastAsia="宋体" w:cs="Times New Roman"/>
                      <w:b w:val="0"/>
                      <w:bCs w:val="0"/>
                      <w:color w:val="auto"/>
                      <w:kern w:val="2"/>
                      <w:sz w:val="21"/>
                      <w:szCs w:val="24"/>
                      <w:highlight w:val="none"/>
                      <w:u w:val="none"/>
                      <w:vertAlign w:val="baseline"/>
                      <w:lang w:val="en-US" w:eastAsia="zh-CN"/>
                    </w:rPr>
                    <w:t>对周边环境的影响相对较小。</w:t>
                  </w:r>
                </w:p>
              </w:tc>
              <w:tc>
                <w:tcPr>
                  <w:tcW w:w="487" w:type="pct"/>
                  <w:vAlign w:val="center"/>
                </w:tcPr>
                <w:p w14:paraId="0425E5E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FF0000"/>
                      <w:kern w:val="2"/>
                      <w:sz w:val="21"/>
                      <w:szCs w:val="24"/>
                      <w:u w:val="none"/>
                      <w:vertAlign w:val="baseline"/>
                      <w:lang w:val="en-US" w:eastAsia="zh-CN"/>
                    </w:rPr>
                  </w:pPr>
                  <w:r>
                    <w:rPr>
                      <w:rFonts w:hint="eastAsia" w:cs="Times New Roman"/>
                      <w:b w:val="0"/>
                      <w:bCs w:val="0"/>
                      <w:color w:val="auto"/>
                      <w:kern w:val="2"/>
                      <w:sz w:val="21"/>
                      <w:szCs w:val="24"/>
                      <w:u w:val="none"/>
                      <w:vertAlign w:val="baseline"/>
                      <w:lang w:val="en-US" w:eastAsia="zh-CN"/>
                    </w:rPr>
                    <w:t>符合</w:t>
                  </w:r>
                </w:p>
              </w:tc>
            </w:tr>
            <w:tr w14:paraId="4C4F2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Align w:val="center"/>
                </w:tcPr>
                <w:p w14:paraId="7658F21F">
                  <w:pPr>
                    <w:keepNext w:val="0"/>
                    <w:keepLines w:val="0"/>
                    <w:suppressLineNumbers w:val="0"/>
                    <w:spacing w:before="0" w:beforeAutospacing="0" w:after="0" w:afterAutospacing="0" w:line="240" w:lineRule="auto"/>
                    <w:ind w:left="0" w:right="0" w:firstLine="0" w:firstLineChars="0"/>
                    <w:jc w:val="center"/>
                    <w:rPr>
                      <w:rFonts w:hint="default" w:cs="Times New Roman"/>
                      <w:b w:val="0"/>
                      <w:bCs w:val="0"/>
                      <w:color w:val="auto"/>
                      <w:kern w:val="2"/>
                      <w:sz w:val="21"/>
                      <w:szCs w:val="24"/>
                      <w:u w:val="none"/>
                      <w:vertAlign w:val="baseline"/>
                      <w:lang w:val="en-US" w:eastAsia="zh-CN"/>
                    </w:rPr>
                  </w:pPr>
                  <w:r>
                    <w:rPr>
                      <w:rFonts w:hint="eastAsia" w:cs="Times New Roman"/>
                      <w:b w:val="0"/>
                      <w:bCs w:val="0"/>
                      <w:color w:val="auto"/>
                      <w:kern w:val="2"/>
                      <w:sz w:val="21"/>
                      <w:szCs w:val="24"/>
                      <w:u w:val="none"/>
                      <w:vertAlign w:val="baseline"/>
                      <w:lang w:val="en-US" w:eastAsia="zh-CN"/>
                    </w:rPr>
                    <w:t>4</w:t>
                  </w:r>
                </w:p>
              </w:tc>
              <w:tc>
                <w:tcPr>
                  <w:tcW w:w="2359" w:type="pct"/>
                  <w:vAlign w:val="center"/>
                </w:tcPr>
                <w:p w14:paraId="159A9DF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u w:val="none"/>
                      <w:vertAlign w:val="baseline"/>
                      <w:lang w:val="en-US" w:eastAsia="zh-CN"/>
                    </w:rPr>
                  </w:pPr>
                  <w:r>
                    <w:rPr>
                      <w:rFonts w:hint="default" w:ascii="Times New Roman" w:hAnsi="Times New Roman" w:eastAsia="宋体" w:cs="Times New Roman"/>
                      <w:b w:val="0"/>
                      <w:bCs w:val="0"/>
                      <w:color w:val="auto"/>
                      <w:kern w:val="2"/>
                      <w:sz w:val="21"/>
                      <w:szCs w:val="24"/>
                      <w:u w:val="none"/>
                      <w:vertAlign w:val="baseline"/>
                      <w:lang w:val="en-US" w:eastAsia="zh-CN"/>
                    </w:rPr>
                    <w:t>项目对鱼类等水生生物的洄游通道及“三场”等重要生境、物种多样性及资源量等产生不利影响的，提出了下泄生态流量、恢复鱼类洄游通道、采用生态友好型护岸（坡、底）、生态修复、增殖放流等措施</w:t>
                  </w:r>
                </w:p>
              </w:tc>
              <w:tc>
                <w:tcPr>
                  <w:tcW w:w="1850" w:type="pct"/>
                  <w:vAlign w:val="center"/>
                </w:tcPr>
                <w:p w14:paraId="23244CC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yellow"/>
                      <w:u w:val="single"/>
                      <w:vertAlign w:val="baseline"/>
                      <w:lang w:val="en-US" w:eastAsia="zh-CN"/>
                    </w:rPr>
                  </w:pPr>
                  <w:r>
                    <w:rPr>
                      <w:rFonts w:hint="default" w:ascii="Times New Roman" w:hAnsi="Times New Roman" w:eastAsia="宋体" w:cs="Times New Roman"/>
                      <w:b w:val="0"/>
                      <w:bCs w:val="0"/>
                      <w:color w:val="auto"/>
                      <w:kern w:val="2"/>
                      <w:sz w:val="21"/>
                      <w:szCs w:val="24"/>
                      <w:highlight w:val="none"/>
                      <w:u w:val="single"/>
                      <w:vertAlign w:val="baseline"/>
                      <w:lang w:val="en-US" w:eastAsia="zh-CN"/>
                    </w:rPr>
                    <w:t>本项目不涉及鱼类等水生生物的洄游通道及“三场”等重要生境、物种多样性及资源量等。本项目仅施工过程中对整治河道产生一定影响，当施工结束时，影响源也随之消失，不会对河流生态环境造成较大影响，且施工完成后，河流行水断面变大，对鱼类等水生生物产生正面影响。</w:t>
                  </w:r>
                </w:p>
              </w:tc>
              <w:tc>
                <w:tcPr>
                  <w:tcW w:w="487" w:type="pct"/>
                  <w:vAlign w:val="center"/>
                </w:tcPr>
                <w:p w14:paraId="46D30C5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u w:val="single"/>
                      <w:vertAlign w:val="baseline"/>
                      <w:lang w:val="en-US" w:eastAsia="zh-CN"/>
                    </w:rPr>
                  </w:pPr>
                  <w:r>
                    <w:rPr>
                      <w:rFonts w:hint="eastAsia" w:cs="Times New Roman"/>
                      <w:b w:val="0"/>
                      <w:bCs w:val="0"/>
                      <w:color w:val="auto"/>
                      <w:kern w:val="2"/>
                      <w:sz w:val="21"/>
                      <w:szCs w:val="24"/>
                      <w:u w:val="single"/>
                      <w:vertAlign w:val="baseline"/>
                      <w:lang w:val="en-US" w:eastAsia="zh-CN"/>
                    </w:rPr>
                    <w:t>符合</w:t>
                  </w:r>
                </w:p>
              </w:tc>
            </w:tr>
            <w:tr w14:paraId="0E542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Align w:val="center"/>
                </w:tcPr>
                <w:p w14:paraId="3C849D20">
                  <w:pPr>
                    <w:keepNext w:val="0"/>
                    <w:keepLines w:val="0"/>
                    <w:suppressLineNumbers w:val="0"/>
                    <w:spacing w:before="0" w:beforeAutospacing="0" w:after="0" w:afterAutospacing="0" w:line="240" w:lineRule="auto"/>
                    <w:ind w:left="0" w:right="0" w:firstLine="0" w:firstLineChars="0"/>
                    <w:jc w:val="center"/>
                    <w:rPr>
                      <w:rFonts w:hint="default" w:cs="Times New Roman"/>
                      <w:b w:val="0"/>
                      <w:bCs w:val="0"/>
                      <w:color w:val="auto"/>
                      <w:kern w:val="2"/>
                      <w:sz w:val="21"/>
                      <w:szCs w:val="24"/>
                      <w:u w:val="none"/>
                      <w:vertAlign w:val="baseline"/>
                      <w:lang w:val="en-US" w:eastAsia="zh-CN"/>
                    </w:rPr>
                  </w:pPr>
                  <w:r>
                    <w:rPr>
                      <w:rFonts w:hint="eastAsia" w:cs="Times New Roman"/>
                      <w:b w:val="0"/>
                      <w:bCs w:val="0"/>
                      <w:color w:val="auto"/>
                      <w:kern w:val="2"/>
                      <w:sz w:val="21"/>
                      <w:szCs w:val="24"/>
                      <w:u w:val="none"/>
                      <w:vertAlign w:val="baseline"/>
                      <w:lang w:val="en-US" w:eastAsia="zh-CN"/>
                    </w:rPr>
                    <w:t>5</w:t>
                  </w:r>
                </w:p>
              </w:tc>
              <w:tc>
                <w:tcPr>
                  <w:tcW w:w="2359" w:type="pct"/>
                  <w:vAlign w:val="center"/>
                </w:tcPr>
                <w:p w14:paraId="1C9E8F2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u w:val="none"/>
                      <w:vertAlign w:val="baseline"/>
                      <w:lang w:val="en-US" w:eastAsia="zh-CN"/>
                    </w:rPr>
                  </w:pPr>
                  <w:r>
                    <w:rPr>
                      <w:rFonts w:hint="default" w:ascii="Times New Roman" w:hAnsi="Times New Roman" w:eastAsia="宋体" w:cs="Times New Roman"/>
                      <w:b w:val="0"/>
                      <w:bCs w:val="0"/>
                      <w:color w:val="auto"/>
                      <w:kern w:val="2"/>
                      <w:sz w:val="21"/>
                      <w:szCs w:val="24"/>
                      <w:u w:val="none"/>
                      <w:vertAlign w:val="baseline"/>
                      <w:lang w:val="en-US" w:eastAsia="zh-CN"/>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w:t>
                  </w:r>
                </w:p>
              </w:tc>
              <w:tc>
                <w:tcPr>
                  <w:tcW w:w="1850" w:type="pct"/>
                  <w:vAlign w:val="center"/>
                </w:tcPr>
                <w:p w14:paraId="529AB63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u w:val="none"/>
                      <w:vertAlign w:val="baseline"/>
                      <w:lang w:val="en-US" w:eastAsia="zh-CN"/>
                    </w:rPr>
                  </w:pPr>
                  <w:r>
                    <w:rPr>
                      <w:rFonts w:hint="eastAsia" w:cs="Times New Roman"/>
                      <w:b w:val="0"/>
                      <w:bCs w:val="0"/>
                      <w:color w:val="auto"/>
                      <w:kern w:val="2"/>
                      <w:sz w:val="21"/>
                      <w:szCs w:val="24"/>
                      <w:highlight w:val="none"/>
                      <w:u w:val="none"/>
                      <w:vertAlign w:val="baseline"/>
                      <w:lang w:val="en-US" w:eastAsia="zh-CN"/>
                    </w:rPr>
                    <w:t>①废气：</w:t>
                  </w:r>
                  <w:r>
                    <w:rPr>
                      <w:rFonts w:hint="default" w:ascii="Times New Roman" w:hAnsi="Times New Roman" w:eastAsia="宋体" w:cs="Times New Roman"/>
                      <w:b w:val="0"/>
                      <w:bCs w:val="0"/>
                      <w:color w:val="auto"/>
                      <w:kern w:val="2"/>
                      <w:sz w:val="21"/>
                      <w:szCs w:val="24"/>
                      <w:highlight w:val="none"/>
                      <w:u w:val="none"/>
                      <w:vertAlign w:val="baseline"/>
                      <w:lang w:val="en-US" w:eastAsia="zh-CN"/>
                    </w:rPr>
                    <w:t>项目施工期扬尘采取设置围挡、冲洗平台；施工场地洒水抑尘；物料覆盖；运输车辆密闭、限制车速等防治措施；机械设备废气采用符合国家标准的运输车辆和施工设备，经大气稀疏后扩散排放</w:t>
                  </w:r>
                  <w:r>
                    <w:rPr>
                      <w:rFonts w:hint="eastAsia" w:cs="Times New Roman"/>
                      <w:b w:val="0"/>
                      <w:bCs w:val="0"/>
                      <w:color w:val="auto"/>
                      <w:kern w:val="2"/>
                      <w:sz w:val="21"/>
                      <w:szCs w:val="24"/>
                      <w:highlight w:val="none"/>
                      <w:u w:val="none"/>
                      <w:vertAlign w:val="baseline"/>
                      <w:lang w:val="en-US" w:eastAsia="zh-CN"/>
                    </w:rPr>
                    <w:t>；清淤过程中臭气通过喷洒除臭剂来降低影响</w:t>
                  </w:r>
                  <w:r>
                    <w:rPr>
                      <w:rFonts w:hint="default" w:ascii="Times New Roman" w:hAnsi="Times New Roman" w:eastAsia="宋体" w:cs="Times New Roman"/>
                      <w:b w:val="0"/>
                      <w:bCs w:val="0"/>
                      <w:color w:val="auto"/>
                      <w:kern w:val="2"/>
                      <w:sz w:val="21"/>
                      <w:szCs w:val="24"/>
                      <w:highlight w:val="none"/>
                      <w:u w:val="none"/>
                      <w:vertAlign w:val="baseline"/>
                      <w:lang w:val="en-US" w:eastAsia="zh-CN"/>
                    </w:rPr>
                    <w:t>。</w:t>
                  </w:r>
                </w:p>
                <w:p w14:paraId="62DBEEA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FF0000"/>
                      <w:kern w:val="2"/>
                      <w:sz w:val="21"/>
                      <w:szCs w:val="24"/>
                      <w:highlight w:val="yellow"/>
                      <w:u w:val="none"/>
                      <w:vertAlign w:val="baseline"/>
                      <w:lang w:val="en-US" w:eastAsia="zh-CN"/>
                    </w:rPr>
                  </w:pPr>
                  <w:r>
                    <w:rPr>
                      <w:rFonts w:hint="eastAsia" w:cs="Times New Roman"/>
                      <w:b w:val="0"/>
                      <w:bCs w:val="0"/>
                      <w:color w:val="auto"/>
                      <w:kern w:val="2"/>
                      <w:sz w:val="21"/>
                      <w:szCs w:val="24"/>
                      <w:highlight w:val="none"/>
                      <w:u w:val="none"/>
                      <w:vertAlign w:val="baseline"/>
                      <w:lang w:val="en-US" w:eastAsia="zh-CN"/>
                    </w:rPr>
                    <w:t>②废水：</w:t>
                  </w:r>
                  <w:r>
                    <w:rPr>
                      <w:rFonts w:hint="default" w:ascii="Times New Roman" w:hAnsi="Times New Roman" w:eastAsia="宋体" w:cs="Times New Roman"/>
                      <w:b w:val="0"/>
                      <w:bCs w:val="0"/>
                      <w:color w:val="auto"/>
                      <w:kern w:val="2"/>
                      <w:sz w:val="21"/>
                      <w:szCs w:val="24"/>
                      <w:highlight w:val="none"/>
                      <w:u w:val="none"/>
                      <w:vertAlign w:val="baseline"/>
                      <w:lang w:val="en-US" w:eastAsia="zh-CN"/>
                    </w:rPr>
                    <w:t>车辆冲洗废水经沉淀池处理后回用作车辆冲洗用水及洒水抑尘；生活污水依托</w:t>
                  </w:r>
                  <w:r>
                    <w:rPr>
                      <w:rFonts w:hint="eastAsia" w:cs="Times New Roman"/>
                      <w:b w:val="0"/>
                      <w:bCs w:val="0"/>
                      <w:color w:val="auto"/>
                      <w:kern w:val="2"/>
                      <w:sz w:val="21"/>
                      <w:szCs w:val="24"/>
                      <w:highlight w:val="none"/>
                      <w:u w:val="none"/>
                      <w:vertAlign w:val="baseline"/>
                      <w:lang w:val="en-US" w:eastAsia="zh-CN"/>
                    </w:rPr>
                    <w:t>租赁</w:t>
                  </w:r>
                  <w:r>
                    <w:rPr>
                      <w:rFonts w:hint="default" w:ascii="Times New Roman" w:hAnsi="Times New Roman" w:eastAsia="宋体" w:cs="Times New Roman"/>
                      <w:b w:val="0"/>
                      <w:bCs w:val="0"/>
                      <w:color w:val="auto"/>
                      <w:kern w:val="2"/>
                      <w:sz w:val="21"/>
                      <w:szCs w:val="24"/>
                      <w:highlight w:val="none"/>
                      <w:u w:val="none"/>
                      <w:vertAlign w:val="baseline"/>
                      <w:lang w:val="en-US" w:eastAsia="zh-CN"/>
                    </w:rPr>
                    <w:t>民房处理</w:t>
                  </w:r>
                  <w:r>
                    <w:rPr>
                      <w:rFonts w:hint="eastAsia" w:cs="Times New Roman"/>
                      <w:b w:val="0"/>
                      <w:bCs w:val="0"/>
                      <w:color w:val="auto"/>
                      <w:kern w:val="2"/>
                      <w:sz w:val="21"/>
                      <w:szCs w:val="24"/>
                      <w:highlight w:val="none"/>
                      <w:u w:val="none"/>
                      <w:vertAlign w:val="baseline"/>
                      <w:lang w:val="en-US" w:eastAsia="zh-CN"/>
                    </w:rPr>
                    <w:t>；清淤淤泥脱水废水经</w:t>
                  </w:r>
                  <w:r>
                    <w:rPr>
                      <w:rFonts w:hint="eastAsia"/>
                      <w:color w:val="auto"/>
                      <w:kern w:val="0"/>
                      <w:sz w:val="21"/>
                      <w:szCs w:val="21"/>
                      <w:highlight w:val="none"/>
                      <w:u w:val="none"/>
                      <w:lang w:val="en-US" w:eastAsia="zh-CN"/>
                    </w:rPr>
                    <w:t>废水经三级沉淀池→混凝沉淀（PAC+PAM）→活性炭吸附→清水池回用/</w:t>
                  </w:r>
                  <w:r>
                    <w:rPr>
                      <w:rFonts w:hint="eastAsia" w:cs="Times New Roman"/>
                      <w:b w:val="0"/>
                      <w:bCs w:val="0"/>
                      <w:color w:val="auto"/>
                      <w:kern w:val="2"/>
                      <w:sz w:val="21"/>
                      <w:szCs w:val="24"/>
                      <w:highlight w:val="none"/>
                      <w:u w:val="none"/>
                      <w:vertAlign w:val="baseline"/>
                      <w:lang w:val="en-US" w:eastAsia="zh-CN"/>
                    </w:rPr>
                    <w:t>排放</w:t>
                  </w:r>
                  <w:r>
                    <w:rPr>
                      <w:rFonts w:hint="default" w:ascii="Times New Roman" w:hAnsi="Times New Roman" w:eastAsia="宋体" w:cs="Times New Roman"/>
                      <w:b w:val="0"/>
                      <w:bCs w:val="0"/>
                      <w:color w:val="auto"/>
                      <w:kern w:val="2"/>
                      <w:sz w:val="21"/>
                      <w:szCs w:val="24"/>
                      <w:highlight w:val="none"/>
                      <w:u w:val="none"/>
                      <w:vertAlign w:val="baseline"/>
                      <w:lang w:val="en-US" w:eastAsia="zh-CN"/>
                    </w:rPr>
                    <w:t>。</w:t>
                  </w:r>
                  <w:r>
                    <w:rPr>
                      <w:rFonts w:hint="eastAsia" w:cs="Times New Roman"/>
                      <w:b w:val="0"/>
                      <w:bCs w:val="0"/>
                      <w:color w:val="auto"/>
                      <w:kern w:val="2"/>
                      <w:sz w:val="21"/>
                      <w:szCs w:val="24"/>
                      <w:highlight w:val="none"/>
                      <w:u w:val="none"/>
                      <w:vertAlign w:val="baseline"/>
                      <w:lang w:val="en-US" w:eastAsia="zh-CN"/>
                    </w:rPr>
                    <w:t>③噪声：</w:t>
                  </w:r>
                  <w:r>
                    <w:rPr>
                      <w:rFonts w:hint="default" w:ascii="Times New Roman" w:hAnsi="Times New Roman" w:eastAsia="宋体" w:cs="Times New Roman"/>
                      <w:b w:val="0"/>
                      <w:bCs w:val="0"/>
                      <w:color w:val="auto"/>
                      <w:kern w:val="2"/>
                      <w:sz w:val="21"/>
                      <w:szCs w:val="24"/>
                      <w:highlight w:val="none"/>
                      <w:u w:val="none"/>
                      <w:vertAlign w:val="baseline"/>
                      <w:lang w:val="en-US" w:eastAsia="zh-CN"/>
                    </w:rPr>
                    <w:t>噪声采取设备合理布局，合理安排施工时段，合理规划行车路线，加强交通管理，提前沟通居民，采用低噪声设备，设置隔声屏障等防治措施。</w:t>
                  </w:r>
                  <w:r>
                    <w:rPr>
                      <w:rFonts w:hint="eastAsia" w:cs="Times New Roman"/>
                      <w:b w:val="0"/>
                      <w:bCs w:val="0"/>
                      <w:color w:val="auto"/>
                      <w:kern w:val="2"/>
                      <w:sz w:val="21"/>
                      <w:szCs w:val="24"/>
                      <w:highlight w:val="none"/>
                      <w:u w:val="none"/>
                      <w:vertAlign w:val="baseline"/>
                      <w:lang w:val="en-US" w:eastAsia="zh-CN"/>
                    </w:rPr>
                    <w:t>④固废：</w:t>
                  </w:r>
                  <w:r>
                    <w:rPr>
                      <w:rFonts w:hint="default" w:ascii="Times New Roman" w:hAnsi="Times New Roman" w:eastAsia="宋体" w:cs="Times New Roman"/>
                      <w:b w:val="0"/>
                      <w:bCs w:val="0"/>
                      <w:color w:val="auto"/>
                      <w:kern w:val="2"/>
                      <w:sz w:val="21"/>
                      <w:szCs w:val="24"/>
                      <w:highlight w:val="none"/>
                      <w:u w:val="none"/>
                      <w:vertAlign w:val="baseline"/>
                      <w:lang w:val="en-US" w:eastAsia="zh-CN"/>
                    </w:rPr>
                    <w:t>废水池沉渣和淤泥（第I类一般工业固废）</w:t>
                  </w:r>
                  <w:r>
                    <w:rPr>
                      <w:rFonts w:hint="eastAsia"/>
                      <w:color w:val="auto"/>
                      <w:u w:val="single"/>
                      <w:lang w:val="en-US" w:eastAsia="zh-CN"/>
                    </w:rPr>
                    <w:t>经“石灰调理+板框压滤脱水”后泥饼暂存，后续直接交给其他公司进行资源化利用</w:t>
                  </w:r>
                  <w:r>
                    <w:rPr>
                      <w:rFonts w:hint="default" w:ascii="Times New Roman" w:hAnsi="Times New Roman" w:eastAsia="宋体" w:cs="Times New Roman"/>
                      <w:b w:val="0"/>
                      <w:bCs w:val="0"/>
                      <w:color w:val="auto"/>
                      <w:kern w:val="2"/>
                      <w:sz w:val="21"/>
                      <w:szCs w:val="24"/>
                      <w:highlight w:val="none"/>
                      <w:u w:val="none"/>
                      <w:vertAlign w:val="baseline"/>
                      <w:lang w:val="en-US" w:eastAsia="zh-CN"/>
                    </w:rPr>
                    <w:t>；生活垃圾统一收集后由环卫部门清运处理。运营期不产生污染物。</w:t>
                  </w:r>
                </w:p>
              </w:tc>
              <w:tc>
                <w:tcPr>
                  <w:tcW w:w="487" w:type="pct"/>
                  <w:vAlign w:val="center"/>
                </w:tcPr>
                <w:p w14:paraId="3FE917D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FF0000"/>
                      <w:kern w:val="2"/>
                      <w:sz w:val="21"/>
                      <w:szCs w:val="24"/>
                      <w:u w:val="none"/>
                      <w:vertAlign w:val="baseline"/>
                      <w:lang w:val="en-US" w:eastAsia="zh-CN"/>
                    </w:rPr>
                  </w:pPr>
                  <w:r>
                    <w:rPr>
                      <w:rFonts w:hint="eastAsia" w:cs="Times New Roman"/>
                      <w:b w:val="0"/>
                      <w:bCs w:val="0"/>
                      <w:color w:val="auto"/>
                      <w:kern w:val="2"/>
                      <w:sz w:val="21"/>
                      <w:szCs w:val="24"/>
                      <w:u w:val="none"/>
                      <w:vertAlign w:val="baseline"/>
                      <w:lang w:val="en-US" w:eastAsia="zh-CN"/>
                    </w:rPr>
                    <w:t>符合</w:t>
                  </w:r>
                </w:p>
              </w:tc>
            </w:tr>
            <w:tr w14:paraId="19F28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Align w:val="center"/>
                </w:tcPr>
                <w:p w14:paraId="33AC699A">
                  <w:pPr>
                    <w:keepNext w:val="0"/>
                    <w:keepLines w:val="0"/>
                    <w:suppressLineNumbers w:val="0"/>
                    <w:spacing w:before="0" w:beforeAutospacing="0" w:after="0" w:afterAutospacing="0" w:line="240" w:lineRule="auto"/>
                    <w:ind w:left="0" w:right="0" w:firstLine="0" w:firstLineChars="0"/>
                    <w:jc w:val="center"/>
                    <w:rPr>
                      <w:rFonts w:hint="default" w:cs="Times New Roman"/>
                      <w:b w:val="0"/>
                      <w:bCs w:val="0"/>
                      <w:color w:val="auto"/>
                      <w:kern w:val="2"/>
                      <w:sz w:val="21"/>
                      <w:szCs w:val="24"/>
                      <w:u w:val="none"/>
                      <w:vertAlign w:val="baseline"/>
                      <w:lang w:val="en-US" w:eastAsia="zh-CN"/>
                    </w:rPr>
                  </w:pPr>
                  <w:r>
                    <w:rPr>
                      <w:rFonts w:hint="eastAsia" w:cs="Times New Roman"/>
                      <w:b w:val="0"/>
                      <w:bCs w:val="0"/>
                      <w:color w:val="auto"/>
                      <w:kern w:val="2"/>
                      <w:sz w:val="21"/>
                      <w:szCs w:val="24"/>
                      <w:u w:val="none"/>
                      <w:vertAlign w:val="baseline"/>
                      <w:lang w:val="en-US" w:eastAsia="zh-CN"/>
                    </w:rPr>
                    <w:t>6</w:t>
                  </w:r>
                </w:p>
              </w:tc>
              <w:tc>
                <w:tcPr>
                  <w:tcW w:w="2359" w:type="pct"/>
                  <w:vAlign w:val="center"/>
                </w:tcPr>
                <w:p w14:paraId="4F8BA4B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u w:val="none"/>
                      <w:vertAlign w:val="baseline"/>
                      <w:lang w:val="en-US" w:eastAsia="zh-CN"/>
                    </w:rPr>
                  </w:pPr>
                  <w:r>
                    <w:rPr>
                      <w:rFonts w:hint="default" w:ascii="Times New Roman" w:hAnsi="Times New Roman" w:eastAsia="宋体" w:cs="Times New Roman"/>
                      <w:b w:val="0"/>
                      <w:bCs w:val="0"/>
                      <w:color w:val="auto"/>
                      <w:kern w:val="2"/>
                      <w:sz w:val="21"/>
                      <w:szCs w:val="24"/>
                      <w:highlight w:val="none"/>
                      <w:u w:val="none"/>
                      <w:vertAlign w:val="baseline"/>
                      <w:lang w:val="en-US" w:eastAsia="zh-CN"/>
                    </w:rPr>
                    <w:t>按相关导则及规定要求，制定了水环境、生态等环境监测计划，明确了监测网点、因子、频次等有关要求，提出了开展环境影响后评价及根据监测评估结果优化环境保护措施的要求。根据需要和相关规定，提出了环境保护设计、开展相关科学研究、环境管理等要求。</w:t>
                  </w:r>
                </w:p>
              </w:tc>
              <w:tc>
                <w:tcPr>
                  <w:tcW w:w="1850" w:type="pct"/>
                  <w:vAlign w:val="center"/>
                </w:tcPr>
                <w:p w14:paraId="21B8673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4"/>
                      <w:highlight w:val="none"/>
                      <w:u w:val="none"/>
                      <w:vertAlign w:val="baseline"/>
                      <w:lang w:val="en-US" w:eastAsia="zh-CN"/>
                    </w:rPr>
                  </w:pPr>
                  <w:r>
                    <w:rPr>
                      <w:rFonts w:hint="default" w:ascii="Times New Roman" w:hAnsi="Times New Roman" w:eastAsia="宋体" w:cs="Times New Roman"/>
                      <w:b w:val="0"/>
                      <w:bCs w:val="0"/>
                      <w:color w:val="auto"/>
                      <w:kern w:val="2"/>
                      <w:sz w:val="21"/>
                      <w:szCs w:val="24"/>
                      <w:highlight w:val="none"/>
                      <w:u w:val="none"/>
                      <w:vertAlign w:val="baseline"/>
                      <w:lang w:val="en-US" w:eastAsia="zh-CN"/>
                    </w:rPr>
                    <w:t>项目施工前、中、后期，针对河流水环境及生态环境按要求制定相应监测计划，并在施工完成后对施工设备临时放置场地进行复绿。</w:t>
                  </w:r>
                </w:p>
              </w:tc>
              <w:tc>
                <w:tcPr>
                  <w:tcW w:w="487" w:type="pct"/>
                  <w:vAlign w:val="center"/>
                </w:tcPr>
                <w:p w14:paraId="0EA5024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FF0000"/>
                      <w:kern w:val="2"/>
                      <w:sz w:val="21"/>
                      <w:szCs w:val="24"/>
                      <w:u w:val="none"/>
                      <w:vertAlign w:val="baseline"/>
                      <w:lang w:val="en-US" w:eastAsia="zh-CN"/>
                    </w:rPr>
                  </w:pPr>
                  <w:r>
                    <w:rPr>
                      <w:rFonts w:hint="eastAsia" w:cs="Times New Roman"/>
                      <w:b w:val="0"/>
                      <w:bCs w:val="0"/>
                      <w:color w:val="auto"/>
                      <w:kern w:val="2"/>
                      <w:sz w:val="21"/>
                      <w:szCs w:val="24"/>
                      <w:u w:val="none"/>
                      <w:vertAlign w:val="baseline"/>
                      <w:lang w:val="en-US" w:eastAsia="zh-CN"/>
                    </w:rPr>
                    <w:t>符合</w:t>
                  </w:r>
                </w:p>
              </w:tc>
            </w:tr>
          </w:tbl>
          <w:p w14:paraId="586EB1B2">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default"/>
                <w:b/>
                <w:bCs/>
                <w:color w:val="auto"/>
                <w:kern w:val="0"/>
                <w:sz w:val="24"/>
                <w:u w:val="none"/>
                <w:lang w:val="en-US" w:eastAsia="zh-CN"/>
              </w:rPr>
            </w:pPr>
            <w:r>
              <w:rPr>
                <w:rFonts w:hint="eastAsia"/>
                <w:b/>
                <w:bCs/>
                <w:color w:val="auto"/>
                <w:kern w:val="0"/>
                <w:sz w:val="24"/>
                <w:u w:val="none"/>
                <w:lang w:val="en-US" w:eastAsia="zh-CN"/>
              </w:rPr>
              <w:t>6、</w:t>
            </w:r>
            <w:r>
              <w:rPr>
                <w:rFonts w:hint="default"/>
                <w:b/>
                <w:bCs/>
                <w:color w:val="auto"/>
                <w:kern w:val="0"/>
                <w:sz w:val="24"/>
                <w:u w:val="none"/>
                <w:lang w:val="en-US" w:eastAsia="zh-CN"/>
              </w:rPr>
              <w:t>与《湖南省长江经济带发展负面清单实施细则（试行，2022年版）》符合性分析</w:t>
            </w:r>
          </w:p>
          <w:p w14:paraId="517FD72B">
            <w:pPr>
              <w:pStyle w:val="26"/>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kern w:val="2"/>
                <w:sz w:val="21"/>
                <w:szCs w:val="21"/>
                <w:u w:val="none"/>
                <w:lang w:val="en-US" w:eastAsia="zh-CN" w:bidi="ar-SA"/>
              </w:rPr>
            </w:pPr>
            <w:r>
              <w:rPr>
                <w:rFonts w:hint="default" w:ascii="Times New Roman" w:hAnsi="Times New Roman" w:eastAsia="宋体" w:cs="Times New Roman"/>
                <w:b/>
                <w:bCs/>
                <w:color w:val="auto"/>
                <w:kern w:val="2"/>
                <w:sz w:val="21"/>
                <w:szCs w:val="21"/>
                <w:u w:val="none"/>
                <w:lang w:val="en-US" w:eastAsia="zh-CN" w:bidi="ar-SA"/>
              </w:rPr>
              <w:t>表1-</w:t>
            </w:r>
            <w:r>
              <w:rPr>
                <w:rFonts w:hint="eastAsia" w:cs="Times New Roman"/>
                <w:b/>
                <w:bCs/>
                <w:color w:val="auto"/>
                <w:kern w:val="2"/>
                <w:sz w:val="21"/>
                <w:szCs w:val="21"/>
                <w:u w:val="none"/>
                <w:lang w:val="en-US" w:eastAsia="zh-CN" w:bidi="ar-SA"/>
              </w:rPr>
              <w:t xml:space="preserve">5 </w:t>
            </w:r>
            <w:r>
              <w:rPr>
                <w:rFonts w:hint="default" w:ascii="Times New Roman" w:hAnsi="Times New Roman" w:eastAsia="宋体" w:cs="Times New Roman"/>
                <w:b/>
                <w:bCs/>
                <w:color w:val="auto"/>
                <w:kern w:val="2"/>
                <w:sz w:val="21"/>
                <w:szCs w:val="21"/>
                <w:u w:val="none"/>
                <w:lang w:val="en-US" w:eastAsia="zh-CN" w:bidi="ar-SA"/>
              </w:rPr>
              <w:t xml:space="preserve"> 与湖南省长江经济带发展负面清单实施细则相符性分析</w:t>
            </w:r>
          </w:p>
          <w:tbl>
            <w:tblPr>
              <w:tblStyle w:val="2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6"/>
              <w:gridCol w:w="3240"/>
              <w:gridCol w:w="2599"/>
              <w:gridCol w:w="728"/>
            </w:tblGrid>
            <w:tr w14:paraId="2DB09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351" w:type="pct"/>
                  <w:tcBorders>
                    <w:tl2br w:val="nil"/>
                    <w:tr2bl w:val="nil"/>
                  </w:tcBorders>
                  <w:noWrap w:val="0"/>
                  <w:vAlign w:val="center"/>
                </w:tcPr>
                <w:p w14:paraId="094C880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序号</w:t>
                  </w:r>
                </w:p>
              </w:tc>
              <w:tc>
                <w:tcPr>
                  <w:tcW w:w="2293" w:type="pct"/>
                  <w:tcBorders>
                    <w:tl2br w:val="nil"/>
                    <w:tr2bl w:val="nil"/>
                  </w:tcBorders>
                  <w:noWrap w:val="0"/>
                  <w:vAlign w:val="center"/>
                </w:tcPr>
                <w:p w14:paraId="623A6A6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负面清单禁止内容</w:t>
                  </w:r>
                </w:p>
              </w:tc>
              <w:tc>
                <w:tcPr>
                  <w:tcW w:w="1839" w:type="pct"/>
                  <w:tcBorders>
                    <w:tl2br w:val="nil"/>
                    <w:tr2bl w:val="nil"/>
                  </w:tcBorders>
                  <w:noWrap w:val="0"/>
                  <w:vAlign w:val="center"/>
                </w:tcPr>
                <w:p w14:paraId="7D26CCB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本项目情况</w:t>
                  </w:r>
                </w:p>
              </w:tc>
              <w:tc>
                <w:tcPr>
                  <w:tcW w:w="515" w:type="pct"/>
                  <w:tcBorders>
                    <w:tl2br w:val="nil"/>
                    <w:tr2bl w:val="nil"/>
                  </w:tcBorders>
                  <w:noWrap w:val="0"/>
                  <w:vAlign w:val="center"/>
                </w:tcPr>
                <w:p w14:paraId="48C63FF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符合性</w:t>
                  </w:r>
                </w:p>
              </w:tc>
            </w:tr>
            <w:tr w14:paraId="40BEA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1" w:type="pct"/>
                  <w:tcBorders>
                    <w:tl2br w:val="nil"/>
                    <w:tr2bl w:val="nil"/>
                  </w:tcBorders>
                  <w:noWrap w:val="0"/>
                  <w:vAlign w:val="center"/>
                </w:tcPr>
                <w:p w14:paraId="4CE8120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w:t>
                  </w:r>
                </w:p>
              </w:tc>
              <w:tc>
                <w:tcPr>
                  <w:tcW w:w="2293" w:type="pct"/>
                  <w:tcBorders>
                    <w:tl2br w:val="nil"/>
                    <w:tr2bl w:val="nil"/>
                  </w:tcBorders>
                  <w:noWrap w:val="0"/>
                  <w:vAlign w:val="center"/>
                </w:tcPr>
                <w:p w14:paraId="429678F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禁止建设不符合全国和省级港口布局规划以及港口总体规划的码头项目，禁止建设不符合《长江干线过江通道布局规划》的过长江通道项目</w:t>
                  </w:r>
                </w:p>
              </w:tc>
              <w:tc>
                <w:tcPr>
                  <w:tcW w:w="1839" w:type="pct"/>
                  <w:tcBorders>
                    <w:tl2br w:val="nil"/>
                    <w:tr2bl w:val="nil"/>
                  </w:tcBorders>
                  <w:noWrap w:val="0"/>
                  <w:vAlign w:val="center"/>
                </w:tcPr>
                <w:p w14:paraId="40AF3CA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本项目不属于码头建设项目</w:t>
                  </w:r>
                </w:p>
              </w:tc>
              <w:tc>
                <w:tcPr>
                  <w:tcW w:w="515" w:type="pct"/>
                  <w:tcBorders>
                    <w:tl2br w:val="nil"/>
                    <w:tr2bl w:val="nil"/>
                  </w:tcBorders>
                  <w:noWrap w:val="0"/>
                  <w:vAlign w:val="center"/>
                </w:tcPr>
                <w:p w14:paraId="79116E1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符合</w:t>
                  </w:r>
                </w:p>
              </w:tc>
            </w:tr>
            <w:tr w14:paraId="7D612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1" w:type="pct"/>
                  <w:tcBorders>
                    <w:tl2br w:val="nil"/>
                    <w:tr2bl w:val="nil"/>
                  </w:tcBorders>
                  <w:noWrap w:val="0"/>
                  <w:vAlign w:val="center"/>
                </w:tcPr>
                <w:p w14:paraId="5A811A7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2</w:t>
                  </w:r>
                </w:p>
              </w:tc>
              <w:tc>
                <w:tcPr>
                  <w:tcW w:w="2293" w:type="pct"/>
                  <w:tcBorders>
                    <w:tl2br w:val="nil"/>
                    <w:tr2bl w:val="nil"/>
                  </w:tcBorders>
                  <w:noWrap w:val="0"/>
                  <w:vAlign w:val="center"/>
                </w:tcPr>
                <w:p w14:paraId="21AA8B0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禁止在自然保护区核心区、缓冲区的岸线和河段范围内投资建设旅游和生产经营项目。禁止在风景名胜区核心景区的岸线和河段范围内投资建设与风景名胜资源保护无关的项目</w:t>
                  </w:r>
                </w:p>
              </w:tc>
              <w:tc>
                <w:tcPr>
                  <w:tcW w:w="1839" w:type="pct"/>
                  <w:vMerge w:val="restart"/>
                  <w:tcBorders>
                    <w:tl2br w:val="nil"/>
                    <w:tr2bl w:val="nil"/>
                  </w:tcBorders>
                  <w:noWrap w:val="0"/>
                  <w:vAlign w:val="center"/>
                </w:tcPr>
                <w:p w14:paraId="6A78DD72">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1"/>
                      <w:szCs w:val="21"/>
                      <w:highlight w:val="none"/>
                      <w:u w:val="none"/>
                      <w:lang w:eastAsia="zh-CN"/>
                    </w:rPr>
                  </w:pPr>
                  <w:r>
                    <w:rPr>
                      <w:rFonts w:hint="eastAsia"/>
                      <w:color w:val="auto"/>
                      <w:u w:val="none"/>
                    </w:rPr>
                    <w:t>本项目属于河湖整治及防洪除涝工程项目，为非污染生态影响类项目</w:t>
                  </w:r>
                </w:p>
              </w:tc>
              <w:tc>
                <w:tcPr>
                  <w:tcW w:w="515" w:type="pct"/>
                  <w:tcBorders>
                    <w:tl2br w:val="nil"/>
                    <w:tr2bl w:val="nil"/>
                  </w:tcBorders>
                  <w:noWrap w:val="0"/>
                  <w:vAlign w:val="center"/>
                </w:tcPr>
                <w:p w14:paraId="18655BF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符合</w:t>
                  </w:r>
                </w:p>
              </w:tc>
            </w:tr>
            <w:tr w14:paraId="0F5B4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1" w:type="pct"/>
                  <w:tcBorders>
                    <w:tl2br w:val="nil"/>
                    <w:tr2bl w:val="nil"/>
                  </w:tcBorders>
                  <w:noWrap w:val="0"/>
                  <w:vAlign w:val="center"/>
                </w:tcPr>
                <w:p w14:paraId="732B386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3</w:t>
                  </w:r>
                </w:p>
              </w:tc>
              <w:tc>
                <w:tcPr>
                  <w:tcW w:w="2293" w:type="pct"/>
                  <w:tcBorders>
                    <w:tl2br w:val="nil"/>
                    <w:tr2bl w:val="nil"/>
                  </w:tcBorders>
                  <w:noWrap w:val="0"/>
                  <w:vAlign w:val="center"/>
                </w:tcPr>
                <w:p w14:paraId="4C472C1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禁止在饮用水水源一级保护区的岸线和河段范围内新建、改建、扩建与供水设施和保护水源无关的项目，以及网箱养殖、畜禽养殖、旅游等可能污染饮用水水体的投资建设项目。禁止在饮用水源二级保护区的岸线和河段范围内新建、改建、扩建排放污染物的投资建设项目</w:t>
                  </w:r>
                </w:p>
              </w:tc>
              <w:tc>
                <w:tcPr>
                  <w:tcW w:w="1839" w:type="pct"/>
                  <w:vMerge w:val="continue"/>
                  <w:tcBorders>
                    <w:tl2br w:val="nil"/>
                    <w:tr2bl w:val="nil"/>
                  </w:tcBorders>
                  <w:noWrap w:val="0"/>
                  <w:vAlign w:val="center"/>
                </w:tcPr>
                <w:p w14:paraId="2E9D9B0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p>
              </w:tc>
              <w:tc>
                <w:tcPr>
                  <w:tcW w:w="515" w:type="pct"/>
                  <w:tcBorders>
                    <w:tl2br w:val="nil"/>
                    <w:tr2bl w:val="nil"/>
                  </w:tcBorders>
                  <w:noWrap w:val="0"/>
                  <w:vAlign w:val="center"/>
                </w:tcPr>
                <w:p w14:paraId="6A0C6B3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符合</w:t>
                  </w:r>
                </w:p>
              </w:tc>
            </w:tr>
            <w:tr w14:paraId="2A2A5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1" w:type="pct"/>
                  <w:tcBorders>
                    <w:tl2br w:val="nil"/>
                    <w:tr2bl w:val="nil"/>
                  </w:tcBorders>
                  <w:noWrap w:val="0"/>
                  <w:vAlign w:val="center"/>
                </w:tcPr>
                <w:p w14:paraId="0EC09FD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4</w:t>
                  </w:r>
                </w:p>
              </w:tc>
              <w:tc>
                <w:tcPr>
                  <w:tcW w:w="2293" w:type="pct"/>
                  <w:tcBorders>
                    <w:tl2br w:val="nil"/>
                    <w:tr2bl w:val="nil"/>
                  </w:tcBorders>
                  <w:noWrap w:val="0"/>
                  <w:vAlign w:val="center"/>
                </w:tcPr>
                <w:p w14:paraId="4125523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1839" w:type="pct"/>
                  <w:vMerge w:val="continue"/>
                  <w:tcBorders>
                    <w:tl2br w:val="nil"/>
                    <w:tr2bl w:val="nil"/>
                  </w:tcBorders>
                  <w:noWrap w:val="0"/>
                  <w:vAlign w:val="center"/>
                </w:tcPr>
                <w:p w14:paraId="2846973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p>
              </w:tc>
              <w:tc>
                <w:tcPr>
                  <w:tcW w:w="515" w:type="pct"/>
                  <w:tcBorders>
                    <w:tl2br w:val="nil"/>
                    <w:tr2bl w:val="nil"/>
                  </w:tcBorders>
                  <w:noWrap w:val="0"/>
                  <w:vAlign w:val="center"/>
                </w:tcPr>
                <w:p w14:paraId="7B0478F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符合</w:t>
                  </w:r>
                </w:p>
              </w:tc>
            </w:tr>
            <w:tr w14:paraId="4F398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1" w:type="pct"/>
                  <w:tcBorders>
                    <w:tl2br w:val="nil"/>
                    <w:tr2bl w:val="nil"/>
                  </w:tcBorders>
                  <w:noWrap w:val="0"/>
                  <w:vAlign w:val="center"/>
                </w:tcPr>
                <w:p w14:paraId="29FA262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5</w:t>
                  </w:r>
                </w:p>
              </w:tc>
              <w:tc>
                <w:tcPr>
                  <w:tcW w:w="2293" w:type="pct"/>
                  <w:tcBorders>
                    <w:tl2br w:val="nil"/>
                    <w:tr2bl w:val="nil"/>
                  </w:tcBorders>
                  <w:noWrap w:val="0"/>
                  <w:vAlign w:val="center"/>
                </w:tcPr>
                <w:p w14:paraId="5D188B0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禁止违法利用、占用长江流域河湖岸线。禁止在《全国重要江河湖泊水功能区划》划定的河段及湖泊保护区、保留区内投资建设不利于水资源及自然生态保护的项目</w:t>
                  </w:r>
                </w:p>
              </w:tc>
              <w:tc>
                <w:tcPr>
                  <w:tcW w:w="1839" w:type="pct"/>
                  <w:vMerge w:val="continue"/>
                  <w:tcBorders>
                    <w:tl2br w:val="nil"/>
                    <w:tr2bl w:val="nil"/>
                  </w:tcBorders>
                  <w:noWrap w:val="0"/>
                  <w:vAlign w:val="center"/>
                </w:tcPr>
                <w:p w14:paraId="45C6EBE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p>
              </w:tc>
              <w:tc>
                <w:tcPr>
                  <w:tcW w:w="515" w:type="pct"/>
                  <w:tcBorders>
                    <w:tl2br w:val="nil"/>
                    <w:tr2bl w:val="nil"/>
                  </w:tcBorders>
                  <w:noWrap w:val="0"/>
                  <w:vAlign w:val="center"/>
                </w:tcPr>
                <w:p w14:paraId="5BC79C5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符合</w:t>
                  </w:r>
                </w:p>
              </w:tc>
            </w:tr>
            <w:tr w14:paraId="6DCD0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1" w:type="pct"/>
                  <w:tcBorders>
                    <w:tl2br w:val="nil"/>
                    <w:tr2bl w:val="nil"/>
                  </w:tcBorders>
                  <w:noWrap w:val="0"/>
                  <w:vAlign w:val="center"/>
                </w:tcPr>
                <w:p w14:paraId="54229BE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6</w:t>
                  </w:r>
                </w:p>
              </w:tc>
              <w:tc>
                <w:tcPr>
                  <w:tcW w:w="2293" w:type="pct"/>
                  <w:tcBorders>
                    <w:tl2br w:val="nil"/>
                    <w:tr2bl w:val="nil"/>
                  </w:tcBorders>
                  <w:noWrap w:val="0"/>
                  <w:vAlign w:val="center"/>
                </w:tcPr>
                <w:p w14:paraId="05D7026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禁止未经许可在长江干支流及湖泊新设、改设或扩大排污口</w:t>
                  </w:r>
                </w:p>
              </w:tc>
              <w:tc>
                <w:tcPr>
                  <w:tcW w:w="1839" w:type="pct"/>
                  <w:tcBorders>
                    <w:tl2br w:val="nil"/>
                    <w:tr2bl w:val="nil"/>
                  </w:tcBorders>
                  <w:noWrap w:val="0"/>
                  <w:vAlign w:val="center"/>
                </w:tcPr>
                <w:p w14:paraId="082F8C7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lang w:val="en-US"/>
                    </w:rPr>
                  </w:pPr>
                  <w:r>
                    <w:rPr>
                      <w:rFonts w:hint="default" w:ascii="Times New Roman" w:hAnsi="Times New Roman" w:eastAsia="宋体" w:cs="Times New Roman"/>
                      <w:color w:val="auto"/>
                      <w:sz w:val="21"/>
                      <w:szCs w:val="21"/>
                      <w:highlight w:val="none"/>
                      <w:u w:val="none"/>
                    </w:rPr>
                    <w:t>本项目未在长江干支流及湖泊新设、改设或扩大排污口</w:t>
                  </w:r>
                </w:p>
              </w:tc>
              <w:tc>
                <w:tcPr>
                  <w:tcW w:w="515" w:type="pct"/>
                  <w:tcBorders>
                    <w:tl2br w:val="nil"/>
                    <w:tr2bl w:val="nil"/>
                  </w:tcBorders>
                  <w:noWrap w:val="0"/>
                  <w:vAlign w:val="center"/>
                </w:tcPr>
                <w:p w14:paraId="0BBE39F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符合</w:t>
                  </w:r>
                </w:p>
              </w:tc>
            </w:tr>
            <w:tr w14:paraId="6D480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1" w:type="pct"/>
                  <w:tcBorders>
                    <w:tl2br w:val="nil"/>
                    <w:tr2bl w:val="nil"/>
                  </w:tcBorders>
                  <w:noWrap w:val="0"/>
                  <w:vAlign w:val="center"/>
                </w:tcPr>
                <w:p w14:paraId="2481110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7</w:t>
                  </w:r>
                </w:p>
              </w:tc>
              <w:tc>
                <w:tcPr>
                  <w:tcW w:w="2293" w:type="pct"/>
                  <w:tcBorders>
                    <w:tl2br w:val="nil"/>
                    <w:tr2bl w:val="nil"/>
                  </w:tcBorders>
                  <w:noWrap w:val="0"/>
                  <w:vAlign w:val="center"/>
                </w:tcPr>
                <w:p w14:paraId="44E23A7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禁止在</w:t>
                  </w:r>
                  <w:r>
                    <w:rPr>
                      <w:rFonts w:hint="eastAsia" w:ascii="宋体" w:hAnsi="宋体" w:eastAsia="宋体" w:cs="宋体"/>
                      <w:color w:val="auto"/>
                      <w:sz w:val="21"/>
                      <w:szCs w:val="21"/>
                      <w:highlight w:val="none"/>
                      <w:u w:val="none"/>
                    </w:rPr>
                    <w:t>“一江一口两湖七河”</w:t>
                  </w:r>
                  <w:r>
                    <w:rPr>
                      <w:rFonts w:hint="default" w:ascii="Times New Roman" w:hAnsi="Times New Roman" w:eastAsia="宋体" w:cs="Times New Roman"/>
                      <w:color w:val="auto"/>
                      <w:sz w:val="21"/>
                      <w:szCs w:val="21"/>
                      <w:highlight w:val="none"/>
                      <w:u w:val="none"/>
                    </w:rPr>
                    <w:t>和332个水生生物保护区开展生产性捕捞</w:t>
                  </w:r>
                </w:p>
              </w:tc>
              <w:tc>
                <w:tcPr>
                  <w:tcW w:w="1839" w:type="pct"/>
                  <w:tcBorders>
                    <w:tl2br w:val="nil"/>
                    <w:tr2bl w:val="nil"/>
                  </w:tcBorders>
                  <w:noWrap w:val="0"/>
                  <w:vAlign w:val="center"/>
                </w:tcPr>
                <w:p w14:paraId="37956E5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rPr>
                    <w:t>本项目</w:t>
                  </w:r>
                  <w:r>
                    <w:rPr>
                      <w:rFonts w:hint="eastAsia" w:ascii="Times New Roman" w:hAnsi="Times New Roman" w:eastAsia="宋体" w:cs="Times New Roman"/>
                      <w:color w:val="auto"/>
                      <w:sz w:val="21"/>
                      <w:szCs w:val="21"/>
                      <w:highlight w:val="none"/>
                      <w:u w:val="none"/>
                      <w:lang w:val="en-US" w:eastAsia="zh-CN"/>
                    </w:rPr>
                    <w:t>不涉及生产性捕捞</w:t>
                  </w:r>
                </w:p>
              </w:tc>
              <w:tc>
                <w:tcPr>
                  <w:tcW w:w="515" w:type="pct"/>
                  <w:tcBorders>
                    <w:tl2br w:val="nil"/>
                    <w:tr2bl w:val="nil"/>
                  </w:tcBorders>
                  <w:noWrap w:val="0"/>
                  <w:vAlign w:val="center"/>
                </w:tcPr>
                <w:p w14:paraId="52C5DD5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符合</w:t>
                  </w:r>
                </w:p>
              </w:tc>
            </w:tr>
            <w:tr w14:paraId="53027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1" w:type="pct"/>
                  <w:tcBorders>
                    <w:tl2br w:val="nil"/>
                    <w:tr2bl w:val="nil"/>
                  </w:tcBorders>
                  <w:noWrap w:val="0"/>
                  <w:vAlign w:val="center"/>
                </w:tcPr>
                <w:p w14:paraId="03CAFBF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8</w:t>
                  </w:r>
                </w:p>
              </w:tc>
              <w:tc>
                <w:tcPr>
                  <w:tcW w:w="2293" w:type="pct"/>
                  <w:tcBorders>
                    <w:tl2br w:val="nil"/>
                    <w:tr2bl w:val="nil"/>
                  </w:tcBorders>
                  <w:noWrap w:val="0"/>
                  <w:vAlign w:val="center"/>
                </w:tcPr>
                <w:p w14:paraId="1D8813A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1839" w:type="pct"/>
                  <w:vMerge w:val="restart"/>
                  <w:tcBorders>
                    <w:tl2br w:val="nil"/>
                    <w:tr2bl w:val="nil"/>
                  </w:tcBorders>
                  <w:noWrap w:val="0"/>
                  <w:vAlign w:val="center"/>
                </w:tcPr>
                <w:p w14:paraId="788F2D2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eastAsia"/>
                      <w:color w:val="auto"/>
                      <w:u w:val="none"/>
                    </w:rPr>
                    <w:t>本项目属于河湖整治及防洪除涝工程项目，为非污染生态影响类项目</w:t>
                  </w:r>
                </w:p>
              </w:tc>
              <w:tc>
                <w:tcPr>
                  <w:tcW w:w="515" w:type="pct"/>
                  <w:tcBorders>
                    <w:tl2br w:val="nil"/>
                    <w:tr2bl w:val="nil"/>
                  </w:tcBorders>
                  <w:noWrap w:val="0"/>
                  <w:vAlign w:val="center"/>
                </w:tcPr>
                <w:p w14:paraId="44C0D20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符合</w:t>
                  </w:r>
                </w:p>
              </w:tc>
            </w:tr>
            <w:tr w14:paraId="2F24C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1" w:type="pct"/>
                  <w:tcBorders>
                    <w:tl2br w:val="nil"/>
                    <w:tr2bl w:val="nil"/>
                  </w:tcBorders>
                  <w:noWrap w:val="0"/>
                  <w:vAlign w:val="center"/>
                </w:tcPr>
                <w:p w14:paraId="7686E3A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9</w:t>
                  </w:r>
                </w:p>
              </w:tc>
              <w:tc>
                <w:tcPr>
                  <w:tcW w:w="2293" w:type="pct"/>
                  <w:tcBorders>
                    <w:tl2br w:val="nil"/>
                    <w:tr2bl w:val="nil"/>
                  </w:tcBorders>
                  <w:noWrap w:val="0"/>
                  <w:vAlign w:val="center"/>
                </w:tcPr>
                <w:p w14:paraId="0BE5101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禁止在合规园区外新建、扩建钢铁、石化、化工、焦化、建材、有色、制浆造纸等高污染项目</w:t>
                  </w:r>
                </w:p>
              </w:tc>
              <w:tc>
                <w:tcPr>
                  <w:tcW w:w="1839" w:type="pct"/>
                  <w:vMerge w:val="continue"/>
                  <w:tcBorders>
                    <w:tl2br w:val="nil"/>
                    <w:tr2bl w:val="nil"/>
                  </w:tcBorders>
                  <w:noWrap w:val="0"/>
                  <w:vAlign w:val="center"/>
                </w:tcPr>
                <w:p w14:paraId="24373D3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p>
              </w:tc>
              <w:tc>
                <w:tcPr>
                  <w:tcW w:w="515" w:type="pct"/>
                  <w:tcBorders>
                    <w:tl2br w:val="nil"/>
                    <w:tr2bl w:val="nil"/>
                  </w:tcBorders>
                  <w:noWrap w:val="0"/>
                  <w:vAlign w:val="center"/>
                </w:tcPr>
                <w:p w14:paraId="263CC26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符合</w:t>
                  </w:r>
                </w:p>
              </w:tc>
            </w:tr>
            <w:tr w14:paraId="5ACEF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1" w:type="pct"/>
                  <w:tcBorders>
                    <w:tl2br w:val="nil"/>
                    <w:tr2bl w:val="nil"/>
                  </w:tcBorders>
                  <w:noWrap w:val="0"/>
                  <w:vAlign w:val="center"/>
                </w:tcPr>
                <w:p w14:paraId="045069C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10</w:t>
                  </w:r>
                </w:p>
              </w:tc>
              <w:tc>
                <w:tcPr>
                  <w:tcW w:w="2293" w:type="pct"/>
                  <w:tcBorders>
                    <w:tl2br w:val="nil"/>
                    <w:tr2bl w:val="nil"/>
                  </w:tcBorders>
                  <w:noWrap w:val="0"/>
                  <w:vAlign w:val="center"/>
                </w:tcPr>
                <w:p w14:paraId="1DC037E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禁止新建、扩建不符合国家石化、现代煤化工等产业布局规划的项目</w:t>
                  </w:r>
                </w:p>
              </w:tc>
              <w:tc>
                <w:tcPr>
                  <w:tcW w:w="1839" w:type="pct"/>
                  <w:vMerge w:val="continue"/>
                  <w:tcBorders>
                    <w:tl2br w:val="nil"/>
                    <w:tr2bl w:val="nil"/>
                  </w:tcBorders>
                  <w:noWrap w:val="0"/>
                  <w:vAlign w:val="center"/>
                </w:tcPr>
                <w:p w14:paraId="3C6E319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p>
              </w:tc>
              <w:tc>
                <w:tcPr>
                  <w:tcW w:w="515" w:type="pct"/>
                  <w:tcBorders>
                    <w:tl2br w:val="nil"/>
                    <w:tr2bl w:val="nil"/>
                  </w:tcBorders>
                  <w:noWrap w:val="0"/>
                  <w:vAlign w:val="center"/>
                </w:tcPr>
                <w:p w14:paraId="6AA23C1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符合</w:t>
                  </w:r>
                </w:p>
              </w:tc>
            </w:tr>
            <w:tr w14:paraId="4B89D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1" w:type="pct"/>
                  <w:tcBorders>
                    <w:tl2br w:val="nil"/>
                    <w:tr2bl w:val="nil"/>
                  </w:tcBorders>
                  <w:noWrap w:val="0"/>
                  <w:vAlign w:val="center"/>
                </w:tcPr>
                <w:p w14:paraId="043DD30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11</w:t>
                  </w:r>
                </w:p>
              </w:tc>
              <w:tc>
                <w:tcPr>
                  <w:tcW w:w="2293" w:type="pct"/>
                  <w:tcBorders>
                    <w:tl2br w:val="nil"/>
                    <w:tr2bl w:val="nil"/>
                  </w:tcBorders>
                  <w:noWrap w:val="0"/>
                  <w:vAlign w:val="center"/>
                </w:tcPr>
                <w:p w14:paraId="6B8E089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禁止新建、扩建法律法规和相关政策明令禁止的落后产能项目。禁止新建、扩建不符合国家产能置换要求的严重过剩产能行业的项目。禁止新建、扩建不符合要求的高耗能高排放项目</w:t>
                  </w:r>
                </w:p>
              </w:tc>
              <w:tc>
                <w:tcPr>
                  <w:tcW w:w="1839" w:type="pct"/>
                  <w:tcBorders>
                    <w:tl2br w:val="nil"/>
                    <w:tr2bl w:val="nil"/>
                  </w:tcBorders>
                  <w:noWrap w:val="0"/>
                  <w:vAlign w:val="center"/>
                </w:tcPr>
                <w:p w14:paraId="3DCCF88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本项目为鼓励类项目，不属于高耗能高排放项目</w:t>
                  </w:r>
                </w:p>
              </w:tc>
              <w:tc>
                <w:tcPr>
                  <w:tcW w:w="515" w:type="pct"/>
                  <w:tcBorders>
                    <w:tl2br w:val="nil"/>
                    <w:tr2bl w:val="nil"/>
                  </w:tcBorders>
                  <w:noWrap w:val="0"/>
                  <w:vAlign w:val="center"/>
                </w:tcPr>
                <w:p w14:paraId="0B978D6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符合</w:t>
                  </w:r>
                </w:p>
              </w:tc>
            </w:tr>
          </w:tbl>
          <w:p w14:paraId="7B59C78A">
            <w:pPr>
              <w:pStyle w:val="26"/>
              <w:keepNext w:val="0"/>
              <w:keepLines w:val="0"/>
              <w:suppressLineNumbers w:val="0"/>
              <w:spacing w:before="157" w:beforeLines="50" w:beforeAutospacing="0" w:after="0" w:afterAutospacing="0" w:line="360" w:lineRule="auto"/>
              <w:ind w:left="0" w:leftChars="0" w:right="0" w:firstLine="480" w:firstLineChars="200"/>
              <w:jc w:val="both"/>
              <w:rPr>
                <w:color w:val="FF0000"/>
                <w:u w:val="none"/>
              </w:rPr>
            </w:pPr>
            <w:r>
              <w:rPr>
                <w:rFonts w:hint="default" w:ascii="Times New Roman" w:hAnsi="Times New Roman" w:eastAsia="宋体" w:cs="Times New Roman"/>
                <w:b w:val="0"/>
                <w:bCs w:val="0"/>
                <w:color w:val="auto"/>
                <w:kern w:val="2"/>
                <w:sz w:val="24"/>
                <w:szCs w:val="24"/>
                <w:u w:val="none"/>
                <w:lang w:val="en-US" w:eastAsia="zh-CN"/>
              </w:rPr>
              <w:t>综上，本项目不属于湖南省长江经济带发展负面清单中禁止建设项目，本项目建设可行。</w:t>
            </w:r>
          </w:p>
        </w:tc>
      </w:tr>
    </w:tbl>
    <w:p w14:paraId="362C14F1">
      <w:pPr>
        <w:spacing w:line="360" w:lineRule="auto"/>
        <w:rPr>
          <w:rFonts w:eastAsia="黑体"/>
          <w:color w:val="FF0000"/>
          <w:sz w:val="30"/>
          <w:u w:val="none"/>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14:paraId="44D3E617">
      <w:pPr>
        <w:pStyle w:val="23"/>
        <w:jc w:val="center"/>
        <w:outlineLvl w:val="0"/>
        <w:rPr>
          <w:rFonts w:ascii="黑体" w:hAnsi="黑体" w:eastAsia="黑体"/>
          <w:snapToGrid w:val="0"/>
          <w:color w:val="auto"/>
          <w:sz w:val="30"/>
          <w:szCs w:val="30"/>
          <w:u w:val="none"/>
        </w:rPr>
      </w:pPr>
      <w:bookmarkStart w:id="3" w:name="_Toc85201450"/>
      <w:r>
        <w:rPr>
          <w:rFonts w:hint="eastAsia" w:ascii="黑体" w:hAnsi="黑体" w:eastAsia="黑体"/>
          <w:snapToGrid w:val="0"/>
          <w:color w:val="auto"/>
          <w:sz w:val="30"/>
          <w:szCs w:val="30"/>
          <w:u w:val="none"/>
        </w:rPr>
        <w:t>二、建设内容</w:t>
      </w:r>
      <w:bookmarkEnd w:id="3"/>
    </w:p>
    <w:tbl>
      <w:tblPr>
        <w:tblStyle w:val="27"/>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52"/>
        <w:gridCol w:w="8076"/>
      </w:tblGrid>
      <w:tr w14:paraId="0050C0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65" w:type="pct"/>
            <w:vAlign w:val="center"/>
          </w:tcPr>
          <w:p w14:paraId="26662B5B">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auto"/>
                <w:kern w:val="0"/>
                <w:sz w:val="24"/>
                <w:u w:val="none"/>
              </w:rPr>
            </w:pPr>
            <w:r>
              <w:rPr>
                <w:rFonts w:hint="eastAsia" w:ascii="宋体" w:hAnsi="宋体" w:cs="宋体"/>
                <w:b/>
                <w:bCs/>
                <w:color w:val="auto"/>
                <w:kern w:val="0"/>
                <w:sz w:val="24"/>
                <w:u w:val="none"/>
              </w:rPr>
              <w:t>地理</w:t>
            </w:r>
          </w:p>
          <w:p w14:paraId="3937E7D3">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auto"/>
                <w:kern w:val="0"/>
                <w:sz w:val="24"/>
                <w:u w:val="none"/>
              </w:rPr>
            </w:pPr>
            <w:r>
              <w:rPr>
                <w:rFonts w:hint="eastAsia" w:ascii="宋体" w:hAnsi="宋体" w:cs="宋体"/>
                <w:b/>
                <w:bCs/>
                <w:color w:val="auto"/>
                <w:kern w:val="0"/>
                <w:sz w:val="24"/>
                <w:u w:val="none"/>
              </w:rPr>
              <w:t>位置</w:t>
            </w:r>
          </w:p>
        </w:tc>
        <w:tc>
          <w:tcPr>
            <w:tcW w:w="4734" w:type="pct"/>
            <w:vAlign w:val="center"/>
          </w:tcPr>
          <w:p w14:paraId="653C7544">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color w:val="auto"/>
                <w:sz w:val="24"/>
                <w:u w:val="none"/>
              </w:rPr>
            </w:pPr>
            <w:r>
              <w:rPr>
                <w:rFonts w:hint="eastAsia"/>
                <w:color w:val="auto"/>
                <w:spacing w:val="-2"/>
                <w:sz w:val="24"/>
                <w:u w:val="none"/>
              </w:rPr>
              <w:t>本项目位于湖南省</w:t>
            </w:r>
            <w:r>
              <w:rPr>
                <w:rFonts w:hint="eastAsia"/>
                <w:color w:val="auto"/>
                <w:spacing w:val="-2"/>
                <w:sz w:val="24"/>
                <w:u w:val="none"/>
                <w:lang w:val="en-US" w:eastAsia="zh-CN"/>
              </w:rPr>
              <w:t>岳阳市临湘市城区范围内</w:t>
            </w:r>
            <w:r>
              <w:rPr>
                <w:rFonts w:hint="eastAsia"/>
                <w:color w:val="auto"/>
                <w:spacing w:val="-2"/>
                <w:sz w:val="24"/>
                <w:u w:val="none"/>
              </w:rPr>
              <w:t>，具体地理位置</w:t>
            </w:r>
            <w:r>
              <w:rPr>
                <w:rFonts w:hint="eastAsia"/>
                <w:color w:val="auto"/>
                <w:spacing w:val="-2"/>
                <w:sz w:val="24"/>
                <w:u w:val="none"/>
                <w:lang w:val="en-US" w:eastAsia="zh-CN"/>
              </w:rPr>
              <w:t>详</w:t>
            </w:r>
            <w:r>
              <w:rPr>
                <w:rFonts w:hint="eastAsia"/>
                <w:color w:val="auto"/>
                <w:spacing w:val="-2"/>
                <w:sz w:val="24"/>
                <w:u w:val="none"/>
              </w:rPr>
              <w:t>见附图1。</w:t>
            </w:r>
          </w:p>
        </w:tc>
      </w:tr>
      <w:tr w14:paraId="2C7D16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65" w:type="pct"/>
            <w:vAlign w:val="center"/>
          </w:tcPr>
          <w:p w14:paraId="3A130DC8">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FF0000"/>
                <w:kern w:val="0"/>
                <w:sz w:val="24"/>
                <w:u w:val="none"/>
              </w:rPr>
            </w:pPr>
            <w:r>
              <w:rPr>
                <w:rFonts w:hint="eastAsia" w:ascii="宋体" w:hAnsi="宋体" w:cs="宋体"/>
                <w:b/>
                <w:bCs/>
                <w:color w:val="auto"/>
                <w:kern w:val="0"/>
                <w:sz w:val="24"/>
                <w:u w:val="none"/>
              </w:rPr>
              <w:t>项目组成及规模</w:t>
            </w:r>
          </w:p>
        </w:tc>
        <w:tc>
          <w:tcPr>
            <w:tcW w:w="4734" w:type="pct"/>
            <w:vAlign w:val="center"/>
          </w:tcPr>
          <w:p w14:paraId="2DF080D6">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eastAsia" w:eastAsia="宋体"/>
                <w:b/>
                <w:bCs/>
                <w:color w:val="auto"/>
                <w:kern w:val="0"/>
                <w:sz w:val="24"/>
                <w:u w:val="none"/>
                <w:lang w:eastAsia="zh-CN"/>
              </w:rPr>
            </w:pPr>
            <w:r>
              <w:rPr>
                <w:rFonts w:hint="eastAsia"/>
                <w:b/>
                <w:bCs/>
                <w:color w:val="auto"/>
                <w:kern w:val="0"/>
                <w:sz w:val="24"/>
                <w:u w:val="none"/>
              </w:rPr>
              <w:t>1、</w:t>
            </w:r>
            <w:r>
              <w:rPr>
                <w:rFonts w:hint="eastAsia"/>
                <w:b/>
                <w:bCs/>
                <w:color w:val="auto"/>
                <w:kern w:val="0"/>
                <w:sz w:val="24"/>
                <w:u w:val="none"/>
                <w:lang w:eastAsia="zh-CN"/>
              </w:rPr>
              <w:t>项目由来</w:t>
            </w:r>
          </w:p>
          <w:p w14:paraId="1FCBFBAB">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lang w:val="en-US" w:eastAsia="zh-CN"/>
              </w:rPr>
            </w:pPr>
            <w:r>
              <w:rPr>
                <w:rFonts w:hint="eastAsia"/>
                <w:color w:val="auto"/>
                <w:spacing w:val="-2"/>
                <w:sz w:val="24"/>
                <w:u w:val="single"/>
                <w:lang w:val="en-US" w:eastAsia="zh-CN"/>
              </w:rPr>
              <w:t>“十四五”规划和2035年远景目标纲要在构建新发展格局一一培育国内投资需求中提出，要优化投资结构，提高投资效率，保持投资合理增长，推进既促消费惠民生又调结构增后劲的新型基础设施、新型城镇化、交通水利等重大工程建设。在第十一章建设现代化基础设施体系一一第四节 加强水利基础设施建设中提出，要立足流域整体和水资源空间均衡配置，加强跨行政区河流水系治理保护和骨干工程建设，强化大中小微水利设施协调配套，提升水资源优化配置和水旱灾害防御能力。实施防洪提升工程，解决防汛薄弱环节，加快防洪控制性枢纽工程建设和中小河流治理、病险水库除险加固，全面推进堤防和蓄滞洪区建设。加强水源涵养区保护修复,加大重点河湖保护和综合治理力度，恢复水清岸绿的水生态体系。</w:t>
            </w:r>
          </w:p>
          <w:p w14:paraId="24F71E5C">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lang w:val="en-US" w:eastAsia="zh-CN"/>
              </w:rPr>
            </w:pPr>
            <w:r>
              <w:rPr>
                <w:rFonts w:hint="eastAsia"/>
                <w:color w:val="auto"/>
                <w:spacing w:val="-2"/>
                <w:sz w:val="24"/>
                <w:u w:val="single"/>
                <w:lang w:val="en-US" w:eastAsia="zh-CN"/>
              </w:rPr>
              <w:t>近几年来，随着临湘市城市经济建设的快速发展城市建设用地不断扩大，城市的排水设施等基础设施没有得到相应的系统化、规模化的建设，经多年运行，各沟渠、河道已淤积，其泄洪能力已大大降低，大部分河道两岸的堤防已严重坍塌、堤顶变窄、堤坡峭陡。同时，人类活动和自然环境的变化，渠道中阻塞物增加，加之流域内水土流失未得到有效的控制，泥沙致河渠床抬高，渠道淤塞，泄洪及排水功能下降。近年来暴雨时有发生，雨势增大，而地面汇流条件改变，使洪涝灾害日渐加重，每到汛期遇到大暴雨，渠道内水流不畅，很容易导致漫堤，导致垮堤险情频发，且内涝发生时，污水、雨水排泄受阻，污水、渍水严重，部分街道附近及居住地理位置较低的居民的生命财产安全直接受到严重威胁，过往车辆也受到不同程度的影响。因此，加快城区防洪排涝排水渠道项目建设步伐，是一项十分紧迫的任务。</w:t>
            </w:r>
          </w:p>
          <w:p w14:paraId="45E3088F">
            <w:pPr>
              <w:keepNext w:val="0"/>
              <w:keepLines w:val="0"/>
              <w:suppressLineNumbers w:val="0"/>
              <w:spacing w:before="0" w:beforeAutospacing="0" w:after="0" w:afterAutospacing="0" w:line="360" w:lineRule="auto"/>
              <w:ind w:left="0" w:right="0" w:firstLine="480" w:firstLineChars="200"/>
              <w:rPr>
                <w:rFonts w:hint="eastAsia"/>
                <w:b w:val="0"/>
                <w:bCs w:val="0"/>
                <w:color w:val="auto"/>
                <w:kern w:val="0"/>
                <w:sz w:val="24"/>
                <w:highlight w:val="none"/>
                <w:u w:val="single"/>
                <w:lang w:val="en-US" w:eastAsia="zh-CN"/>
              </w:rPr>
            </w:pPr>
            <w:r>
              <w:rPr>
                <w:rFonts w:hint="eastAsia"/>
                <w:b w:val="0"/>
                <w:bCs w:val="0"/>
                <w:color w:val="auto"/>
                <w:kern w:val="0"/>
                <w:sz w:val="24"/>
                <w:highlight w:val="none"/>
                <w:u w:val="single"/>
                <w:lang w:val="en-US" w:eastAsia="zh-CN"/>
              </w:rPr>
              <w:t>根据《关于&lt;临湘市城区雨水调蓄及行泄通道工程项目可行性研究报告&gt;的批复》，本项目的建设是为了保证临湘市城区雨水调蓄设施最大化地行使雨洪控制功能及各行泄通道行泄能力，根据现状条件对雨水调蓄设施及行泄通道进行整治改造，临湘市发展和改革局同意实施临湘市城区雨水调蓄及行泄通道工程项目。</w:t>
            </w:r>
          </w:p>
          <w:p w14:paraId="7E880896">
            <w:pPr>
              <w:keepNext w:val="0"/>
              <w:keepLines w:val="0"/>
              <w:suppressLineNumbers w:val="0"/>
              <w:spacing w:before="0" w:beforeAutospacing="0" w:after="0" w:afterAutospacing="0" w:line="360" w:lineRule="auto"/>
              <w:ind w:left="0" w:right="0" w:firstLine="480" w:firstLineChars="200"/>
              <w:rPr>
                <w:rFonts w:hint="eastAsia"/>
                <w:color w:val="auto"/>
                <w:sz w:val="24"/>
                <w:u w:val="single"/>
                <w:lang w:val="en-US" w:eastAsia="zh-CN"/>
              </w:rPr>
            </w:pPr>
            <w:r>
              <w:rPr>
                <w:rFonts w:hint="eastAsia"/>
                <w:color w:val="auto"/>
                <w:sz w:val="24"/>
                <w:u w:val="single"/>
                <w:lang w:val="en-US" w:eastAsia="zh-CN"/>
              </w:rPr>
              <w:t>项目已取得《关于临湘市城区雨水调蓄及行泄通道工程项目可行性研究报告的批复》（临发改审2023〕352号），可研具体内容包括雨水调蓄设施工程及雨水行泄通道工程等内容，在2024年临湘市第二次国土空间规划委员会（全会）会议纪要中要求摸排城区内涝点，结合老旧小区改造，且项目已取得自然资源局出具的建设工程规划审批单（附件7）。</w:t>
            </w:r>
          </w:p>
          <w:p w14:paraId="3F70F10C">
            <w:pPr>
              <w:keepNext w:val="0"/>
              <w:keepLines w:val="0"/>
              <w:suppressLineNumbers w:val="0"/>
              <w:spacing w:before="0" w:beforeAutospacing="0" w:after="0" w:afterAutospacing="0" w:line="360" w:lineRule="auto"/>
              <w:ind w:left="0" w:right="0" w:firstLine="480" w:firstLineChars="200"/>
              <w:rPr>
                <w:rFonts w:hint="default"/>
                <w:color w:val="auto"/>
                <w:sz w:val="24"/>
                <w:u w:val="single"/>
                <w:lang w:val="en-US" w:eastAsia="zh-CN"/>
              </w:rPr>
            </w:pPr>
            <w:r>
              <w:rPr>
                <w:rFonts w:hint="eastAsia"/>
                <w:color w:val="auto"/>
                <w:sz w:val="24"/>
                <w:u w:val="single"/>
                <w:lang w:val="en-US" w:eastAsia="zh-CN"/>
              </w:rPr>
              <w:t>因可研涉及内容较多，且工程也需要分期进行，综合考虑后将对可研内容分两期进行环评，本期环评内容主要对城区雨水行泄通道及城区内涝点进行整治改造，属于河湖整治及防洪除涝工程项目。二期环评主要针对雨水调蓄设施工程进行改造整治。</w:t>
            </w:r>
          </w:p>
          <w:p w14:paraId="722095C9">
            <w:pPr>
              <w:keepNext w:val="0"/>
              <w:keepLines w:val="0"/>
              <w:suppressLineNumbers w:val="0"/>
              <w:spacing w:before="0" w:beforeAutospacing="0" w:after="0" w:afterAutospacing="0" w:line="360" w:lineRule="auto"/>
              <w:ind w:left="0" w:right="0" w:firstLine="480" w:firstLineChars="200"/>
              <w:rPr>
                <w:rFonts w:hint="eastAsia"/>
                <w:color w:val="auto"/>
                <w:spacing w:val="-2"/>
                <w:sz w:val="24"/>
                <w:u w:val="single"/>
                <w:lang w:val="en-US" w:eastAsia="zh-CN"/>
              </w:rPr>
            </w:pPr>
            <w:r>
              <w:rPr>
                <w:rFonts w:hint="eastAsia"/>
                <w:color w:val="auto"/>
                <w:sz w:val="24"/>
                <w:u w:val="single"/>
                <w:lang w:val="en-US" w:eastAsia="zh-CN"/>
              </w:rPr>
              <w:t>根据临湘市中心城区排水（雨水）防涝综合规划（2014-2030年）同时结合城区实际情况为基础，本期工程采取在内涝点铺设雨水沟或雨水管道解决内涝点的雨水排水问题及部分内涝点雨污合流排水混乱产生的黑臭水体，对城区内主要的雨水行泄通道进行清淤以及对边坡进行修整稳固以此来拓宽过水通道改善城区雨水系统堵塞等问题。</w:t>
            </w:r>
            <w:r>
              <w:rPr>
                <w:rFonts w:hint="eastAsia"/>
                <w:color w:val="auto"/>
                <w:spacing w:val="-2"/>
                <w:sz w:val="24"/>
                <w:u w:val="single"/>
                <w:lang w:val="en-US" w:eastAsia="zh-CN"/>
              </w:rPr>
              <w:t>本工程的实施将完善临湘市城市排水系统，提高排水能力，改善区域环境、促进区域的经济发展等重要作用。</w:t>
            </w:r>
          </w:p>
          <w:p w14:paraId="56E318C4">
            <w:pPr>
              <w:keepNext w:val="0"/>
              <w:keepLines w:val="0"/>
              <w:suppressLineNumbers w:val="0"/>
              <w:spacing w:before="0" w:beforeAutospacing="0" w:after="0" w:afterAutospacing="0" w:line="360" w:lineRule="auto"/>
              <w:ind w:left="0" w:right="0" w:firstLine="480" w:firstLineChars="200"/>
              <w:rPr>
                <w:rFonts w:hint="default"/>
                <w:b/>
                <w:bCs/>
                <w:color w:val="auto"/>
                <w:kern w:val="0"/>
                <w:sz w:val="24"/>
                <w:u w:val="single"/>
              </w:rPr>
            </w:pPr>
            <w:r>
              <w:rPr>
                <w:rFonts w:hint="eastAsia"/>
                <w:color w:val="auto"/>
                <w:sz w:val="24"/>
                <w:u w:val="single"/>
                <w:lang w:val="en-US" w:eastAsia="zh-CN"/>
              </w:rPr>
              <w:t>项目建设地点均位于临湘市城区，属于非污染生态影响类项目，项目建成后不会对生态环境造成的影响。</w:t>
            </w:r>
            <w:r>
              <w:rPr>
                <w:rFonts w:hint="eastAsia"/>
                <w:color w:val="auto"/>
                <w:spacing w:val="-2"/>
                <w:sz w:val="24"/>
                <w:u w:val="single"/>
              </w:rPr>
              <w:t>根据《中华人民共和国环境影响评价法》、《建设项目环境保护管理条例》</w:t>
            </w:r>
            <w:r>
              <w:rPr>
                <w:rFonts w:hint="eastAsia"/>
                <w:color w:val="auto"/>
                <w:spacing w:val="-2"/>
                <w:sz w:val="24"/>
                <w:u w:val="single"/>
                <w:lang w:val="en-US" w:eastAsia="zh-CN"/>
              </w:rPr>
              <w:t>有关规定，本项目不涉及环境敏感区，则本项目属于</w:t>
            </w:r>
            <w:r>
              <w:rPr>
                <w:rFonts w:hint="eastAsia"/>
                <w:color w:val="auto"/>
                <w:spacing w:val="-2"/>
                <w:sz w:val="24"/>
                <w:u w:val="single"/>
              </w:rPr>
              <w:t>《建设项目环境影响评价分类管理名录》</w:t>
            </w:r>
            <w:r>
              <w:rPr>
                <w:rFonts w:hint="eastAsia"/>
                <w:color w:val="auto"/>
                <w:spacing w:val="-2"/>
                <w:sz w:val="24"/>
                <w:u w:val="single"/>
                <w:lang w:eastAsia="zh-CN"/>
              </w:rPr>
              <w:t>（</w:t>
            </w:r>
            <w:r>
              <w:rPr>
                <w:rFonts w:hint="eastAsia"/>
                <w:color w:val="auto"/>
                <w:spacing w:val="-2"/>
                <w:sz w:val="24"/>
                <w:u w:val="single"/>
              </w:rPr>
              <w:t>2021年版</w:t>
            </w:r>
            <w:r>
              <w:rPr>
                <w:rFonts w:hint="eastAsia"/>
                <w:color w:val="auto"/>
                <w:spacing w:val="-2"/>
                <w:sz w:val="24"/>
                <w:u w:val="single"/>
                <w:lang w:eastAsia="zh-CN"/>
              </w:rPr>
              <w:t>）“</w:t>
            </w:r>
            <w:r>
              <w:rPr>
                <w:rFonts w:hint="eastAsia"/>
                <w:color w:val="auto"/>
                <w:spacing w:val="-2"/>
                <w:sz w:val="24"/>
                <w:u w:val="single"/>
              </w:rPr>
              <w:t>五十一、水利</w:t>
            </w:r>
            <w:r>
              <w:rPr>
                <w:rFonts w:hint="eastAsia"/>
                <w:color w:val="auto"/>
                <w:spacing w:val="-2"/>
                <w:sz w:val="24"/>
                <w:u w:val="single"/>
                <w:lang w:eastAsia="zh-CN"/>
              </w:rPr>
              <w:t>”</w:t>
            </w:r>
            <w:r>
              <w:rPr>
                <w:rFonts w:hint="eastAsia"/>
                <w:color w:val="auto"/>
                <w:spacing w:val="-2"/>
                <w:sz w:val="24"/>
                <w:u w:val="single"/>
                <w:lang w:val="en-US" w:eastAsia="zh-CN"/>
              </w:rPr>
              <w:t>中“</w:t>
            </w:r>
            <w:r>
              <w:rPr>
                <w:rFonts w:hint="eastAsia"/>
                <w:color w:val="auto"/>
                <w:spacing w:val="-2"/>
                <w:sz w:val="24"/>
                <w:u w:val="single"/>
              </w:rPr>
              <w:t>127防洪除涝工程</w:t>
            </w:r>
            <w:r>
              <w:rPr>
                <w:rFonts w:hint="eastAsia"/>
                <w:color w:val="auto"/>
                <w:spacing w:val="-2"/>
                <w:sz w:val="24"/>
                <w:u w:val="single"/>
                <w:lang w:val="en-US" w:eastAsia="zh-CN"/>
              </w:rPr>
              <w:t>”“</w:t>
            </w:r>
            <w:r>
              <w:rPr>
                <w:rFonts w:hint="eastAsia"/>
                <w:color w:val="auto"/>
                <w:spacing w:val="-2"/>
                <w:sz w:val="24"/>
                <w:u w:val="single"/>
              </w:rPr>
              <w:t>128河湖整治（不含农村塘堰、水渠）</w:t>
            </w:r>
            <w:r>
              <w:rPr>
                <w:rFonts w:hint="eastAsia"/>
                <w:color w:val="auto"/>
                <w:spacing w:val="-2"/>
                <w:sz w:val="24"/>
                <w:u w:val="single"/>
                <w:lang w:val="en-US" w:eastAsia="zh-CN"/>
              </w:rPr>
              <w:t>”中的“其他”项目。需要编制</w:t>
            </w:r>
            <w:r>
              <w:rPr>
                <w:rFonts w:hint="eastAsia"/>
                <w:color w:val="auto"/>
                <w:spacing w:val="-2"/>
                <w:sz w:val="24"/>
                <w:u w:val="single"/>
              </w:rPr>
              <w:t>环境影响报告表。</w:t>
            </w:r>
            <w:r>
              <w:rPr>
                <w:rFonts w:hint="eastAsia"/>
                <w:color w:val="auto"/>
                <w:spacing w:val="-2"/>
                <w:sz w:val="24"/>
                <w:u w:val="single"/>
                <w:lang w:val="en-US" w:eastAsia="zh-CN"/>
              </w:rPr>
              <w:t>因此，</w:t>
            </w:r>
            <w:r>
              <w:rPr>
                <w:rFonts w:hint="eastAsia"/>
                <w:color w:val="auto"/>
                <w:spacing w:val="-2"/>
                <w:sz w:val="24"/>
                <w:u w:val="single"/>
                <w:lang w:eastAsia="zh-CN"/>
              </w:rPr>
              <w:t>临湘市住房和城乡建设局</w:t>
            </w:r>
            <w:r>
              <w:rPr>
                <w:rFonts w:hint="eastAsia"/>
                <w:color w:val="auto"/>
                <w:spacing w:val="-2"/>
                <w:sz w:val="24"/>
                <w:u w:val="single"/>
              </w:rPr>
              <w:t>委托</w:t>
            </w:r>
            <w:r>
              <w:rPr>
                <w:rFonts w:hint="eastAsia"/>
                <w:color w:val="auto"/>
                <w:spacing w:val="-2"/>
                <w:sz w:val="24"/>
                <w:u w:val="single"/>
                <w:lang w:val="en-US" w:eastAsia="zh-CN"/>
              </w:rPr>
              <w:t>我公司——</w:t>
            </w:r>
            <w:r>
              <w:rPr>
                <w:rFonts w:hint="eastAsia"/>
                <w:color w:val="auto"/>
                <w:spacing w:val="-2"/>
                <w:sz w:val="24"/>
                <w:u w:val="single"/>
                <w:lang w:eastAsia="zh-CN"/>
              </w:rPr>
              <w:t>湖南铭越环境科技有限公司</w:t>
            </w:r>
            <w:r>
              <w:rPr>
                <w:rFonts w:hint="eastAsia"/>
                <w:color w:val="auto"/>
                <w:spacing w:val="-2"/>
                <w:sz w:val="24"/>
                <w:u w:val="single"/>
              </w:rPr>
              <w:t>编制</w:t>
            </w:r>
            <w:r>
              <w:rPr>
                <w:rFonts w:hint="eastAsia"/>
                <w:color w:val="auto"/>
                <w:spacing w:val="-2"/>
                <w:sz w:val="24"/>
                <w:u w:val="single"/>
                <w:lang w:eastAsia="zh-CN"/>
              </w:rPr>
              <w:t>《临湘市城区雨水调蓄及行泄通道工程项目（雨水行泄通道及城区内涝点改造）</w:t>
            </w:r>
            <w:r>
              <w:rPr>
                <w:rFonts w:hint="eastAsia"/>
                <w:color w:val="auto"/>
                <w:spacing w:val="-2"/>
                <w:sz w:val="24"/>
                <w:u w:val="single"/>
                <w:lang w:val="en-US" w:eastAsia="zh-CN"/>
              </w:rPr>
              <w:t>环境影响评价报告表</w:t>
            </w:r>
            <w:r>
              <w:rPr>
                <w:rFonts w:hint="eastAsia"/>
                <w:color w:val="auto"/>
                <w:spacing w:val="-2"/>
                <w:sz w:val="24"/>
                <w:u w:val="single"/>
                <w:lang w:eastAsia="zh-CN"/>
              </w:rPr>
              <w:t>》，</w:t>
            </w:r>
            <w:r>
              <w:rPr>
                <w:rFonts w:hint="eastAsia"/>
                <w:color w:val="auto"/>
                <w:spacing w:val="-2"/>
                <w:sz w:val="24"/>
                <w:u w:val="single"/>
              </w:rPr>
              <w:t>通过在现场勘察、监测和资料收集等的基础上，根据环评技术导则及其他有关文件，编制了该项目的环境影响报告表报请环保主管部门审查、审批，为项目实施和管理提供参考依据。</w:t>
            </w:r>
          </w:p>
          <w:p w14:paraId="30CA8911">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420" w:leftChars="200" w:right="0" w:rightChars="0"/>
              <w:rPr>
                <w:rFonts w:hint="default"/>
                <w:b/>
                <w:bCs/>
                <w:color w:val="auto"/>
                <w:kern w:val="0"/>
                <w:sz w:val="24"/>
                <w:u w:val="none"/>
                <w:lang w:val="en-US" w:eastAsia="zh-CN"/>
              </w:rPr>
            </w:pPr>
            <w:r>
              <w:rPr>
                <w:rFonts w:hint="eastAsia"/>
                <w:b/>
                <w:bCs/>
                <w:color w:val="auto"/>
                <w:kern w:val="0"/>
                <w:sz w:val="24"/>
                <w:u w:val="none"/>
                <w:lang w:val="en-US" w:eastAsia="zh-CN"/>
              </w:rPr>
              <w:t>2、工程概况</w:t>
            </w:r>
          </w:p>
          <w:p w14:paraId="0A5CE7CC">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420" w:leftChars="200" w:right="0" w:rightChars="0"/>
              <w:rPr>
                <w:rFonts w:hint="default"/>
                <w:b/>
                <w:bCs/>
                <w:color w:val="auto"/>
                <w:kern w:val="0"/>
                <w:sz w:val="24"/>
                <w:u w:val="none"/>
                <w:lang w:val="en-US" w:eastAsia="zh-CN"/>
              </w:rPr>
            </w:pPr>
            <w:r>
              <w:rPr>
                <w:rFonts w:hint="eastAsia"/>
                <w:b/>
                <w:bCs/>
                <w:color w:val="auto"/>
                <w:kern w:val="0"/>
                <w:sz w:val="24"/>
                <w:u w:val="none"/>
                <w:lang w:val="en-US" w:eastAsia="zh-CN"/>
              </w:rPr>
              <w:t>2.1 项目基本情况</w:t>
            </w:r>
          </w:p>
          <w:p w14:paraId="73D6E77C">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u w:val="none"/>
                <w:lang w:val="en-US" w:eastAsia="zh-CN"/>
              </w:rPr>
            </w:pPr>
            <w:r>
              <w:rPr>
                <w:rFonts w:hint="eastAsia"/>
                <w:b w:val="0"/>
                <w:bCs w:val="0"/>
                <w:color w:val="auto"/>
                <w:kern w:val="0"/>
                <w:sz w:val="24"/>
                <w:u w:val="none"/>
                <w:lang w:val="en-US" w:eastAsia="zh-CN"/>
              </w:rPr>
              <w:t>项目名称：临湘市城区雨水调蓄及行泄通道工程项目（雨水行泄通道及城区内涝点改造）</w:t>
            </w:r>
          </w:p>
          <w:p w14:paraId="7B9F78E3">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u w:val="none"/>
                <w:lang w:val="en-US" w:eastAsia="zh-CN"/>
              </w:rPr>
            </w:pPr>
            <w:r>
              <w:rPr>
                <w:rFonts w:hint="eastAsia"/>
                <w:b w:val="0"/>
                <w:bCs w:val="0"/>
                <w:color w:val="auto"/>
                <w:kern w:val="0"/>
                <w:sz w:val="24"/>
                <w:u w:val="none"/>
                <w:lang w:val="en-US" w:eastAsia="zh-CN"/>
              </w:rPr>
              <w:t>建设单位：临湘市住房和城乡建设局</w:t>
            </w:r>
          </w:p>
          <w:p w14:paraId="7A91C538">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default"/>
                <w:b w:val="0"/>
                <w:bCs w:val="0"/>
                <w:color w:val="auto"/>
                <w:kern w:val="0"/>
                <w:sz w:val="24"/>
                <w:u w:val="none"/>
                <w:lang w:val="en-US" w:eastAsia="zh-CN"/>
              </w:rPr>
            </w:pPr>
            <w:r>
              <w:rPr>
                <w:rFonts w:hint="eastAsia"/>
                <w:b w:val="0"/>
                <w:bCs w:val="0"/>
                <w:color w:val="auto"/>
                <w:kern w:val="0"/>
                <w:sz w:val="24"/>
                <w:u w:val="none"/>
                <w:lang w:val="en-US" w:eastAsia="zh-CN"/>
              </w:rPr>
              <w:t>建设地点：临湘市城区范围内</w:t>
            </w:r>
          </w:p>
          <w:p w14:paraId="305E70A6">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highlight w:val="none"/>
                <w:u w:val="single"/>
                <w:lang w:val="en-US" w:eastAsia="zh-CN"/>
              </w:rPr>
            </w:pPr>
            <w:r>
              <w:rPr>
                <w:rFonts w:hint="eastAsia"/>
                <w:b w:val="0"/>
                <w:bCs w:val="0"/>
                <w:color w:val="auto"/>
                <w:kern w:val="0"/>
                <w:sz w:val="24"/>
                <w:highlight w:val="none"/>
                <w:u w:val="single"/>
                <w:lang w:val="en-US" w:eastAsia="zh-CN"/>
              </w:rPr>
              <w:t>用地面积：永久占地2510㎡，临时占地116300㎡</w:t>
            </w:r>
          </w:p>
          <w:p w14:paraId="4D6347F4">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default"/>
                <w:b w:val="0"/>
                <w:bCs w:val="0"/>
                <w:color w:val="auto"/>
                <w:kern w:val="0"/>
                <w:sz w:val="24"/>
                <w:highlight w:val="none"/>
                <w:u w:val="single"/>
                <w:lang w:val="en-US" w:eastAsia="zh-CN"/>
              </w:rPr>
            </w:pPr>
            <w:r>
              <w:rPr>
                <w:rFonts w:hint="eastAsia"/>
                <w:b w:val="0"/>
                <w:bCs w:val="0"/>
                <w:color w:val="auto"/>
                <w:kern w:val="0"/>
                <w:sz w:val="24"/>
                <w:highlight w:val="none"/>
                <w:u w:val="single"/>
                <w:lang w:val="en-US" w:eastAsia="zh-CN"/>
              </w:rPr>
              <w:t>总投资：本期项目总投资估算为6641.1万元。</w:t>
            </w:r>
          </w:p>
          <w:p w14:paraId="5E6510C4">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highlight w:val="none"/>
                <w:u w:val="single"/>
                <w:lang w:val="en-US" w:eastAsia="zh-CN"/>
              </w:rPr>
            </w:pPr>
            <w:r>
              <w:rPr>
                <w:rFonts w:hint="eastAsia"/>
                <w:b w:val="0"/>
                <w:bCs w:val="0"/>
                <w:color w:val="auto"/>
                <w:kern w:val="0"/>
                <w:sz w:val="24"/>
                <w:highlight w:val="none"/>
                <w:u w:val="single"/>
                <w:lang w:val="en-US" w:eastAsia="zh-CN"/>
              </w:rPr>
              <w:t>建设工期：施工期共120天，总工期约3-4个月，避开雨季。</w:t>
            </w:r>
          </w:p>
          <w:p w14:paraId="376FFE9B">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highlight w:val="none"/>
                <w:u w:val="single"/>
                <w:lang w:val="en-US" w:eastAsia="zh-CN"/>
              </w:rPr>
            </w:pPr>
            <w:r>
              <w:rPr>
                <w:rFonts w:hint="eastAsia"/>
                <w:b w:val="0"/>
                <w:bCs w:val="0"/>
                <w:color w:val="auto"/>
                <w:kern w:val="0"/>
                <w:sz w:val="24"/>
                <w:highlight w:val="none"/>
                <w:u w:val="single"/>
                <w:lang w:val="en-US" w:eastAsia="zh-CN"/>
              </w:rPr>
              <w:t>第一阶段（1-30天）、第二阶段（31-60天）、第三阶段（61-90天）、第四阶段（91-120天）：淤泥脱水固化、外运处置，临时工程拆除及场地恢复。</w:t>
            </w:r>
          </w:p>
          <w:p w14:paraId="1AA6B5C6">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highlight w:val="none"/>
                <w:u w:val="single"/>
                <w:lang w:val="en-US" w:eastAsia="zh-CN"/>
              </w:rPr>
            </w:pPr>
            <w:r>
              <w:rPr>
                <w:rFonts w:hint="eastAsia"/>
                <w:b w:val="0"/>
                <w:bCs w:val="0"/>
                <w:color w:val="auto"/>
                <w:kern w:val="0"/>
                <w:sz w:val="24"/>
                <w:highlight w:val="none"/>
                <w:u w:val="single"/>
                <w:lang w:val="en-US" w:eastAsia="zh-CN"/>
              </w:rPr>
              <w:t>交叉施工：优先完成铁路沿线明渠的清淤（避免汛期影响铁路安全）。</w:t>
            </w:r>
          </w:p>
          <w:p w14:paraId="0CD08972">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default"/>
                <w:b w:val="0"/>
                <w:bCs w:val="0"/>
                <w:color w:val="auto"/>
                <w:kern w:val="0"/>
                <w:sz w:val="24"/>
                <w:highlight w:val="none"/>
                <w:u w:val="single"/>
                <w:lang w:val="en-US" w:eastAsia="zh-CN"/>
              </w:rPr>
            </w:pPr>
            <w:r>
              <w:rPr>
                <w:rFonts w:hint="eastAsia"/>
                <w:b w:val="0"/>
                <w:bCs w:val="0"/>
                <w:color w:val="auto"/>
                <w:kern w:val="0"/>
                <w:sz w:val="24"/>
                <w:highlight w:val="none"/>
                <w:u w:val="single"/>
                <w:lang w:val="en-US" w:eastAsia="zh-CN"/>
              </w:rPr>
              <w:t>每日作业时间：7:00-12:00、14:00-18:00（避开居民休息时段，降低噪声影响）。</w:t>
            </w:r>
          </w:p>
          <w:p w14:paraId="6E47A43B">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420" w:leftChars="200" w:right="0" w:rightChars="0"/>
              <w:rPr>
                <w:rFonts w:hint="default"/>
                <w:b/>
                <w:bCs/>
                <w:color w:val="auto"/>
                <w:kern w:val="0"/>
                <w:sz w:val="24"/>
                <w:u w:val="single"/>
                <w:lang w:val="en-US" w:eastAsia="zh-CN"/>
              </w:rPr>
            </w:pPr>
            <w:r>
              <w:rPr>
                <w:rFonts w:hint="eastAsia"/>
                <w:b/>
                <w:bCs/>
                <w:color w:val="auto"/>
                <w:kern w:val="0"/>
                <w:sz w:val="24"/>
                <w:u w:val="single"/>
                <w:lang w:val="en-US" w:eastAsia="zh-CN"/>
              </w:rPr>
              <w:t>2.2 工程规模及内容</w:t>
            </w:r>
          </w:p>
          <w:p w14:paraId="3CDCC5BC">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highlight w:val="none"/>
                <w:u w:val="single"/>
                <w:lang w:val="en-US" w:eastAsia="zh-CN"/>
              </w:rPr>
            </w:pPr>
            <w:r>
              <w:rPr>
                <w:rFonts w:hint="eastAsia"/>
                <w:color w:val="auto"/>
                <w:sz w:val="24"/>
                <w:u w:val="single"/>
                <w:lang w:val="en-US" w:eastAsia="zh-CN"/>
              </w:rPr>
              <w:t>项目已取得《关于临湘市城区雨水调蓄及行泄通道工程项目可行性研究报告的批复》（临发改审2023〕352号），可研具体内容包括雨水调蓄设施工程及雨水行泄通道工程等内容，在2024年临湘市第二次国土空间规划委员会（全会）会议纪要中要求摸排城区内涝点，结合老旧小区改造，且项目已取得自然资源局出具的建设工程规划审批单（附件7）</w:t>
            </w:r>
          </w:p>
          <w:p w14:paraId="2DA986EF">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default"/>
                <w:b w:val="0"/>
                <w:bCs w:val="0"/>
                <w:color w:val="auto"/>
                <w:kern w:val="0"/>
                <w:sz w:val="24"/>
                <w:u w:val="single"/>
                <w:lang w:val="en-US" w:eastAsia="zh-CN"/>
              </w:rPr>
            </w:pPr>
            <w:r>
              <w:rPr>
                <w:rFonts w:hint="eastAsia"/>
                <w:color w:val="auto"/>
                <w:sz w:val="24"/>
                <w:u w:val="single"/>
                <w:lang w:val="en-US" w:eastAsia="zh-CN"/>
              </w:rPr>
              <w:t>因可研涉及内容较多，且工程也需要分期进行，综合考虑后将对可研内容分两期进行环评，本期环评内容主要对城区雨水行泄通道及城区内涝点进行整治改造，属于河湖整治及防洪除涝工程项目。</w:t>
            </w:r>
          </w:p>
          <w:p w14:paraId="77041B12">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420" w:leftChars="200" w:right="0" w:rightChars="0"/>
              <w:rPr>
                <w:rFonts w:hint="default"/>
                <w:b/>
                <w:bCs/>
                <w:color w:val="auto"/>
                <w:kern w:val="0"/>
                <w:sz w:val="24"/>
                <w:u w:val="none"/>
                <w:lang w:val="en-US" w:eastAsia="zh-CN"/>
              </w:rPr>
            </w:pPr>
            <w:r>
              <w:rPr>
                <w:rFonts w:hint="eastAsia"/>
                <w:b/>
                <w:bCs/>
                <w:color w:val="auto"/>
                <w:kern w:val="0"/>
                <w:sz w:val="24"/>
                <w:u w:val="none"/>
                <w:lang w:val="en-US" w:eastAsia="zh-CN"/>
              </w:rPr>
              <w:t>2.2.1工程任务</w:t>
            </w:r>
          </w:p>
          <w:p w14:paraId="4ECBBB0F">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bCs/>
                <w:color w:val="auto"/>
                <w:kern w:val="0"/>
                <w:sz w:val="24"/>
                <w:u w:val="single"/>
                <w:lang w:val="en-US" w:eastAsia="zh-CN"/>
              </w:rPr>
            </w:pPr>
            <w:r>
              <w:rPr>
                <w:rFonts w:hint="eastAsia"/>
                <w:color w:val="auto"/>
                <w:sz w:val="24"/>
                <w:u w:val="single"/>
                <w:lang w:val="en-US" w:eastAsia="zh-CN"/>
              </w:rPr>
              <w:t>本期工程任务主要为在内涝点铺设雨水沟或雨水管道解决内涝点的雨水排水问题及部分内涝点雨污合流排水混乱产生的黑臭水体，对城区内主要的雨水行泄通道进行清淤以及对边坡进行修整稳固等措施以此来拓宽过水通道改善城区雨水系统堵塞等问题。</w:t>
            </w:r>
          </w:p>
          <w:p w14:paraId="7134A4A8">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420" w:leftChars="200" w:right="0" w:rightChars="0"/>
              <w:rPr>
                <w:rFonts w:hint="eastAsia"/>
                <w:b/>
                <w:bCs/>
                <w:color w:val="auto"/>
                <w:kern w:val="0"/>
                <w:sz w:val="24"/>
                <w:u w:val="single"/>
                <w:lang w:val="en-US" w:eastAsia="zh-CN"/>
              </w:rPr>
            </w:pPr>
            <w:r>
              <w:rPr>
                <w:rFonts w:hint="eastAsia"/>
                <w:b/>
                <w:bCs/>
                <w:color w:val="auto"/>
                <w:kern w:val="0"/>
                <w:sz w:val="24"/>
                <w:u w:val="single"/>
                <w:lang w:val="en-US" w:eastAsia="zh-CN"/>
              </w:rPr>
              <w:t>（1）雨水行泄通道工程</w:t>
            </w:r>
          </w:p>
          <w:p w14:paraId="0814C752">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default"/>
                <w:b w:val="0"/>
                <w:bCs w:val="0"/>
                <w:color w:val="auto"/>
                <w:kern w:val="0"/>
                <w:sz w:val="24"/>
                <w:u w:val="single"/>
                <w:lang w:val="en-US" w:eastAsia="zh-CN"/>
              </w:rPr>
            </w:pPr>
            <w:r>
              <w:rPr>
                <w:rFonts w:hint="eastAsia"/>
                <w:b w:val="0"/>
                <w:bCs w:val="0"/>
                <w:color w:val="auto"/>
                <w:kern w:val="0"/>
                <w:sz w:val="24"/>
                <w:u w:val="single"/>
                <w:lang w:val="en-US" w:eastAsia="zh-CN"/>
              </w:rPr>
              <w:t>对长安河上下游、上港溪支流、师家河、肖家堰、铁路沿线明渠进行清淤护坡及改造，清淤行泄通道总长为9.41公里，其中长安河上下游3.45公里、师家河4.02公里、肖家堰1.22公里、铁路沿线明渠0.72公里；上港溪支流一新建雨水沟及污水管，支流二新建雨水管及雨水沟。</w:t>
            </w:r>
          </w:p>
          <w:p w14:paraId="6E1B1FBA">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2" w:firstLineChars="200"/>
              <w:rPr>
                <w:rFonts w:hint="default"/>
                <w:b/>
                <w:bCs/>
                <w:color w:val="auto"/>
                <w:kern w:val="0"/>
                <w:sz w:val="24"/>
                <w:u w:val="single"/>
                <w:lang w:val="en-US" w:eastAsia="zh-CN"/>
              </w:rPr>
            </w:pPr>
            <w:r>
              <w:rPr>
                <w:rFonts w:hint="eastAsia"/>
                <w:b/>
                <w:bCs/>
                <w:color w:val="auto"/>
                <w:kern w:val="0"/>
                <w:sz w:val="24"/>
                <w:u w:val="single"/>
                <w:lang w:val="en-US" w:eastAsia="zh-CN"/>
              </w:rPr>
              <w:t>（2）城区内涝点改造工程</w:t>
            </w:r>
          </w:p>
          <w:p w14:paraId="4CA42436">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u w:val="single"/>
                <w:lang w:val="en-US" w:eastAsia="zh-CN"/>
              </w:rPr>
            </w:pPr>
            <w:r>
              <w:rPr>
                <w:rFonts w:hint="eastAsia"/>
                <w:b w:val="0"/>
                <w:bCs w:val="0"/>
                <w:color w:val="auto"/>
                <w:kern w:val="0"/>
                <w:sz w:val="24"/>
                <w:u w:val="single"/>
                <w:lang w:val="en-US" w:eastAsia="zh-CN"/>
              </w:rPr>
              <w:t>对城区16处内涝点进行改造，其中石咀内涝点、六中南侧内涝点两处设置一体化提升泵。</w:t>
            </w:r>
          </w:p>
          <w:p w14:paraId="39A025B3">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default"/>
                <w:b w:val="0"/>
                <w:bCs w:val="0"/>
                <w:color w:val="auto"/>
                <w:kern w:val="0"/>
                <w:sz w:val="24"/>
                <w:u w:val="single"/>
                <w:lang w:val="en-US" w:eastAsia="zh-CN"/>
              </w:rPr>
            </w:pPr>
            <w:r>
              <w:rPr>
                <w:rFonts w:hint="eastAsia"/>
                <w:b w:val="0"/>
                <w:bCs w:val="0"/>
                <w:color w:val="auto"/>
                <w:kern w:val="0"/>
                <w:sz w:val="24"/>
                <w:u w:val="single"/>
                <w:lang w:val="en-US" w:eastAsia="zh-CN"/>
              </w:rPr>
              <w:t>水产巷菜市场北侧新建600*800雨水沟375m、西正街道路两侧新建800*1000雨水沟1945m、长安一品新建600*800雨水沟375m、杨田涵洞内涝点新建雨水沟400*600雨水沟420m、南正街华天宾馆道路西侧新建雨水沟1000*1000雨水沟178m、城中南路夏家巷新建1400*1600箱涵669m、学院路新建400*600雨水沟及污水管550m、荷花路新建DN1000雨水管776m、金桥路道路两侧新建600*800雨水沟790m、新一中学校入口四处积水点新增10个雨水箅子及DN300管道100m、三完小新建400*400雨水沟200m、南太路肖家畈新建400*600雨水沟147m及DN300污水管85m、石咀内涝点新建400*600雨水沟103m、工业园新建600*800雨水沟649米。详见下表。</w:t>
            </w:r>
          </w:p>
          <w:p w14:paraId="767765B0">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bCs/>
                <w:color w:val="auto"/>
                <w:kern w:val="0"/>
                <w:sz w:val="21"/>
                <w:szCs w:val="21"/>
                <w:u w:val="single"/>
                <w:lang w:val="en-US" w:eastAsia="zh-CN"/>
              </w:rPr>
            </w:pPr>
            <w:r>
              <w:rPr>
                <w:rFonts w:hint="eastAsia" w:ascii="Times New Roman" w:hAnsi="Times New Roman"/>
                <w:b/>
                <w:bCs/>
                <w:color w:val="auto"/>
                <w:sz w:val="21"/>
                <w:szCs w:val="21"/>
                <w:u w:val="single"/>
              </w:rPr>
              <w:t>表2-1</w:t>
            </w:r>
            <w:r>
              <w:rPr>
                <w:rFonts w:hint="eastAsia" w:ascii="Times New Roman" w:hAnsi="Times New Roman"/>
                <w:b/>
                <w:bCs/>
                <w:color w:val="auto"/>
                <w:sz w:val="21"/>
                <w:szCs w:val="21"/>
                <w:u w:val="single"/>
                <w:lang w:val="en-US" w:eastAsia="zh-CN"/>
              </w:rPr>
              <w:t xml:space="preserve">  环评工程任务</w:t>
            </w:r>
            <w:r>
              <w:rPr>
                <w:rFonts w:hint="eastAsia" w:ascii="Times New Roman" w:hAnsi="Times New Roman"/>
                <w:b/>
                <w:bCs/>
                <w:color w:val="auto"/>
                <w:sz w:val="21"/>
                <w:szCs w:val="21"/>
                <w:u w:val="single"/>
              </w:rPr>
              <w:t>一览表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716"/>
              <w:gridCol w:w="916"/>
              <w:gridCol w:w="4080"/>
              <w:gridCol w:w="708"/>
            </w:tblGrid>
            <w:tr w14:paraId="52AC2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72" w:type="pct"/>
                  <w:vAlign w:val="center"/>
                </w:tcPr>
                <w:p w14:paraId="2C11D1F2">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single"/>
                      <w:vertAlign w:val="baseline"/>
                      <w:lang w:val="en-US" w:eastAsia="zh-CN"/>
                    </w:rPr>
                  </w:pPr>
                  <w:r>
                    <w:rPr>
                      <w:rFonts w:hint="eastAsia" w:ascii="Times New Roman" w:hAnsi="Times New Roman" w:eastAsia="宋体" w:cs="Times New Roman"/>
                      <w:b/>
                      <w:bCs/>
                      <w:color w:val="auto"/>
                      <w:sz w:val="21"/>
                      <w:szCs w:val="21"/>
                      <w:u w:val="single"/>
                      <w:vertAlign w:val="baseline"/>
                      <w:lang w:val="en-US" w:eastAsia="zh-CN"/>
                    </w:rPr>
                    <w:t>主要板块</w:t>
                  </w:r>
                </w:p>
              </w:tc>
              <w:tc>
                <w:tcPr>
                  <w:tcW w:w="1677" w:type="pct"/>
                  <w:gridSpan w:val="2"/>
                  <w:vAlign w:val="center"/>
                </w:tcPr>
                <w:p w14:paraId="42656937">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single"/>
                      <w:vertAlign w:val="baseline"/>
                      <w:lang w:val="en-US" w:eastAsia="zh-CN"/>
                    </w:rPr>
                  </w:pPr>
                  <w:r>
                    <w:rPr>
                      <w:rFonts w:hint="eastAsia" w:ascii="Times New Roman" w:hAnsi="Times New Roman" w:cs="Times New Roman"/>
                      <w:b/>
                      <w:bCs/>
                      <w:color w:val="auto"/>
                      <w:sz w:val="21"/>
                      <w:szCs w:val="21"/>
                      <w:u w:val="single"/>
                      <w:vertAlign w:val="baseline"/>
                      <w:lang w:val="en-US" w:eastAsia="zh-CN"/>
                    </w:rPr>
                    <w:t>环评建设内容</w:t>
                  </w:r>
                </w:p>
              </w:tc>
              <w:tc>
                <w:tcPr>
                  <w:tcW w:w="2599" w:type="pct"/>
                  <w:vAlign w:val="center"/>
                </w:tcPr>
                <w:p w14:paraId="40AE584F">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single"/>
                      <w:vertAlign w:val="baseline"/>
                      <w:lang w:val="en-US" w:eastAsia="zh-CN"/>
                    </w:rPr>
                  </w:pPr>
                  <w:r>
                    <w:rPr>
                      <w:rFonts w:hint="eastAsia" w:ascii="Times New Roman" w:hAnsi="Times New Roman" w:cs="Times New Roman"/>
                      <w:b/>
                      <w:bCs/>
                      <w:color w:val="auto"/>
                      <w:sz w:val="21"/>
                      <w:szCs w:val="21"/>
                      <w:u w:val="single"/>
                      <w:vertAlign w:val="baseline"/>
                      <w:lang w:val="en-US" w:eastAsia="zh-CN"/>
                    </w:rPr>
                    <w:t>工程任务</w:t>
                  </w:r>
                </w:p>
              </w:tc>
              <w:tc>
                <w:tcPr>
                  <w:tcW w:w="451" w:type="pct"/>
                  <w:vAlign w:val="center"/>
                </w:tcPr>
                <w:p w14:paraId="6DD525DE">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u w:val="single"/>
                      <w:vertAlign w:val="baseline"/>
                      <w:lang w:val="en-US" w:eastAsia="zh-CN"/>
                    </w:rPr>
                  </w:pPr>
                  <w:r>
                    <w:rPr>
                      <w:rFonts w:hint="eastAsia" w:cs="Times New Roman"/>
                      <w:b/>
                      <w:bCs/>
                      <w:color w:val="auto"/>
                      <w:sz w:val="21"/>
                      <w:szCs w:val="21"/>
                      <w:u w:val="single"/>
                      <w:vertAlign w:val="baseline"/>
                      <w:lang w:val="en-US" w:eastAsia="zh-CN"/>
                    </w:rPr>
                    <w:t>工程类型</w:t>
                  </w:r>
                </w:p>
              </w:tc>
            </w:tr>
            <w:tr w14:paraId="4CB14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restart"/>
                  <w:vAlign w:val="center"/>
                </w:tcPr>
                <w:p w14:paraId="0305C4EE">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eastAsia"/>
                      <w:sz w:val="21"/>
                      <w:szCs w:val="21"/>
                      <w:u w:val="single"/>
                    </w:rPr>
                    <w:t>雨水行泄通道工程</w:t>
                  </w:r>
                </w:p>
              </w:tc>
              <w:tc>
                <w:tcPr>
                  <w:tcW w:w="1093" w:type="pct"/>
                  <w:vMerge w:val="restart"/>
                  <w:vAlign w:val="center"/>
                </w:tcPr>
                <w:p w14:paraId="25FECC9A">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eastAsia" w:ascii="Times New Roman" w:hAnsi="Times New Roman" w:eastAsia="宋体" w:cs="Times New Roman"/>
                      <w:b w:val="0"/>
                      <w:bCs w:val="0"/>
                      <w:sz w:val="21"/>
                      <w:szCs w:val="21"/>
                      <w:u w:val="single"/>
                      <w:vertAlign w:val="baseline"/>
                      <w:lang w:val="en-US" w:eastAsia="zh-CN"/>
                    </w:rPr>
                    <w:t>长安河上游</w:t>
                  </w:r>
                </w:p>
              </w:tc>
              <w:tc>
                <w:tcPr>
                  <w:tcW w:w="583" w:type="pct"/>
                  <w:vMerge w:val="restart"/>
                  <w:vAlign w:val="center"/>
                </w:tcPr>
                <w:p w14:paraId="2ADE7112">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2.39km</w:t>
                  </w:r>
                </w:p>
              </w:tc>
              <w:tc>
                <w:tcPr>
                  <w:tcW w:w="2599" w:type="pct"/>
                  <w:vAlign w:val="top"/>
                </w:tcPr>
                <w:p w14:paraId="31106D2B">
                  <w:pPr>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eastAsiaTheme="minorEastAsia"/>
                      <w:kern w:val="2"/>
                      <w:sz w:val="21"/>
                      <w:szCs w:val="21"/>
                      <w:u w:val="single"/>
                      <w:vertAlign w:val="baseline"/>
                      <w:lang w:val="en-US" w:eastAsia="zh-CN" w:bidi="ar-SA"/>
                    </w:rPr>
                  </w:pPr>
                  <w:r>
                    <w:rPr>
                      <w:rFonts w:hint="eastAsia"/>
                      <w:sz w:val="21"/>
                      <w:szCs w:val="21"/>
                      <w:u w:val="single"/>
                      <w:vertAlign w:val="baseline"/>
                      <w:lang w:val="en-US" w:eastAsia="zh-CN"/>
                    </w:rPr>
                    <w:t>河段一：840m清淤及东侧浆砌片石挡土墙护坡，西侧镀高尔凡雷诺护坡</w:t>
                  </w:r>
                </w:p>
              </w:tc>
              <w:tc>
                <w:tcPr>
                  <w:tcW w:w="451" w:type="pct"/>
                  <w:vAlign w:val="center"/>
                </w:tcPr>
                <w:p w14:paraId="412B5F2D">
                  <w:pPr>
                    <w:keepNext w:val="0"/>
                    <w:keepLines w:val="0"/>
                    <w:suppressLineNumbers w:val="0"/>
                    <w:spacing w:before="0" w:beforeAutospacing="0" w:after="0" w:afterAutospacing="0" w:line="240" w:lineRule="auto"/>
                    <w:ind w:left="0" w:leftChars="0" w:right="0" w:rightChars="0"/>
                    <w:jc w:val="center"/>
                    <w:rPr>
                      <w:rFonts w:hint="default"/>
                      <w:sz w:val="21"/>
                      <w:szCs w:val="21"/>
                      <w:u w:val="single"/>
                      <w:vertAlign w:val="baseline"/>
                      <w:lang w:val="en-US" w:eastAsia="zh-CN"/>
                    </w:rPr>
                  </w:pPr>
                  <w:r>
                    <w:rPr>
                      <w:rFonts w:hint="eastAsia"/>
                      <w:sz w:val="21"/>
                      <w:szCs w:val="21"/>
                      <w:u w:val="single"/>
                      <w:vertAlign w:val="baseline"/>
                      <w:lang w:val="en-US" w:eastAsia="zh-CN"/>
                    </w:rPr>
                    <w:t>新建</w:t>
                  </w:r>
                </w:p>
              </w:tc>
            </w:tr>
            <w:tr w14:paraId="1AA96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4662668B">
                  <w:pPr>
                    <w:keepNext w:val="0"/>
                    <w:keepLines w:val="0"/>
                    <w:numPr>
                      <w:ilvl w:val="0"/>
                      <w:numId w:val="0"/>
                    </w:numPr>
                    <w:suppressLineNumbers w:val="0"/>
                    <w:spacing w:before="0" w:beforeAutospacing="0" w:after="0" w:afterAutospacing="0" w:line="240" w:lineRule="auto"/>
                    <w:ind w:left="0" w:right="0"/>
                    <w:jc w:val="center"/>
                    <w:rPr>
                      <w:rFonts w:hint="eastAsia"/>
                      <w:sz w:val="21"/>
                      <w:szCs w:val="21"/>
                      <w:u w:val="single"/>
                    </w:rPr>
                  </w:pPr>
                </w:p>
              </w:tc>
              <w:tc>
                <w:tcPr>
                  <w:tcW w:w="1093" w:type="pct"/>
                  <w:vMerge w:val="continue"/>
                  <w:vAlign w:val="center"/>
                </w:tcPr>
                <w:p w14:paraId="4CFB1D3C">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u w:val="single"/>
                      <w:vertAlign w:val="baseline"/>
                      <w:lang w:val="en-US" w:eastAsia="zh-CN"/>
                    </w:rPr>
                  </w:pPr>
                </w:p>
              </w:tc>
              <w:tc>
                <w:tcPr>
                  <w:tcW w:w="583" w:type="pct"/>
                  <w:vMerge w:val="continue"/>
                  <w:vAlign w:val="center"/>
                </w:tcPr>
                <w:p w14:paraId="43F54616">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u w:val="single"/>
                      <w:vertAlign w:val="baseline"/>
                      <w:lang w:val="en-US" w:eastAsia="zh-CN"/>
                    </w:rPr>
                  </w:pPr>
                </w:p>
              </w:tc>
              <w:tc>
                <w:tcPr>
                  <w:tcW w:w="2599" w:type="pct"/>
                  <w:vAlign w:val="top"/>
                </w:tcPr>
                <w:p w14:paraId="61691F9F">
                  <w:pPr>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eastAsiaTheme="minorEastAsia"/>
                      <w:kern w:val="2"/>
                      <w:sz w:val="21"/>
                      <w:szCs w:val="21"/>
                      <w:u w:val="single"/>
                      <w:vertAlign w:val="baseline"/>
                      <w:lang w:val="en-US" w:eastAsia="zh-CN" w:bidi="ar-SA"/>
                    </w:rPr>
                  </w:pPr>
                  <w:r>
                    <w:rPr>
                      <w:rFonts w:hint="eastAsia"/>
                      <w:sz w:val="21"/>
                      <w:szCs w:val="21"/>
                      <w:u w:val="single"/>
                      <w:vertAlign w:val="baseline"/>
                      <w:lang w:val="en-US" w:eastAsia="zh-CN"/>
                    </w:rPr>
                    <w:t>河段二：1550m清淤及镀高尔凡雷诺护坡</w:t>
                  </w:r>
                </w:p>
              </w:tc>
              <w:tc>
                <w:tcPr>
                  <w:tcW w:w="451" w:type="pct"/>
                  <w:vAlign w:val="center"/>
                </w:tcPr>
                <w:p w14:paraId="03CAE077">
                  <w:pPr>
                    <w:keepNext w:val="0"/>
                    <w:keepLines w:val="0"/>
                    <w:suppressLineNumbers w:val="0"/>
                    <w:spacing w:before="0" w:beforeAutospacing="0" w:after="0" w:afterAutospacing="0" w:line="240" w:lineRule="auto"/>
                    <w:ind w:left="0" w:leftChars="0" w:right="0" w:rightChars="0"/>
                    <w:jc w:val="center"/>
                    <w:rPr>
                      <w:rFonts w:hint="default"/>
                      <w:sz w:val="21"/>
                      <w:szCs w:val="21"/>
                      <w:u w:val="single"/>
                      <w:vertAlign w:val="baseline"/>
                      <w:lang w:val="en-US" w:eastAsia="zh-CN"/>
                    </w:rPr>
                  </w:pPr>
                  <w:r>
                    <w:rPr>
                      <w:rFonts w:hint="eastAsia"/>
                      <w:sz w:val="21"/>
                      <w:szCs w:val="21"/>
                      <w:u w:val="single"/>
                      <w:vertAlign w:val="baseline"/>
                      <w:lang w:val="en-US" w:eastAsia="zh-CN"/>
                    </w:rPr>
                    <w:t>新建</w:t>
                  </w:r>
                </w:p>
              </w:tc>
            </w:tr>
            <w:tr w14:paraId="184D2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44D856FB">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74A7E7D1">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eastAsia" w:ascii="Times New Roman" w:hAnsi="Times New Roman" w:eastAsia="宋体" w:cs="Times New Roman"/>
                      <w:b w:val="0"/>
                      <w:bCs w:val="0"/>
                      <w:sz w:val="21"/>
                      <w:szCs w:val="21"/>
                      <w:u w:val="single"/>
                      <w:vertAlign w:val="baseline"/>
                      <w:lang w:val="en-US" w:eastAsia="zh-CN"/>
                    </w:rPr>
                    <w:t>长安河下游</w:t>
                  </w:r>
                </w:p>
              </w:tc>
              <w:tc>
                <w:tcPr>
                  <w:tcW w:w="583" w:type="pct"/>
                  <w:vAlign w:val="center"/>
                </w:tcPr>
                <w:p w14:paraId="35AD42A0">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1.06km</w:t>
                  </w:r>
                </w:p>
              </w:tc>
              <w:tc>
                <w:tcPr>
                  <w:tcW w:w="2599" w:type="pct"/>
                  <w:vAlign w:val="top"/>
                </w:tcPr>
                <w:p w14:paraId="401EBF56">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kern w:val="2"/>
                      <w:sz w:val="21"/>
                      <w:szCs w:val="21"/>
                      <w:u w:val="single"/>
                      <w:vertAlign w:val="baseline"/>
                      <w:lang w:val="en-US" w:eastAsia="zh-CN" w:bidi="ar-SA"/>
                    </w:rPr>
                  </w:pPr>
                  <w:r>
                    <w:rPr>
                      <w:rFonts w:hint="eastAsia"/>
                      <w:sz w:val="21"/>
                      <w:szCs w:val="21"/>
                      <w:u w:val="single"/>
                      <w:vertAlign w:val="baseline"/>
                    </w:rPr>
                    <w:t>河道清淤</w:t>
                  </w:r>
                  <w:r>
                    <w:rPr>
                      <w:rFonts w:hint="eastAsia"/>
                      <w:sz w:val="21"/>
                      <w:szCs w:val="21"/>
                      <w:u w:val="single"/>
                      <w:vertAlign w:val="baseline"/>
                      <w:lang w:eastAsia="zh-CN"/>
                    </w:rPr>
                    <w:t>，</w:t>
                  </w:r>
                  <w:r>
                    <w:rPr>
                      <w:rFonts w:hint="eastAsia"/>
                      <w:sz w:val="21"/>
                      <w:szCs w:val="21"/>
                      <w:u w:val="single"/>
                      <w:vertAlign w:val="baseline"/>
                    </w:rPr>
                    <w:t>东侧根据现有地形局部设置浆砌片石挡土墙护坡</w:t>
                  </w:r>
                  <w:r>
                    <w:rPr>
                      <w:rFonts w:hint="eastAsia"/>
                      <w:sz w:val="21"/>
                      <w:szCs w:val="21"/>
                      <w:u w:val="single"/>
                      <w:vertAlign w:val="baseline"/>
                      <w:lang w:eastAsia="zh-CN"/>
                    </w:rPr>
                    <w:t>，</w:t>
                  </w:r>
                  <w:r>
                    <w:rPr>
                      <w:rFonts w:hint="eastAsia"/>
                      <w:sz w:val="21"/>
                      <w:szCs w:val="21"/>
                      <w:u w:val="single"/>
                      <w:vertAlign w:val="baseline"/>
                    </w:rPr>
                    <w:t>西侧浆砌片石挡土墙护坡</w:t>
                  </w:r>
                </w:p>
              </w:tc>
              <w:tc>
                <w:tcPr>
                  <w:tcW w:w="451" w:type="pct"/>
                  <w:vAlign w:val="center"/>
                </w:tcPr>
                <w:p w14:paraId="7B0C12BC">
                  <w:pPr>
                    <w:keepNext w:val="0"/>
                    <w:keepLines w:val="0"/>
                    <w:suppressLineNumbers w:val="0"/>
                    <w:spacing w:before="0" w:beforeAutospacing="0" w:after="0" w:afterAutospacing="0" w:line="240" w:lineRule="auto"/>
                    <w:ind w:left="0" w:right="0"/>
                    <w:jc w:val="center"/>
                    <w:rPr>
                      <w:rFonts w:hint="eastAsia" w:eastAsia="宋体"/>
                      <w:sz w:val="21"/>
                      <w:szCs w:val="21"/>
                      <w:u w:val="single"/>
                      <w:vertAlign w:val="baseline"/>
                      <w:lang w:val="en-US" w:eastAsia="zh-CN"/>
                    </w:rPr>
                  </w:pPr>
                  <w:r>
                    <w:rPr>
                      <w:rFonts w:hint="eastAsia"/>
                      <w:sz w:val="21"/>
                      <w:szCs w:val="21"/>
                      <w:u w:val="single"/>
                      <w:vertAlign w:val="baseline"/>
                      <w:lang w:val="en-US" w:eastAsia="zh-CN"/>
                    </w:rPr>
                    <w:t>新建</w:t>
                  </w:r>
                </w:p>
              </w:tc>
            </w:tr>
            <w:tr w14:paraId="2053B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65F2644B">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Merge w:val="restart"/>
                  <w:vAlign w:val="center"/>
                </w:tcPr>
                <w:p w14:paraId="4F462C32">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师家河</w:t>
                  </w:r>
                </w:p>
              </w:tc>
              <w:tc>
                <w:tcPr>
                  <w:tcW w:w="583" w:type="pct"/>
                  <w:vMerge w:val="restart"/>
                  <w:vAlign w:val="center"/>
                </w:tcPr>
                <w:p w14:paraId="27DDE3E4">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4.02km</w:t>
                  </w:r>
                </w:p>
              </w:tc>
              <w:tc>
                <w:tcPr>
                  <w:tcW w:w="2599" w:type="pct"/>
                  <w:vAlign w:val="top"/>
                </w:tcPr>
                <w:p w14:paraId="7FA93EFF">
                  <w:pPr>
                    <w:keepNext w:val="0"/>
                    <w:keepLines w:val="0"/>
                    <w:suppressLineNumbers w:val="0"/>
                    <w:spacing w:before="0" w:beforeAutospacing="0" w:after="0" w:afterAutospacing="0" w:line="240" w:lineRule="auto"/>
                    <w:ind w:left="0" w:right="0" w:rightChars="0"/>
                    <w:rPr>
                      <w:rFonts w:hint="default" w:ascii="Times New Roman" w:hAnsi="Times New Roman" w:eastAsia="宋体" w:cs="Times New Roman"/>
                      <w:kern w:val="2"/>
                      <w:sz w:val="21"/>
                      <w:szCs w:val="21"/>
                      <w:u w:val="single"/>
                      <w:vertAlign w:val="baseline"/>
                      <w:lang w:val="en-US" w:eastAsia="zh-CN" w:bidi="ar-SA"/>
                    </w:rPr>
                  </w:pPr>
                  <w:r>
                    <w:rPr>
                      <w:rFonts w:hint="eastAsia"/>
                      <w:sz w:val="21"/>
                      <w:szCs w:val="21"/>
                      <w:u w:val="single"/>
                      <w:vertAlign w:val="baseline"/>
                    </w:rPr>
                    <w:t>河道</w:t>
                  </w:r>
                  <w:r>
                    <w:rPr>
                      <w:rFonts w:hint="eastAsia"/>
                      <w:sz w:val="21"/>
                      <w:szCs w:val="21"/>
                      <w:u w:val="single"/>
                      <w:vertAlign w:val="baseline"/>
                      <w:lang w:val="en-US" w:eastAsia="zh-CN"/>
                    </w:rPr>
                    <w:t>一：2080m</w:t>
                  </w:r>
                  <w:r>
                    <w:rPr>
                      <w:rFonts w:hint="eastAsia"/>
                      <w:sz w:val="21"/>
                      <w:szCs w:val="21"/>
                      <w:u w:val="single"/>
                      <w:vertAlign w:val="baseline"/>
                    </w:rPr>
                    <w:t>清淤及两侧采用浆砌片石挡土墙护坡</w:t>
                  </w:r>
                </w:p>
              </w:tc>
              <w:tc>
                <w:tcPr>
                  <w:tcW w:w="451" w:type="pct"/>
                  <w:vAlign w:val="center"/>
                </w:tcPr>
                <w:p w14:paraId="5130E4BF">
                  <w:pPr>
                    <w:keepNext w:val="0"/>
                    <w:keepLines w:val="0"/>
                    <w:suppressLineNumbers w:val="0"/>
                    <w:spacing w:before="0" w:beforeAutospacing="0" w:after="0" w:afterAutospacing="0" w:line="240" w:lineRule="auto"/>
                    <w:ind w:left="0" w:right="0" w:rightChars="0"/>
                    <w:jc w:val="center"/>
                    <w:rPr>
                      <w:rFonts w:hint="eastAsia" w:eastAsia="宋体"/>
                      <w:sz w:val="21"/>
                      <w:szCs w:val="21"/>
                      <w:u w:val="single"/>
                      <w:vertAlign w:val="baseline"/>
                      <w:lang w:val="en-US" w:eastAsia="zh-CN"/>
                    </w:rPr>
                  </w:pPr>
                  <w:r>
                    <w:rPr>
                      <w:rFonts w:hint="eastAsia"/>
                      <w:sz w:val="21"/>
                      <w:szCs w:val="21"/>
                      <w:u w:val="single"/>
                      <w:vertAlign w:val="baseline"/>
                      <w:lang w:val="en-US" w:eastAsia="zh-CN"/>
                    </w:rPr>
                    <w:t>新建</w:t>
                  </w:r>
                </w:p>
              </w:tc>
            </w:tr>
            <w:tr w14:paraId="46466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358FEFC8">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Merge w:val="continue"/>
                  <w:vAlign w:val="center"/>
                </w:tcPr>
                <w:p w14:paraId="211493F6">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u w:val="single"/>
                      <w:vertAlign w:val="baseline"/>
                      <w:lang w:val="en-US" w:eastAsia="zh-CN"/>
                    </w:rPr>
                  </w:pPr>
                </w:p>
              </w:tc>
              <w:tc>
                <w:tcPr>
                  <w:tcW w:w="583" w:type="pct"/>
                  <w:vMerge w:val="continue"/>
                  <w:vAlign w:val="center"/>
                </w:tcPr>
                <w:p w14:paraId="70E8A9BF">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u w:val="single"/>
                      <w:vertAlign w:val="baseline"/>
                      <w:lang w:val="en-US" w:eastAsia="zh-CN"/>
                    </w:rPr>
                  </w:pPr>
                </w:p>
              </w:tc>
              <w:tc>
                <w:tcPr>
                  <w:tcW w:w="2599" w:type="pct"/>
                  <w:vAlign w:val="top"/>
                </w:tcPr>
                <w:p w14:paraId="7FC54E59">
                  <w:pPr>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eastAsiaTheme="minorEastAsia"/>
                      <w:kern w:val="2"/>
                      <w:sz w:val="21"/>
                      <w:szCs w:val="21"/>
                      <w:u w:val="single"/>
                      <w:vertAlign w:val="baseline"/>
                      <w:lang w:val="en-US" w:eastAsia="zh-CN" w:bidi="ar-SA"/>
                    </w:rPr>
                  </w:pPr>
                  <w:r>
                    <w:rPr>
                      <w:rFonts w:hint="eastAsia"/>
                      <w:sz w:val="21"/>
                      <w:szCs w:val="21"/>
                      <w:u w:val="single"/>
                      <w:vertAlign w:val="baseline"/>
                      <w:lang w:val="en-US" w:eastAsia="zh-CN"/>
                    </w:rPr>
                    <w:t>河段二：1940m清淤及边坡修整</w:t>
                  </w:r>
                </w:p>
              </w:tc>
              <w:tc>
                <w:tcPr>
                  <w:tcW w:w="451" w:type="pct"/>
                  <w:vAlign w:val="center"/>
                </w:tcPr>
                <w:p w14:paraId="771D3E29">
                  <w:pPr>
                    <w:keepNext w:val="0"/>
                    <w:keepLines w:val="0"/>
                    <w:suppressLineNumbers w:val="0"/>
                    <w:spacing w:before="0" w:beforeAutospacing="0" w:after="0" w:afterAutospacing="0" w:line="240" w:lineRule="auto"/>
                    <w:ind w:left="0" w:leftChars="0" w:right="0" w:rightChars="0"/>
                    <w:jc w:val="center"/>
                    <w:rPr>
                      <w:rFonts w:hint="default"/>
                      <w:sz w:val="21"/>
                      <w:szCs w:val="21"/>
                      <w:u w:val="single"/>
                      <w:vertAlign w:val="baseline"/>
                      <w:lang w:val="en-US" w:eastAsia="zh-CN"/>
                    </w:rPr>
                  </w:pPr>
                  <w:r>
                    <w:rPr>
                      <w:rFonts w:hint="eastAsia"/>
                      <w:sz w:val="21"/>
                      <w:szCs w:val="21"/>
                      <w:u w:val="single"/>
                      <w:vertAlign w:val="baseline"/>
                      <w:lang w:val="en-US" w:eastAsia="zh-CN"/>
                    </w:rPr>
                    <w:t>改造</w:t>
                  </w:r>
                </w:p>
              </w:tc>
            </w:tr>
            <w:tr w14:paraId="28BAA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72" w:type="pct"/>
                  <w:vMerge w:val="continue"/>
                  <w:vAlign w:val="center"/>
                </w:tcPr>
                <w:p w14:paraId="4E831AB1">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Merge w:val="restart"/>
                  <w:vAlign w:val="center"/>
                </w:tcPr>
                <w:p w14:paraId="2EAF0A82">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肖家堰</w:t>
                  </w:r>
                </w:p>
              </w:tc>
              <w:tc>
                <w:tcPr>
                  <w:tcW w:w="583" w:type="pct"/>
                  <w:vMerge w:val="restart"/>
                  <w:vAlign w:val="center"/>
                </w:tcPr>
                <w:p w14:paraId="198AA0D3">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1.22km</w:t>
                  </w:r>
                </w:p>
              </w:tc>
              <w:tc>
                <w:tcPr>
                  <w:tcW w:w="2599" w:type="pct"/>
                  <w:vAlign w:val="top"/>
                </w:tcPr>
                <w:p w14:paraId="574E6AED">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kern w:val="2"/>
                      <w:sz w:val="21"/>
                      <w:szCs w:val="21"/>
                      <w:u w:val="single"/>
                      <w:vertAlign w:val="baseline"/>
                      <w:lang w:val="en-US" w:eastAsia="zh-CN" w:bidi="ar-SA"/>
                    </w:rPr>
                  </w:pPr>
                  <w:r>
                    <w:rPr>
                      <w:rFonts w:hint="eastAsia"/>
                      <w:sz w:val="21"/>
                      <w:szCs w:val="21"/>
                      <w:u w:val="single"/>
                      <w:vertAlign w:val="baseline"/>
                    </w:rPr>
                    <w:t>河道</w:t>
                  </w:r>
                  <w:r>
                    <w:rPr>
                      <w:rFonts w:hint="eastAsia"/>
                      <w:sz w:val="21"/>
                      <w:szCs w:val="21"/>
                      <w:u w:val="single"/>
                      <w:vertAlign w:val="baseline"/>
                      <w:lang w:val="en-US" w:eastAsia="zh-CN"/>
                    </w:rPr>
                    <w:t>一：265m</w:t>
                  </w:r>
                  <w:r>
                    <w:rPr>
                      <w:rFonts w:hint="eastAsia"/>
                      <w:sz w:val="21"/>
                      <w:szCs w:val="21"/>
                      <w:u w:val="single"/>
                      <w:vertAlign w:val="baseline"/>
                    </w:rPr>
                    <w:t>清淤及两侧镀高尔凡雷诺护坡</w:t>
                  </w:r>
                </w:p>
              </w:tc>
              <w:tc>
                <w:tcPr>
                  <w:tcW w:w="451" w:type="pct"/>
                  <w:vAlign w:val="center"/>
                </w:tcPr>
                <w:p w14:paraId="727C101E">
                  <w:pPr>
                    <w:keepNext w:val="0"/>
                    <w:keepLines w:val="0"/>
                    <w:suppressLineNumbers w:val="0"/>
                    <w:spacing w:before="0" w:beforeAutospacing="0" w:after="0" w:afterAutospacing="0" w:line="240" w:lineRule="auto"/>
                    <w:ind w:left="0" w:leftChars="0" w:right="0" w:rightChars="0"/>
                    <w:jc w:val="center"/>
                    <w:rPr>
                      <w:rFonts w:hint="eastAsia" w:eastAsia="宋体"/>
                      <w:sz w:val="21"/>
                      <w:szCs w:val="21"/>
                      <w:u w:val="single"/>
                      <w:vertAlign w:val="baseline"/>
                      <w:lang w:val="en-US" w:eastAsia="zh-CN"/>
                    </w:rPr>
                  </w:pPr>
                  <w:r>
                    <w:rPr>
                      <w:rFonts w:hint="eastAsia"/>
                      <w:sz w:val="21"/>
                      <w:szCs w:val="21"/>
                      <w:u w:val="single"/>
                      <w:vertAlign w:val="baseline"/>
                      <w:lang w:val="en-US" w:eastAsia="zh-CN"/>
                    </w:rPr>
                    <w:t>新建</w:t>
                  </w:r>
                </w:p>
              </w:tc>
            </w:tr>
            <w:tr w14:paraId="1ABFA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4F5C39AA">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Merge w:val="continue"/>
                  <w:vAlign w:val="center"/>
                </w:tcPr>
                <w:p w14:paraId="437608B7">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u w:val="single"/>
                      <w:vertAlign w:val="baseline"/>
                      <w:lang w:val="en-US" w:eastAsia="zh-CN"/>
                    </w:rPr>
                  </w:pPr>
                </w:p>
              </w:tc>
              <w:tc>
                <w:tcPr>
                  <w:tcW w:w="583" w:type="pct"/>
                  <w:vMerge w:val="continue"/>
                  <w:vAlign w:val="center"/>
                </w:tcPr>
                <w:p w14:paraId="5CEA4D6A">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u w:val="single"/>
                      <w:vertAlign w:val="baseline"/>
                      <w:lang w:val="en-US" w:eastAsia="zh-CN"/>
                    </w:rPr>
                  </w:pPr>
                </w:p>
              </w:tc>
              <w:tc>
                <w:tcPr>
                  <w:tcW w:w="2599" w:type="pct"/>
                  <w:vAlign w:val="top"/>
                </w:tcPr>
                <w:p w14:paraId="23628730">
                  <w:pPr>
                    <w:keepNext w:val="0"/>
                    <w:keepLines w:val="0"/>
                    <w:suppressLineNumbers w:val="0"/>
                    <w:spacing w:before="0" w:beforeAutospacing="0" w:after="0" w:afterAutospacing="0" w:line="240" w:lineRule="auto"/>
                    <w:ind w:left="0" w:leftChars="0" w:right="0" w:rightChars="0"/>
                    <w:rPr>
                      <w:rFonts w:hint="eastAsia"/>
                      <w:sz w:val="21"/>
                      <w:szCs w:val="21"/>
                      <w:u w:val="single"/>
                      <w:vertAlign w:val="baseline"/>
                    </w:rPr>
                  </w:pPr>
                  <w:r>
                    <w:rPr>
                      <w:rFonts w:hint="eastAsia"/>
                      <w:sz w:val="21"/>
                      <w:szCs w:val="21"/>
                      <w:u w:val="single"/>
                      <w:vertAlign w:val="baseline"/>
                      <w:lang w:val="en-US" w:eastAsia="zh-CN"/>
                    </w:rPr>
                    <w:t>河段三：640m</w:t>
                  </w:r>
                  <w:r>
                    <w:rPr>
                      <w:rFonts w:hint="eastAsia"/>
                      <w:sz w:val="21"/>
                      <w:szCs w:val="21"/>
                      <w:u w:val="single"/>
                      <w:vertAlign w:val="baseline"/>
                    </w:rPr>
                    <w:t>清淤及两侧镀高尔凡雷诺护坡</w:t>
                  </w:r>
                </w:p>
              </w:tc>
              <w:tc>
                <w:tcPr>
                  <w:tcW w:w="451" w:type="pct"/>
                  <w:vAlign w:val="center"/>
                </w:tcPr>
                <w:p w14:paraId="2B516E19">
                  <w:pPr>
                    <w:keepNext w:val="0"/>
                    <w:keepLines w:val="0"/>
                    <w:suppressLineNumbers w:val="0"/>
                    <w:spacing w:before="0" w:beforeAutospacing="0" w:after="0" w:afterAutospacing="0" w:line="240" w:lineRule="auto"/>
                    <w:ind w:left="0" w:leftChars="0" w:right="0" w:rightChars="0"/>
                    <w:jc w:val="center"/>
                    <w:rPr>
                      <w:rFonts w:hint="default"/>
                      <w:sz w:val="21"/>
                      <w:szCs w:val="21"/>
                      <w:u w:val="single"/>
                      <w:vertAlign w:val="baseline"/>
                      <w:lang w:val="en-US" w:eastAsia="zh-CN"/>
                    </w:rPr>
                  </w:pPr>
                  <w:r>
                    <w:rPr>
                      <w:rFonts w:hint="eastAsia"/>
                      <w:sz w:val="21"/>
                      <w:szCs w:val="21"/>
                      <w:u w:val="single"/>
                      <w:vertAlign w:val="baseline"/>
                      <w:lang w:val="en-US" w:eastAsia="zh-CN"/>
                    </w:rPr>
                    <w:t>新建</w:t>
                  </w:r>
                </w:p>
              </w:tc>
            </w:tr>
            <w:tr w14:paraId="55A1D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698BAA89">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Merge w:val="continue"/>
                  <w:vAlign w:val="center"/>
                </w:tcPr>
                <w:p w14:paraId="0D4252BB">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u w:val="single"/>
                      <w:vertAlign w:val="baseline"/>
                      <w:lang w:val="en-US" w:eastAsia="zh-CN"/>
                    </w:rPr>
                  </w:pPr>
                </w:p>
              </w:tc>
              <w:tc>
                <w:tcPr>
                  <w:tcW w:w="583" w:type="pct"/>
                  <w:vMerge w:val="continue"/>
                  <w:vAlign w:val="center"/>
                </w:tcPr>
                <w:p w14:paraId="26CB9F0A">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u w:val="single"/>
                      <w:vertAlign w:val="baseline"/>
                      <w:lang w:val="en-US" w:eastAsia="zh-CN"/>
                    </w:rPr>
                  </w:pPr>
                </w:p>
              </w:tc>
              <w:tc>
                <w:tcPr>
                  <w:tcW w:w="2599" w:type="pct"/>
                  <w:vAlign w:val="top"/>
                </w:tcPr>
                <w:p w14:paraId="5DBE88D5">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kern w:val="2"/>
                      <w:sz w:val="21"/>
                      <w:szCs w:val="21"/>
                      <w:u w:val="single"/>
                      <w:vertAlign w:val="baseline"/>
                      <w:lang w:val="en-US" w:eastAsia="zh-CN" w:bidi="ar-SA"/>
                    </w:rPr>
                  </w:pPr>
                  <w:r>
                    <w:rPr>
                      <w:rFonts w:hint="eastAsia"/>
                      <w:sz w:val="21"/>
                      <w:szCs w:val="21"/>
                      <w:u w:val="single"/>
                      <w:vertAlign w:val="baseline"/>
                    </w:rPr>
                    <w:t>河道</w:t>
                  </w:r>
                  <w:r>
                    <w:rPr>
                      <w:rFonts w:hint="eastAsia"/>
                      <w:sz w:val="21"/>
                      <w:szCs w:val="21"/>
                      <w:u w:val="single"/>
                      <w:vertAlign w:val="baseline"/>
                      <w:lang w:val="en-US" w:eastAsia="zh-CN"/>
                    </w:rPr>
                    <w:t>二：315m</w:t>
                  </w:r>
                  <w:r>
                    <w:rPr>
                      <w:rFonts w:hint="eastAsia"/>
                      <w:sz w:val="21"/>
                      <w:szCs w:val="21"/>
                      <w:u w:val="single"/>
                      <w:vertAlign w:val="baseline"/>
                    </w:rPr>
                    <w:t>清淤及两侧浆砌片石挡土墙护坡</w:t>
                  </w:r>
                </w:p>
              </w:tc>
              <w:tc>
                <w:tcPr>
                  <w:tcW w:w="451" w:type="pct"/>
                  <w:vAlign w:val="center"/>
                </w:tcPr>
                <w:p w14:paraId="3AEEF7BE">
                  <w:pPr>
                    <w:keepNext w:val="0"/>
                    <w:keepLines w:val="0"/>
                    <w:suppressLineNumbers w:val="0"/>
                    <w:spacing w:before="0" w:beforeAutospacing="0" w:after="0" w:afterAutospacing="0" w:line="240" w:lineRule="auto"/>
                    <w:ind w:left="0" w:leftChars="0" w:right="0" w:rightChars="0"/>
                    <w:jc w:val="center"/>
                    <w:rPr>
                      <w:rFonts w:hint="eastAsia" w:eastAsia="宋体"/>
                      <w:sz w:val="21"/>
                      <w:szCs w:val="21"/>
                      <w:u w:val="single"/>
                      <w:vertAlign w:val="baseline"/>
                      <w:lang w:val="en-US" w:eastAsia="zh-CN"/>
                    </w:rPr>
                  </w:pPr>
                  <w:r>
                    <w:rPr>
                      <w:rFonts w:hint="eastAsia"/>
                      <w:sz w:val="21"/>
                      <w:szCs w:val="21"/>
                      <w:u w:val="single"/>
                      <w:vertAlign w:val="baseline"/>
                      <w:lang w:val="en-US" w:eastAsia="zh-CN"/>
                    </w:rPr>
                    <w:t>新建</w:t>
                  </w:r>
                </w:p>
              </w:tc>
            </w:tr>
            <w:tr w14:paraId="1A7F9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2167D614">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65512169">
                  <w:pPr>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val="0"/>
                      <w:kern w:val="2"/>
                      <w:sz w:val="21"/>
                      <w:szCs w:val="21"/>
                      <w:u w:val="single"/>
                      <w:vertAlign w:val="baseline"/>
                      <w:lang w:val="en-US" w:eastAsia="zh-CN" w:bidi="ar-SA"/>
                    </w:rPr>
                  </w:pPr>
                  <w:r>
                    <w:rPr>
                      <w:rFonts w:hint="eastAsia" w:ascii="Times New Roman" w:hAnsi="Times New Roman" w:eastAsia="宋体" w:cs="Times New Roman"/>
                      <w:b w:val="0"/>
                      <w:bCs w:val="0"/>
                      <w:sz w:val="21"/>
                      <w:szCs w:val="21"/>
                      <w:u w:val="single"/>
                      <w:vertAlign w:val="baseline"/>
                      <w:lang w:val="en-US" w:eastAsia="zh-CN"/>
                    </w:rPr>
                    <w:t>上港溪支流</w:t>
                  </w:r>
                  <w:r>
                    <w:rPr>
                      <w:rFonts w:hint="eastAsia" w:ascii="Times New Roman" w:hAnsi="Times New Roman" w:cs="Times New Roman"/>
                      <w:b w:val="0"/>
                      <w:bCs w:val="0"/>
                      <w:sz w:val="21"/>
                      <w:szCs w:val="21"/>
                      <w:u w:val="single"/>
                      <w:vertAlign w:val="baseline"/>
                      <w:lang w:val="en-US" w:eastAsia="zh-CN"/>
                    </w:rPr>
                    <w:t>一</w:t>
                  </w:r>
                </w:p>
              </w:tc>
              <w:tc>
                <w:tcPr>
                  <w:tcW w:w="3183" w:type="pct"/>
                  <w:gridSpan w:val="2"/>
                  <w:vAlign w:val="center"/>
                </w:tcPr>
                <w:p w14:paraId="0E5245E9">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kern w:val="2"/>
                      <w:sz w:val="21"/>
                      <w:szCs w:val="21"/>
                      <w:u w:val="single"/>
                      <w:vertAlign w:val="baseline"/>
                      <w:lang w:val="en-US" w:eastAsia="zh-CN" w:bidi="ar-SA"/>
                    </w:rPr>
                  </w:pPr>
                  <w:r>
                    <w:rPr>
                      <w:rFonts w:hint="eastAsia"/>
                      <w:sz w:val="21"/>
                      <w:szCs w:val="21"/>
                      <w:u w:val="single"/>
                      <w:vertAlign w:val="baseline"/>
                    </w:rPr>
                    <w:t>新建2m*1m污水</w:t>
                  </w:r>
                  <w:r>
                    <w:rPr>
                      <w:rFonts w:hint="eastAsia"/>
                      <w:sz w:val="21"/>
                      <w:szCs w:val="21"/>
                      <w:u w:val="single"/>
                      <w:vertAlign w:val="baseline"/>
                      <w:lang w:val="en-US" w:eastAsia="zh-CN"/>
                    </w:rPr>
                    <w:t>管</w:t>
                  </w:r>
                  <w:r>
                    <w:rPr>
                      <w:rFonts w:hint="eastAsia"/>
                      <w:sz w:val="21"/>
                      <w:szCs w:val="21"/>
                      <w:u w:val="single"/>
                      <w:vertAlign w:val="baseline"/>
                    </w:rPr>
                    <w:t>接入上港溪河道南侧现有污水主管道，新建2m*2m雨水</w:t>
                  </w:r>
                  <w:r>
                    <w:rPr>
                      <w:rFonts w:hint="eastAsia"/>
                      <w:sz w:val="21"/>
                      <w:szCs w:val="21"/>
                      <w:u w:val="single"/>
                      <w:vertAlign w:val="baseline"/>
                      <w:lang w:val="en-US" w:eastAsia="zh-CN"/>
                    </w:rPr>
                    <w:t>沟</w:t>
                  </w:r>
                  <w:r>
                    <w:rPr>
                      <w:rFonts w:hint="eastAsia"/>
                      <w:sz w:val="21"/>
                      <w:szCs w:val="21"/>
                      <w:u w:val="single"/>
                      <w:vertAlign w:val="baseline"/>
                    </w:rPr>
                    <w:t>接入现有排水闸门</w:t>
                  </w:r>
                </w:p>
              </w:tc>
              <w:tc>
                <w:tcPr>
                  <w:tcW w:w="451" w:type="pct"/>
                  <w:vAlign w:val="center"/>
                </w:tcPr>
                <w:p w14:paraId="6442B928">
                  <w:pPr>
                    <w:keepNext w:val="0"/>
                    <w:keepLines w:val="0"/>
                    <w:suppressLineNumbers w:val="0"/>
                    <w:spacing w:before="0" w:beforeAutospacing="0" w:after="0" w:afterAutospacing="0" w:line="240" w:lineRule="auto"/>
                    <w:ind w:left="0" w:right="0"/>
                    <w:jc w:val="center"/>
                    <w:rPr>
                      <w:rFonts w:hint="eastAsia" w:eastAsia="宋体"/>
                      <w:sz w:val="21"/>
                      <w:szCs w:val="21"/>
                      <w:u w:val="single"/>
                      <w:vertAlign w:val="baseline"/>
                      <w:lang w:val="en-US" w:eastAsia="zh-CN"/>
                    </w:rPr>
                  </w:pPr>
                  <w:r>
                    <w:rPr>
                      <w:rFonts w:hint="eastAsia"/>
                      <w:sz w:val="21"/>
                      <w:szCs w:val="21"/>
                      <w:u w:val="single"/>
                      <w:vertAlign w:val="baseline"/>
                      <w:lang w:val="en-US" w:eastAsia="zh-CN"/>
                    </w:rPr>
                    <w:t>新建</w:t>
                  </w:r>
                </w:p>
              </w:tc>
            </w:tr>
            <w:tr w14:paraId="123B3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3B90C42F">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5E09599C">
                  <w:pPr>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val="0"/>
                      <w:kern w:val="2"/>
                      <w:sz w:val="21"/>
                      <w:szCs w:val="21"/>
                      <w:u w:val="single"/>
                      <w:vertAlign w:val="baseline"/>
                      <w:lang w:val="en-US" w:eastAsia="zh-CN" w:bidi="ar-SA"/>
                    </w:rPr>
                  </w:pPr>
                  <w:r>
                    <w:rPr>
                      <w:rFonts w:hint="eastAsia" w:ascii="Times New Roman" w:hAnsi="Times New Roman" w:eastAsia="宋体" w:cs="Times New Roman"/>
                      <w:b w:val="0"/>
                      <w:bCs w:val="0"/>
                      <w:sz w:val="21"/>
                      <w:szCs w:val="21"/>
                      <w:u w:val="single"/>
                      <w:vertAlign w:val="baseline"/>
                      <w:lang w:val="en-US" w:eastAsia="zh-CN"/>
                    </w:rPr>
                    <w:t>上港溪支流</w:t>
                  </w:r>
                  <w:r>
                    <w:rPr>
                      <w:rFonts w:hint="eastAsia" w:ascii="Times New Roman" w:hAnsi="Times New Roman" w:cs="Times New Roman"/>
                      <w:b w:val="0"/>
                      <w:bCs w:val="0"/>
                      <w:sz w:val="21"/>
                      <w:szCs w:val="21"/>
                      <w:u w:val="single"/>
                      <w:vertAlign w:val="baseline"/>
                      <w:lang w:val="en-US" w:eastAsia="zh-CN"/>
                    </w:rPr>
                    <w:t>二</w:t>
                  </w:r>
                </w:p>
              </w:tc>
              <w:tc>
                <w:tcPr>
                  <w:tcW w:w="3183" w:type="pct"/>
                  <w:gridSpan w:val="2"/>
                  <w:vAlign w:val="center"/>
                </w:tcPr>
                <w:p w14:paraId="1512D43F">
                  <w:pPr>
                    <w:keepNext w:val="0"/>
                    <w:keepLines w:val="0"/>
                    <w:suppressLineNumbers w:val="0"/>
                    <w:spacing w:before="0" w:beforeAutospacing="0" w:after="0" w:afterAutospacing="0" w:line="240" w:lineRule="auto"/>
                    <w:ind w:left="0" w:right="0"/>
                    <w:rPr>
                      <w:rFonts w:hint="eastAsia" w:ascii="Times New Roman" w:hAnsi="Times New Roman" w:eastAsia="宋体" w:cs="Times New Roman"/>
                      <w:kern w:val="2"/>
                      <w:sz w:val="21"/>
                      <w:szCs w:val="21"/>
                      <w:u w:val="single"/>
                      <w:vertAlign w:val="baseline"/>
                      <w:lang w:val="en-US" w:eastAsia="zh-CN" w:bidi="ar-SA"/>
                    </w:rPr>
                  </w:pPr>
                  <w:r>
                    <w:rPr>
                      <w:rFonts w:hint="eastAsia"/>
                      <w:sz w:val="21"/>
                      <w:szCs w:val="21"/>
                      <w:u w:val="single"/>
                      <w:vertAlign w:val="baseline"/>
                    </w:rPr>
                    <w:t>芳草桥道路西侧新建2m*2m雨水</w:t>
                  </w:r>
                  <w:r>
                    <w:rPr>
                      <w:rFonts w:hint="eastAsia"/>
                      <w:sz w:val="21"/>
                      <w:szCs w:val="21"/>
                      <w:u w:val="single"/>
                      <w:vertAlign w:val="baseline"/>
                      <w:lang w:val="en-US" w:eastAsia="zh-CN"/>
                    </w:rPr>
                    <w:t>管</w:t>
                  </w:r>
                  <w:r>
                    <w:rPr>
                      <w:rFonts w:hint="eastAsia"/>
                      <w:sz w:val="21"/>
                      <w:szCs w:val="21"/>
                      <w:u w:val="single"/>
                      <w:vertAlign w:val="baseline"/>
                    </w:rPr>
                    <w:t>接入现有排水闸门道路</w:t>
                  </w:r>
                  <w:r>
                    <w:rPr>
                      <w:rFonts w:hint="eastAsia"/>
                      <w:sz w:val="21"/>
                      <w:szCs w:val="21"/>
                      <w:u w:val="single"/>
                      <w:vertAlign w:val="baseline"/>
                      <w:lang w:eastAsia="zh-CN"/>
                    </w:rPr>
                    <w:t>，</w:t>
                  </w:r>
                  <w:r>
                    <w:rPr>
                      <w:rFonts w:hint="eastAsia"/>
                      <w:sz w:val="21"/>
                      <w:szCs w:val="21"/>
                      <w:u w:val="single"/>
                      <w:vertAlign w:val="baseline"/>
                    </w:rPr>
                    <w:t>东侧新建0.6*0.8雨水</w:t>
                  </w:r>
                  <w:r>
                    <w:rPr>
                      <w:rFonts w:hint="eastAsia"/>
                      <w:sz w:val="21"/>
                      <w:szCs w:val="21"/>
                      <w:u w:val="single"/>
                      <w:vertAlign w:val="baseline"/>
                      <w:lang w:val="en-US" w:eastAsia="zh-CN"/>
                    </w:rPr>
                    <w:t>沟</w:t>
                  </w:r>
                  <w:r>
                    <w:rPr>
                      <w:rFonts w:hint="eastAsia"/>
                      <w:sz w:val="21"/>
                      <w:szCs w:val="21"/>
                      <w:u w:val="single"/>
                      <w:vertAlign w:val="baseline"/>
                    </w:rPr>
                    <w:t>接现有路面雨水后接入</w:t>
                  </w:r>
                  <w:r>
                    <w:rPr>
                      <w:rFonts w:hint="eastAsia"/>
                      <w:sz w:val="21"/>
                      <w:szCs w:val="21"/>
                      <w:u w:val="single"/>
                      <w:vertAlign w:val="baseline"/>
                      <w:lang w:val="en-US" w:eastAsia="zh-CN"/>
                    </w:rPr>
                    <w:t>管道</w:t>
                  </w:r>
                </w:p>
              </w:tc>
              <w:tc>
                <w:tcPr>
                  <w:tcW w:w="451" w:type="pct"/>
                  <w:vAlign w:val="center"/>
                </w:tcPr>
                <w:p w14:paraId="71964619">
                  <w:pPr>
                    <w:keepNext w:val="0"/>
                    <w:keepLines w:val="0"/>
                    <w:suppressLineNumbers w:val="0"/>
                    <w:spacing w:before="0" w:beforeAutospacing="0" w:after="0" w:afterAutospacing="0" w:line="240" w:lineRule="auto"/>
                    <w:ind w:left="0" w:right="0"/>
                    <w:jc w:val="center"/>
                    <w:rPr>
                      <w:rFonts w:hint="eastAsia" w:eastAsia="宋体"/>
                      <w:sz w:val="21"/>
                      <w:szCs w:val="21"/>
                      <w:u w:val="single"/>
                      <w:vertAlign w:val="baseline"/>
                      <w:lang w:val="en-US" w:eastAsia="zh-CN"/>
                    </w:rPr>
                  </w:pPr>
                  <w:r>
                    <w:rPr>
                      <w:rFonts w:hint="eastAsia"/>
                      <w:sz w:val="21"/>
                      <w:szCs w:val="21"/>
                      <w:u w:val="single"/>
                      <w:vertAlign w:val="baseline"/>
                      <w:lang w:val="en-US" w:eastAsia="zh-CN"/>
                    </w:rPr>
                    <w:t>新建</w:t>
                  </w:r>
                </w:p>
              </w:tc>
            </w:tr>
            <w:tr w14:paraId="7FEE8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3E7AEAE0">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Merge w:val="restart"/>
                  <w:vAlign w:val="center"/>
                </w:tcPr>
                <w:p w14:paraId="7A0ACF11">
                  <w:pPr>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铁路沿线明渠</w:t>
                  </w:r>
                </w:p>
              </w:tc>
              <w:tc>
                <w:tcPr>
                  <w:tcW w:w="583" w:type="pct"/>
                  <w:vMerge w:val="restart"/>
                  <w:vAlign w:val="center"/>
                </w:tcPr>
                <w:p w14:paraId="472B9AE6">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val="en-US" w:eastAsia="zh-CN"/>
                    </w:rPr>
                  </w:pPr>
                  <w:r>
                    <w:rPr>
                      <w:rFonts w:hint="eastAsia" w:ascii="Times New Roman" w:hAnsi="Times New Roman" w:eastAsia="宋体" w:cs="Times New Roman"/>
                      <w:b w:val="0"/>
                      <w:bCs w:val="0"/>
                      <w:sz w:val="21"/>
                      <w:szCs w:val="21"/>
                      <w:u w:val="single"/>
                      <w:vertAlign w:val="baseline"/>
                      <w:lang w:val="en-US" w:eastAsia="zh-CN"/>
                    </w:rPr>
                    <w:t>0.72km</w:t>
                  </w:r>
                </w:p>
              </w:tc>
              <w:tc>
                <w:tcPr>
                  <w:tcW w:w="2599" w:type="pct"/>
                  <w:vAlign w:val="center"/>
                </w:tcPr>
                <w:p w14:paraId="56CA6B54">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kern w:val="2"/>
                      <w:sz w:val="21"/>
                      <w:szCs w:val="21"/>
                      <w:u w:val="single"/>
                      <w:vertAlign w:val="baseline"/>
                      <w:lang w:val="en-US" w:eastAsia="zh-CN" w:bidi="ar-SA"/>
                    </w:rPr>
                  </w:pPr>
                  <w:r>
                    <w:rPr>
                      <w:rFonts w:hint="eastAsia"/>
                      <w:sz w:val="21"/>
                      <w:szCs w:val="21"/>
                      <w:u w:val="single"/>
                      <w:vertAlign w:val="baseline"/>
                    </w:rPr>
                    <w:t>河道清淤</w:t>
                  </w:r>
                </w:p>
              </w:tc>
              <w:tc>
                <w:tcPr>
                  <w:tcW w:w="451" w:type="pct"/>
                  <w:vMerge w:val="restart"/>
                  <w:vAlign w:val="center"/>
                </w:tcPr>
                <w:p w14:paraId="6C24360A">
                  <w:pPr>
                    <w:keepNext w:val="0"/>
                    <w:keepLines w:val="0"/>
                    <w:suppressLineNumbers w:val="0"/>
                    <w:spacing w:before="0" w:beforeAutospacing="0" w:after="0" w:afterAutospacing="0" w:line="240" w:lineRule="auto"/>
                    <w:ind w:left="0" w:right="0"/>
                    <w:jc w:val="center"/>
                    <w:rPr>
                      <w:rFonts w:hint="eastAsia" w:eastAsia="宋体"/>
                      <w:sz w:val="21"/>
                      <w:szCs w:val="21"/>
                      <w:u w:val="single"/>
                      <w:vertAlign w:val="baseline"/>
                      <w:lang w:val="en-US" w:eastAsia="zh-CN"/>
                    </w:rPr>
                  </w:pPr>
                  <w:r>
                    <w:rPr>
                      <w:rFonts w:hint="eastAsia"/>
                      <w:sz w:val="21"/>
                      <w:szCs w:val="21"/>
                      <w:u w:val="single"/>
                      <w:vertAlign w:val="baseline"/>
                      <w:lang w:val="en-US" w:eastAsia="zh-CN"/>
                    </w:rPr>
                    <w:t>新建</w:t>
                  </w:r>
                </w:p>
              </w:tc>
            </w:tr>
            <w:tr w14:paraId="72C07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592EA8BE">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Merge w:val="continue"/>
                  <w:vAlign w:val="center"/>
                </w:tcPr>
                <w:p w14:paraId="021CDDEA">
                  <w:pPr>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b w:val="0"/>
                      <w:bCs w:val="0"/>
                      <w:sz w:val="21"/>
                      <w:szCs w:val="21"/>
                      <w:u w:val="single"/>
                      <w:vertAlign w:val="baseline"/>
                      <w:lang w:val="en-US" w:eastAsia="zh-CN"/>
                    </w:rPr>
                  </w:pPr>
                </w:p>
              </w:tc>
              <w:tc>
                <w:tcPr>
                  <w:tcW w:w="583" w:type="pct"/>
                  <w:vMerge w:val="continue"/>
                  <w:vAlign w:val="center"/>
                </w:tcPr>
                <w:p w14:paraId="1E151F3E">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u w:val="single"/>
                      <w:vertAlign w:val="baseline"/>
                      <w:lang w:val="en-US" w:eastAsia="zh-CN"/>
                    </w:rPr>
                  </w:pPr>
                </w:p>
              </w:tc>
              <w:tc>
                <w:tcPr>
                  <w:tcW w:w="2599" w:type="pct"/>
                  <w:vAlign w:val="center"/>
                </w:tcPr>
                <w:p w14:paraId="0957D672">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kern w:val="2"/>
                      <w:sz w:val="21"/>
                      <w:szCs w:val="21"/>
                      <w:u w:val="single"/>
                      <w:vertAlign w:val="baseline"/>
                      <w:lang w:val="en-US" w:eastAsia="zh-CN" w:bidi="ar-SA"/>
                    </w:rPr>
                  </w:pPr>
                  <w:r>
                    <w:rPr>
                      <w:rFonts w:hint="eastAsia"/>
                      <w:sz w:val="21"/>
                      <w:szCs w:val="21"/>
                      <w:u w:val="single"/>
                      <w:vertAlign w:val="baseline"/>
                    </w:rPr>
                    <w:t>两侧浆砌片石挡土墙护坡</w:t>
                  </w:r>
                </w:p>
              </w:tc>
              <w:tc>
                <w:tcPr>
                  <w:tcW w:w="451" w:type="pct"/>
                  <w:vMerge w:val="continue"/>
                  <w:vAlign w:val="center"/>
                </w:tcPr>
                <w:p w14:paraId="12CA377B">
                  <w:pPr>
                    <w:keepNext w:val="0"/>
                    <w:keepLines w:val="0"/>
                    <w:suppressLineNumbers w:val="0"/>
                    <w:spacing w:before="0" w:beforeAutospacing="0" w:after="0" w:afterAutospacing="0" w:line="240" w:lineRule="auto"/>
                    <w:ind w:left="0" w:right="0"/>
                    <w:jc w:val="center"/>
                    <w:rPr>
                      <w:rFonts w:hint="eastAsia"/>
                      <w:sz w:val="21"/>
                      <w:szCs w:val="21"/>
                      <w:u w:val="single"/>
                      <w:vertAlign w:val="baseline"/>
                    </w:rPr>
                  </w:pPr>
                </w:p>
              </w:tc>
            </w:tr>
            <w:tr w14:paraId="76D0B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1" w:hRule="atLeast"/>
              </w:trPr>
              <w:tc>
                <w:tcPr>
                  <w:tcW w:w="272" w:type="pct"/>
                  <w:vMerge w:val="restart"/>
                  <w:vAlign w:val="center"/>
                </w:tcPr>
                <w:p w14:paraId="6290D457">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b w:val="0"/>
                      <w:bCs w:val="0"/>
                      <w:sz w:val="21"/>
                      <w:szCs w:val="21"/>
                      <w:u w:val="single"/>
                      <w:vertAlign w:val="baseline"/>
                      <w:lang w:eastAsia="zh-CN"/>
                    </w:rPr>
                    <w:t>城区内涝点改造工程</w:t>
                  </w:r>
                </w:p>
              </w:tc>
              <w:tc>
                <w:tcPr>
                  <w:tcW w:w="1093" w:type="pct"/>
                  <w:vAlign w:val="center"/>
                </w:tcPr>
                <w:p w14:paraId="38547449">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sz w:val="21"/>
                      <w:szCs w:val="21"/>
                      <w:u w:val="single"/>
                    </w:rPr>
                    <w:t>水产巷</w:t>
                  </w:r>
                </w:p>
              </w:tc>
              <w:tc>
                <w:tcPr>
                  <w:tcW w:w="3183" w:type="pct"/>
                  <w:gridSpan w:val="2"/>
                  <w:vAlign w:val="top"/>
                </w:tcPr>
                <w:p w14:paraId="2F350CC9">
                  <w:pPr>
                    <w:keepNext w:val="0"/>
                    <w:keepLines w:val="0"/>
                    <w:suppressLineNumbers w:val="0"/>
                    <w:spacing w:before="0" w:beforeAutospacing="0" w:after="0" w:afterAutospacing="0" w:line="240" w:lineRule="auto"/>
                    <w:ind w:left="0" w:leftChars="0" w:right="0" w:rightChars="0"/>
                    <w:rPr>
                      <w:rFonts w:hint="eastAsia"/>
                      <w:color w:val="auto"/>
                      <w:sz w:val="21"/>
                      <w:szCs w:val="21"/>
                      <w:u w:val="single"/>
                      <w:vertAlign w:val="baseline"/>
                      <w:lang w:val="en-US" w:eastAsia="zh-CN"/>
                    </w:rPr>
                  </w:pPr>
                  <w:r>
                    <w:rPr>
                      <w:rFonts w:hint="eastAsia"/>
                      <w:color w:val="auto"/>
                      <w:sz w:val="21"/>
                      <w:szCs w:val="21"/>
                      <w:u w:val="single"/>
                      <w:vertAlign w:val="baseline"/>
                    </w:rPr>
                    <w:t>菜市场北侧新建600*800雨水沟375</w:t>
                  </w:r>
                  <w:r>
                    <w:rPr>
                      <w:rFonts w:hint="eastAsia"/>
                      <w:color w:val="auto"/>
                      <w:sz w:val="21"/>
                      <w:szCs w:val="21"/>
                      <w:u w:val="single"/>
                      <w:vertAlign w:val="baseline"/>
                      <w:lang w:val="en-US" w:eastAsia="zh-CN"/>
                    </w:rPr>
                    <w:t>m</w:t>
                  </w:r>
                </w:p>
                <w:p w14:paraId="0A31DD78">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接入北正街主路箱涵</w:t>
                  </w:r>
                </w:p>
              </w:tc>
              <w:tc>
                <w:tcPr>
                  <w:tcW w:w="451" w:type="pct"/>
                  <w:vAlign w:val="center"/>
                </w:tcPr>
                <w:p w14:paraId="3CFD3E42">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r w14:paraId="6DD29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70440423">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3F0001FA">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sz w:val="21"/>
                      <w:szCs w:val="21"/>
                      <w:u w:val="single"/>
                    </w:rPr>
                    <w:t>西正街</w:t>
                  </w:r>
                </w:p>
              </w:tc>
              <w:tc>
                <w:tcPr>
                  <w:tcW w:w="3183" w:type="pct"/>
                  <w:gridSpan w:val="2"/>
                  <w:vAlign w:val="top"/>
                </w:tcPr>
                <w:p w14:paraId="0F0CFAF1">
                  <w:pPr>
                    <w:keepNext w:val="0"/>
                    <w:keepLines w:val="0"/>
                    <w:suppressLineNumbers w:val="0"/>
                    <w:spacing w:before="0" w:beforeAutospacing="0" w:after="0" w:afterAutospacing="0" w:line="240" w:lineRule="auto"/>
                    <w:ind w:left="0" w:leftChars="0" w:right="0" w:rightChars="0"/>
                    <w:rPr>
                      <w:rFonts w:hint="eastAsia"/>
                      <w:color w:val="auto"/>
                      <w:sz w:val="21"/>
                      <w:szCs w:val="21"/>
                      <w:u w:val="single"/>
                      <w:vertAlign w:val="baseline"/>
                      <w:lang w:val="en-US" w:eastAsia="zh-CN"/>
                    </w:rPr>
                  </w:pPr>
                  <w:r>
                    <w:rPr>
                      <w:rFonts w:hint="eastAsia"/>
                      <w:color w:val="auto"/>
                      <w:sz w:val="21"/>
                      <w:szCs w:val="21"/>
                      <w:u w:val="single"/>
                      <w:vertAlign w:val="baseline"/>
                    </w:rPr>
                    <w:t>道路两侧新建800*1000雨水沟1945</w:t>
                  </w:r>
                  <w:r>
                    <w:rPr>
                      <w:rFonts w:hint="eastAsia"/>
                      <w:color w:val="auto"/>
                      <w:sz w:val="21"/>
                      <w:szCs w:val="21"/>
                      <w:u w:val="single"/>
                      <w:vertAlign w:val="baseline"/>
                      <w:lang w:val="en-US" w:eastAsia="zh-CN"/>
                    </w:rPr>
                    <w:t>m</w:t>
                  </w:r>
                </w:p>
                <w:p w14:paraId="0BA7DEEA">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接入河西南路现有箱涵</w:t>
                  </w:r>
                </w:p>
              </w:tc>
              <w:tc>
                <w:tcPr>
                  <w:tcW w:w="451" w:type="pct"/>
                  <w:vAlign w:val="center"/>
                </w:tcPr>
                <w:p w14:paraId="5A086DDA">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r w14:paraId="1E41E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687DA2A4">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0D8A9913">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sz w:val="21"/>
                      <w:szCs w:val="21"/>
                      <w:u w:val="single"/>
                    </w:rPr>
                    <w:t>长安一品</w:t>
                  </w:r>
                </w:p>
              </w:tc>
              <w:tc>
                <w:tcPr>
                  <w:tcW w:w="3183" w:type="pct"/>
                  <w:gridSpan w:val="2"/>
                  <w:vAlign w:val="top"/>
                </w:tcPr>
                <w:p w14:paraId="1630D49D">
                  <w:pPr>
                    <w:keepNext w:val="0"/>
                    <w:keepLines w:val="0"/>
                    <w:suppressLineNumbers w:val="0"/>
                    <w:spacing w:before="0" w:beforeAutospacing="0" w:after="0" w:afterAutospacing="0" w:line="240" w:lineRule="auto"/>
                    <w:ind w:left="0" w:leftChars="0" w:right="0" w:rightChars="0"/>
                    <w:rPr>
                      <w:rFonts w:hint="eastAsia"/>
                      <w:color w:val="auto"/>
                      <w:sz w:val="21"/>
                      <w:szCs w:val="21"/>
                      <w:u w:val="single"/>
                      <w:vertAlign w:val="baseline"/>
                      <w:lang w:val="en-US" w:eastAsia="zh-CN"/>
                    </w:rPr>
                  </w:pPr>
                  <w:r>
                    <w:rPr>
                      <w:rFonts w:hint="eastAsia"/>
                      <w:color w:val="auto"/>
                      <w:sz w:val="21"/>
                      <w:szCs w:val="21"/>
                      <w:u w:val="single"/>
                      <w:vertAlign w:val="baseline"/>
                    </w:rPr>
                    <w:t>新建600*800雨水沟</w:t>
                  </w:r>
                  <w:r>
                    <w:rPr>
                      <w:rFonts w:hint="eastAsia"/>
                      <w:color w:val="auto"/>
                      <w:sz w:val="21"/>
                      <w:szCs w:val="21"/>
                      <w:u w:val="single"/>
                      <w:vertAlign w:val="baseline"/>
                      <w:lang w:val="en-US" w:eastAsia="zh-CN"/>
                    </w:rPr>
                    <w:t>375m</w:t>
                  </w:r>
                </w:p>
                <w:p w14:paraId="6ED51E92">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接入麦坡路现有雨水管道</w:t>
                  </w:r>
                </w:p>
              </w:tc>
              <w:tc>
                <w:tcPr>
                  <w:tcW w:w="451" w:type="pct"/>
                  <w:vAlign w:val="center"/>
                </w:tcPr>
                <w:p w14:paraId="2754D762">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r w14:paraId="7A9A2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01A35B66">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2F274ECF">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sz w:val="21"/>
                      <w:szCs w:val="21"/>
                      <w:u w:val="single"/>
                    </w:rPr>
                    <w:t>杨田涵洞内涝点</w:t>
                  </w:r>
                </w:p>
              </w:tc>
              <w:tc>
                <w:tcPr>
                  <w:tcW w:w="3183" w:type="pct"/>
                  <w:gridSpan w:val="2"/>
                  <w:vAlign w:val="top"/>
                </w:tcPr>
                <w:p w14:paraId="5A2936A3">
                  <w:pPr>
                    <w:keepNext w:val="0"/>
                    <w:keepLines w:val="0"/>
                    <w:suppressLineNumbers w:val="0"/>
                    <w:spacing w:before="0" w:beforeAutospacing="0" w:after="0" w:afterAutospacing="0" w:line="240" w:lineRule="auto"/>
                    <w:ind w:left="0" w:leftChars="0" w:right="0" w:rightChars="0"/>
                    <w:rPr>
                      <w:rFonts w:hint="eastAsia"/>
                      <w:color w:val="auto"/>
                      <w:sz w:val="21"/>
                      <w:szCs w:val="21"/>
                      <w:u w:val="single"/>
                      <w:vertAlign w:val="baseline"/>
                      <w:lang w:val="en-US" w:eastAsia="zh-CN"/>
                    </w:rPr>
                  </w:pPr>
                  <w:r>
                    <w:rPr>
                      <w:rFonts w:hint="eastAsia"/>
                      <w:color w:val="auto"/>
                      <w:sz w:val="21"/>
                      <w:szCs w:val="21"/>
                      <w:u w:val="single"/>
                      <w:vertAlign w:val="baseline"/>
                    </w:rPr>
                    <w:t>新建雨水沟400*600雨水沟420</w:t>
                  </w:r>
                  <w:r>
                    <w:rPr>
                      <w:rFonts w:hint="eastAsia"/>
                      <w:color w:val="auto"/>
                      <w:sz w:val="21"/>
                      <w:szCs w:val="21"/>
                      <w:u w:val="single"/>
                      <w:vertAlign w:val="baseline"/>
                      <w:lang w:val="en-US" w:eastAsia="zh-CN"/>
                    </w:rPr>
                    <w:t>m</w:t>
                  </w:r>
                </w:p>
                <w:p w14:paraId="2014EA9A">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沿河道排入长安河北侧汇流口</w:t>
                  </w:r>
                </w:p>
              </w:tc>
              <w:tc>
                <w:tcPr>
                  <w:tcW w:w="451" w:type="pct"/>
                  <w:vAlign w:val="center"/>
                </w:tcPr>
                <w:p w14:paraId="393C8E3C">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r w14:paraId="2363C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33376A2A">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0C6A245C">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sz w:val="21"/>
                      <w:szCs w:val="21"/>
                      <w:u w:val="single"/>
                    </w:rPr>
                    <w:t>南正街华天宾馆</w:t>
                  </w:r>
                </w:p>
              </w:tc>
              <w:tc>
                <w:tcPr>
                  <w:tcW w:w="3183" w:type="pct"/>
                  <w:gridSpan w:val="2"/>
                  <w:vAlign w:val="top"/>
                </w:tcPr>
                <w:p w14:paraId="0A89D159">
                  <w:pPr>
                    <w:keepNext w:val="0"/>
                    <w:keepLines w:val="0"/>
                    <w:suppressLineNumbers w:val="0"/>
                    <w:spacing w:before="0" w:beforeAutospacing="0" w:after="0" w:afterAutospacing="0" w:line="240" w:lineRule="auto"/>
                    <w:ind w:left="0" w:leftChars="0" w:right="0" w:rightChars="0"/>
                    <w:rPr>
                      <w:rFonts w:hint="eastAsia"/>
                      <w:color w:val="auto"/>
                      <w:sz w:val="21"/>
                      <w:szCs w:val="21"/>
                      <w:u w:val="single"/>
                      <w:vertAlign w:val="baseline"/>
                      <w:lang w:val="en-US" w:eastAsia="zh-CN"/>
                    </w:rPr>
                  </w:pPr>
                  <w:r>
                    <w:rPr>
                      <w:rFonts w:hint="eastAsia"/>
                      <w:color w:val="auto"/>
                      <w:sz w:val="21"/>
                      <w:szCs w:val="21"/>
                      <w:u w:val="single"/>
                      <w:vertAlign w:val="baseline"/>
                      <w:lang w:val="en-US" w:eastAsia="zh-CN"/>
                    </w:rPr>
                    <w:t>道路西侧</w:t>
                  </w:r>
                  <w:r>
                    <w:rPr>
                      <w:rFonts w:hint="eastAsia"/>
                      <w:color w:val="auto"/>
                      <w:sz w:val="21"/>
                      <w:szCs w:val="21"/>
                      <w:u w:val="single"/>
                      <w:vertAlign w:val="baseline"/>
                    </w:rPr>
                    <w:t>新建雨水沟1000*1000雨水沟178</w:t>
                  </w:r>
                  <w:r>
                    <w:rPr>
                      <w:rFonts w:hint="eastAsia"/>
                      <w:color w:val="auto"/>
                      <w:sz w:val="21"/>
                      <w:szCs w:val="21"/>
                      <w:u w:val="single"/>
                      <w:vertAlign w:val="baseline"/>
                      <w:lang w:val="en-US" w:eastAsia="zh-CN"/>
                    </w:rPr>
                    <w:t>m</w:t>
                  </w:r>
                </w:p>
                <w:p w14:paraId="6912B6A1">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接入周家巷雨水箱涵</w:t>
                  </w:r>
                </w:p>
              </w:tc>
              <w:tc>
                <w:tcPr>
                  <w:tcW w:w="451" w:type="pct"/>
                  <w:vAlign w:val="center"/>
                </w:tcPr>
                <w:p w14:paraId="64AB2718">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r w14:paraId="16256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2F12F568">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30C02F90">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sz w:val="21"/>
                      <w:szCs w:val="21"/>
                      <w:u w:val="single"/>
                    </w:rPr>
                    <w:t>六中南侧内涝点</w:t>
                  </w:r>
                </w:p>
              </w:tc>
              <w:tc>
                <w:tcPr>
                  <w:tcW w:w="3183" w:type="pct"/>
                  <w:gridSpan w:val="2"/>
                  <w:vAlign w:val="top"/>
                </w:tcPr>
                <w:p w14:paraId="59526354">
                  <w:pPr>
                    <w:keepNext w:val="0"/>
                    <w:keepLines w:val="0"/>
                    <w:suppressLineNumbers w:val="0"/>
                    <w:spacing w:before="0" w:beforeAutospacing="0" w:after="0" w:afterAutospacing="0" w:line="240" w:lineRule="auto"/>
                    <w:ind w:left="0" w:leftChars="0" w:right="0" w:rightChars="0"/>
                    <w:rPr>
                      <w:rFonts w:hint="eastAsia"/>
                      <w:color w:val="auto"/>
                      <w:sz w:val="21"/>
                      <w:szCs w:val="21"/>
                      <w:u w:val="single"/>
                      <w:vertAlign w:val="baseline"/>
                    </w:rPr>
                  </w:pPr>
                  <w:r>
                    <w:rPr>
                      <w:rFonts w:hint="eastAsia"/>
                      <w:color w:val="auto"/>
                      <w:sz w:val="21"/>
                      <w:szCs w:val="21"/>
                      <w:u w:val="single"/>
                      <w:vertAlign w:val="baseline"/>
                    </w:rPr>
                    <w:t>新建一体化提升泵</w:t>
                  </w:r>
                </w:p>
                <w:p w14:paraId="3BC460A3">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采用DN150压力管接入河西南路道路雨水沟</w:t>
                  </w:r>
                </w:p>
              </w:tc>
              <w:tc>
                <w:tcPr>
                  <w:tcW w:w="451" w:type="pct"/>
                  <w:vAlign w:val="center"/>
                </w:tcPr>
                <w:p w14:paraId="3120BFCD">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r w14:paraId="03B47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 w:hRule="atLeast"/>
              </w:trPr>
              <w:tc>
                <w:tcPr>
                  <w:tcW w:w="272" w:type="pct"/>
                  <w:vMerge w:val="continue"/>
                  <w:vAlign w:val="center"/>
                </w:tcPr>
                <w:p w14:paraId="54D4934A">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3E312146">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b w:val="0"/>
                      <w:bCs w:val="0"/>
                      <w:sz w:val="21"/>
                      <w:szCs w:val="21"/>
                      <w:u w:val="single"/>
                      <w:vertAlign w:val="baseline"/>
                      <w:lang w:eastAsia="zh-CN"/>
                    </w:rPr>
                    <w:t>城中南路夏家巷</w:t>
                  </w:r>
                </w:p>
              </w:tc>
              <w:tc>
                <w:tcPr>
                  <w:tcW w:w="3183" w:type="pct"/>
                  <w:gridSpan w:val="2"/>
                  <w:vAlign w:val="top"/>
                </w:tcPr>
                <w:p w14:paraId="51FAA22D">
                  <w:pPr>
                    <w:keepNext w:val="0"/>
                    <w:keepLines w:val="0"/>
                    <w:suppressLineNumbers w:val="0"/>
                    <w:spacing w:before="0" w:beforeAutospacing="0" w:after="0" w:afterAutospacing="0" w:line="240" w:lineRule="auto"/>
                    <w:ind w:left="0" w:leftChars="0" w:right="0" w:rightChars="0"/>
                    <w:rPr>
                      <w:rFonts w:hint="eastAsia"/>
                      <w:color w:val="auto"/>
                      <w:sz w:val="21"/>
                      <w:szCs w:val="21"/>
                      <w:u w:val="single"/>
                      <w:vertAlign w:val="baseline"/>
                      <w:lang w:val="en-US" w:eastAsia="zh-CN"/>
                    </w:rPr>
                  </w:pPr>
                  <w:r>
                    <w:rPr>
                      <w:rFonts w:hint="eastAsia"/>
                      <w:color w:val="auto"/>
                      <w:sz w:val="21"/>
                      <w:szCs w:val="21"/>
                      <w:u w:val="single"/>
                      <w:vertAlign w:val="baseline"/>
                    </w:rPr>
                    <w:t>新建1400*1600箱涵669</w:t>
                  </w:r>
                  <w:r>
                    <w:rPr>
                      <w:rFonts w:hint="eastAsia"/>
                      <w:color w:val="auto"/>
                      <w:sz w:val="21"/>
                      <w:szCs w:val="21"/>
                      <w:u w:val="single"/>
                      <w:vertAlign w:val="baseline"/>
                      <w:lang w:val="en-US" w:eastAsia="zh-CN"/>
                    </w:rPr>
                    <w:t>m</w:t>
                  </w:r>
                </w:p>
                <w:p w14:paraId="40D070A0">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接入路中雨水主涵</w:t>
                  </w:r>
                </w:p>
              </w:tc>
              <w:tc>
                <w:tcPr>
                  <w:tcW w:w="451" w:type="pct"/>
                  <w:vAlign w:val="center"/>
                </w:tcPr>
                <w:p w14:paraId="2E23770F">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r w14:paraId="2CA78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6FADD96F">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37FC35C5">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b w:val="0"/>
                      <w:bCs w:val="0"/>
                      <w:sz w:val="21"/>
                      <w:szCs w:val="21"/>
                      <w:u w:val="single"/>
                      <w:vertAlign w:val="baseline"/>
                      <w:lang w:eastAsia="zh-CN"/>
                    </w:rPr>
                    <w:t>学院路</w:t>
                  </w:r>
                </w:p>
              </w:tc>
              <w:tc>
                <w:tcPr>
                  <w:tcW w:w="3183" w:type="pct"/>
                  <w:gridSpan w:val="2"/>
                  <w:vAlign w:val="top"/>
                </w:tcPr>
                <w:p w14:paraId="074D83D1">
                  <w:pPr>
                    <w:keepNext w:val="0"/>
                    <w:keepLines w:val="0"/>
                    <w:suppressLineNumbers w:val="0"/>
                    <w:spacing w:before="0" w:beforeAutospacing="0" w:after="0" w:afterAutospacing="0" w:line="240" w:lineRule="auto"/>
                    <w:ind w:left="0" w:leftChars="0" w:right="0" w:rightChars="0"/>
                    <w:rPr>
                      <w:rFonts w:hint="eastAsia"/>
                      <w:color w:val="auto"/>
                      <w:sz w:val="21"/>
                      <w:szCs w:val="21"/>
                      <w:u w:val="single"/>
                      <w:vertAlign w:val="baseline"/>
                      <w:lang w:val="en-US" w:eastAsia="zh-CN"/>
                    </w:rPr>
                  </w:pPr>
                  <w:r>
                    <w:rPr>
                      <w:rFonts w:hint="eastAsia"/>
                      <w:color w:val="auto"/>
                      <w:sz w:val="21"/>
                      <w:szCs w:val="21"/>
                      <w:u w:val="single"/>
                      <w:vertAlign w:val="baseline"/>
                    </w:rPr>
                    <w:t>新建污水管550</w:t>
                  </w:r>
                  <w:r>
                    <w:rPr>
                      <w:rFonts w:hint="eastAsia"/>
                      <w:color w:val="auto"/>
                      <w:sz w:val="21"/>
                      <w:szCs w:val="21"/>
                      <w:u w:val="single"/>
                      <w:vertAlign w:val="baseline"/>
                      <w:lang w:val="en-US" w:eastAsia="zh-CN"/>
                    </w:rPr>
                    <w:t>m</w:t>
                  </w:r>
                </w:p>
                <w:p w14:paraId="1A4B693B">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新建</w:t>
                  </w:r>
                  <w:r>
                    <w:rPr>
                      <w:rFonts w:hint="eastAsia"/>
                      <w:color w:val="auto"/>
                      <w:sz w:val="21"/>
                      <w:szCs w:val="21"/>
                      <w:u w:val="single"/>
                      <w:vertAlign w:val="baseline"/>
                    </w:rPr>
                    <w:t>400*600雨水沟接入107国道雨水管网</w:t>
                  </w:r>
                </w:p>
              </w:tc>
              <w:tc>
                <w:tcPr>
                  <w:tcW w:w="451" w:type="pct"/>
                  <w:vAlign w:val="center"/>
                </w:tcPr>
                <w:p w14:paraId="52DEF2EC">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lang w:val="en-US" w:eastAsia="zh-CN"/>
                    </w:rPr>
                  </w:pPr>
                  <w:r>
                    <w:rPr>
                      <w:rFonts w:hint="eastAsia"/>
                      <w:sz w:val="21"/>
                      <w:szCs w:val="21"/>
                      <w:u w:val="single"/>
                      <w:vertAlign w:val="baseline"/>
                      <w:lang w:val="en-US" w:eastAsia="zh-CN"/>
                    </w:rPr>
                    <w:t>新建</w:t>
                  </w:r>
                </w:p>
              </w:tc>
            </w:tr>
            <w:tr w14:paraId="4A836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2C9EEB1A">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790CE3E4">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b w:val="0"/>
                      <w:bCs w:val="0"/>
                      <w:sz w:val="21"/>
                      <w:szCs w:val="21"/>
                      <w:u w:val="single"/>
                      <w:vertAlign w:val="baseline"/>
                      <w:lang w:eastAsia="zh-CN"/>
                    </w:rPr>
                    <w:t>荷花路</w:t>
                  </w:r>
                </w:p>
              </w:tc>
              <w:tc>
                <w:tcPr>
                  <w:tcW w:w="3183" w:type="pct"/>
                  <w:gridSpan w:val="2"/>
                  <w:vAlign w:val="top"/>
                </w:tcPr>
                <w:p w14:paraId="7A70ED79">
                  <w:pPr>
                    <w:keepNext w:val="0"/>
                    <w:keepLines w:val="0"/>
                    <w:suppressLineNumbers w:val="0"/>
                    <w:spacing w:before="0" w:beforeAutospacing="0" w:after="0" w:afterAutospacing="0" w:line="240" w:lineRule="auto"/>
                    <w:ind w:left="0" w:leftChars="0" w:right="0" w:rightChars="0"/>
                    <w:rPr>
                      <w:rFonts w:hint="eastAsia"/>
                      <w:color w:val="auto"/>
                      <w:sz w:val="21"/>
                      <w:szCs w:val="21"/>
                      <w:u w:val="single"/>
                      <w:vertAlign w:val="baseline"/>
                      <w:lang w:val="en-US" w:eastAsia="zh-CN"/>
                    </w:rPr>
                  </w:pPr>
                  <w:r>
                    <w:rPr>
                      <w:rFonts w:hint="eastAsia"/>
                      <w:color w:val="auto"/>
                      <w:sz w:val="21"/>
                      <w:szCs w:val="21"/>
                      <w:u w:val="single"/>
                      <w:vertAlign w:val="baseline"/>
                    </w:rPr>
                    <w:t>新建DN1000雨水管776</w:t>
                  </w:r>
                  <w:r>
                    <w:rPr>
                      <w:rFonts w:hint="eastAsia"/>
                      <w:color w:val="auto"/>
                      <w:sz w:val="21"/>
                      <w:szCs w:val="21"/>
                      <w:u w:val="single"/>
                      <w:vertAlign w:val="baseline"/>
                      <w:lang w:val="en-US" w:eastAsia="zh-CN"/>
                    </w:rPr>
                    <w:t>m</w:t>
                  </w:r>
                </w:p>
                <w:p w14:paraId="332B4ACD">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往北排入长安东路雨水主涵</w:t>
                  </w:r>
                </w:p>
              </w:tc>
              <w:tc>
                <w:tcPr>
                  <w:tcW w:w="451" w:type="pct"/>
                  <w:vAlign w:val="center"/>
                </w:tcPr>
                <w:p w14:paraId="6BC76E79">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r w14:paraId="1EE98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38A6692C">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273B7BAF">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b w:val="0"/>
                      <w:bCs w:val="0"/>
                      <w:sz w:val="21"/>
                      <w:szCs w:val="21"/>
                      <w:u w:val="single"/>
                      <w:vertAlign w:val="baseline"/>
                      <w:lang w:eastAsia="zh-CN"/>
                    </w:rPr>
                    <w:t>金桥路</w:t>
                  </w:r>
                </w:p>
              </w:tc>
              <w:tc>
                <w:tcPr>
                  <w:tcW w:w="3183" w:type="pct"/>
                  <w:gridSpan w:val="2"/>
                  <w:vAlign w:val="top"/>
                </w:tcPr>
                <w:p w14:paraId="1A00BEBE">
                  <w:pPr>
                    <w:keepNext w:val="0"/>
                    <w:keepLines w:val="0"/>
                    <w:suppressLineNumbers w:val="0"/>
                    <w:spacing w:before="0" w:beforeAutospacing="0" w:after="0" w:afterAutospacing="0" w:line="240" w:lineRule="auto"/>
                    <w:ind w:left="0" w:leftChars="0" w:right="0" w:rightChars="0"/>
                    <w:rPr>
                      <w:rFonts w:hint="eastAsia"/>
                      <w:color w:val="auto"/>
                      <w:sz w:val="21"/>
                      <w:szCs w:val="21"/>
                      <w:u w:val="single"/>
                      <w:vertAlign w:val="baseline"/>
                      <w:lang w:val="en-US" w:eastAsia="zh-CN"/>
                    </w:rPr>
                  </w:pPr>
                  <w:r>
                    <w:rPr>
                      <w:rFonts w:hint="eastAsia"/>
                      <w:color w:val="auto"/>
                      <w:sz w:val="21"/>
                      <w:szCs w:val="21"/>
                      <w:u w:val="single"/>
                      <w:vertAlign w:val="baseline"/>
                    </w:rPr>
                    <w:t>道路两侧新建600*800雨水沟790</w:t>
                  </w:r>
                  <w:r>
                    <w:rPr>
                      <w:rFonts w:hint="eastAsia"/>
                      <w:color w:val="auto"/>
                      <w:sz w:val="21"/>
                      <w:szCs w:val="21"/>
                      <w:u w:val="single"/>
                      <w:vertAlign w:val="baseline"/>
                      <w:lang w:val="en-US" w:eastAsia="zh-CN"/>
                    </w:rPr>
                    <w:t>m</w:t>
                  </w:r>
                </w:p>
                <w:p w14:paraId="769D1010">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接入长安东路雨水主涵</w:t>
                  </w:r>
                </w:p>
              </w:tc>
              <w:tc>
                <w:tcPr>
                  <w:tcW w:w="451" w:type="pct"/>
                  <w:vAlign w:val="center"/>
                </w:tcPr>
                <w:p w14:paraId="4E827EF9">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r w14:paraId="0D982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0BC9673D">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2FF94DF2">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b w:val="0"/>
                      <w:bCs w:val="0"/>
                      <w:sz w:val="21"/>
                      <w:szCs w:val="21"/>
                      <w:u w:val="single"/>
                      <w:vertAlign w:val="baseline"/>
                      <w:lang w:eastAsia="zh-CN"/>
                    </w:rPr>
                    <w:t>新一中</w:t>
                  </w:r>
                </w:p>
              </w:tc>
              <w:tc>
                <w:tcPr>
                  <w:tcW w:w="3183" w:type="pct"/>
                  <w:gridSpan w:val="2"/>
                  <w:vAlign w:val="top"/>
                </w:tcPr>
                <w:p w14:paraId="50452C92">
                  <w:pPr>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color w:val="auto"/>
                      <w:kern w:val="2"/>
                      <w:sz w:val="21"/>
                      <w:szCs w:val="21"/>
                      <w:highlight w:val="none"/>
                      <w:u w:val="single"/>
                      <w:vertAlign w:val="baseline"/>
                      <w:lang w:val="en-US" w:eastAsia="zh-CN" w:bidi="ar-SA"/>
                    </w:rPr>
                  </w:pPr>
                  <w:r>
                    <w:rPr>
                      <w:rFonts w:hint="eastAsia"/>
                      <w:color w:val="auto"/>
                      <w:sz w:val="21"/>
                      <w:szCs w:val="21"/>
                      <w:highlight w:val="none"/>
                      <w:u w:val="single"/>
                      <w:vertAlign w:val="baseline"/>
                    </w:rPr>
                    <w:t>学校入口四处积水点新增10个雨水箅子及DN300管道100</w:t>
                  </w:r>
                  <w:r>
                    <w:rPr>
                      <w:rFonts w:hint="eastAsia"/>
                      <w:color w:val="auto"/>
                      <w:sz w:val="21"/>
                      <w:szCs w:val="21"/>
                      <w:highlight w:val="none"/>
                      <w:u w:val="single"/>
                      <w:vertAlign w:val="baseline"/>
                      <w:lang w:val="en-US" w:eastAsia="zh-CN"/>
                    </w:rPr>
                    <w:t>m</w:t>
                  </w:r>
                </w:p>
              </w:tc>
              <w:tc>
                <w:tcPr>
                  <w:tcW w:w="451" w:type="pct"/>
                  <w:vAlign w:val="center"/>
                </w:tcPr>
                <w:p w14:paraId="4662DC11">
                  <w:pPr>
                    <w:keepNext w:val="0"/>
                    <w:keepLines w:val="0"/>
                    <w:suppressLineNumbers w:val="0"/>
                    <w:spacing w:before="0" w:beforeAutospacing="0" w:after="0" w:afterAutospacing="0" w:line="240" w:lineRule="auto"/>
                    <w:ind w:left="0" w:leftChars="0" w:right="0" w:rightChars="0"/>
                    <w:jc w:val="center"/>
                    <w:rPr>
                      <w:rFonts w:hint="eastAsia" w:eastAsia="宋体"/>
                      <w:color w:val="auto"/>
                      <w:sz w:val="21"/>
                      <w:szCs w:val="21"/>
                      <w:highlight w:val="none"/>
                      <w:u w:val="single"/>
                      <w:vertAlign w:val="baseline"/>
                      <w:lang w:val="en-US" w:eastAsia="zh-CN"/>
                    </w:rPr>
                  </w:pPr>
                  <w:r>
                    <w:rPr>
                      <w:rFonts w:hint="eastAsia"/>
                      <w:color w:val="auto"/>
                      <w:sz w:val="21"/>
                      <w:szCs w:val="21"/>
                      <w:highlight w:val="none"/>
                      <w:u w:val="single"/>
                      <w:vertAlign w:val="baseline"/>
                      <w:lang w:val="en-US" w:eastAsia="zh-CN"/>
                    </w:rPr>
                    <w:t>新建</w:t>
                  </w:r>
                </w:p>
              </w:tc>
            </w:tr>
            <w:tr w14:paraId="42467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459955CA">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2192DAD2">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b w:val="0"/>
                      <w:bCs w:val="0"/>
                      <w:sz w:val="21"/>
                      <w:szCs w:val="21"/>
                      <w:u w:val="single"/>
                      <w:vertAlign w:val="baseline"/>
                      <w:lang w:eastAsia="zh-CN"/>
                    </w:rPr>
                    <w:t>三完小</w:t>
                  </w:r>
                </w:p>
              </w:tc>
              <w:tc>
                <w:tcPr>
                  <w:tcW w:w="3183" w:type="pct"/>
                  <w:gridSpan w:val="2"/>
                  <w:vAlign w:val="top"/>
                </w:tcPr>
                <w:p w14:paraId="774FD5AE">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highlight w:val="none"/>
                      <w:u w:val="single"/>
                      <w:vertAlign w:val="baseline"/>
                    </w:rPr>
                    <w:t>新建400*400雨水沟200m</w:t>
                  </w:r>
                </w:p>
              </w:tc>
              <w:tc>
                <w:tcPr>
                  <w:tcW w:w="451" w:type="pct"/>
                  <w:vAlign w:val="center"/>
                </w:tcPr>
                <w:p w14:paraId="1AF434CA">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none"/>
                      <w:u w:val="single"/>
                      <w:vertAlign w:val="baseline"/>
                    </w:rPr>
                  </w:pPr>
                  <w:r>
                    <w:rPr>
                      <w:rFonts w:hint="eastAsia"/>
                      <w:sz w:val="21"/>
                      <w:szCs w:val="21"/>
                      <w:u w:val="single"/>
                      <w:vertAlign w:val="baseline"/>
                      <w:lang w:val="en-US" w:eastAsia="zh-CN"/>
                    </w:rPr>
                    <w:t>新建</w:t>
                  </w:r>
                </w:p>
              </w:tc>
            </w:tr>
            <w:tr w14:paraId="7B819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48591BC7">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6FE63671">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b w:val="0"/>
                      <w:bCs w:val="0"/>
                      <w:sz w:val="21"/>
                      <w:szCs w:val="21"/>
                      <w:u w:val="single"/>
                      <w:vertAlign w:val="baseline"/>
                      <w:lang w:eastAsia="zh-CN"/>
                    </w:rPr>
                    <w:t>南太路肖家畈</w:t>
                  </w:r>
                </w:p>
              </w:tc>
              <w:tc>
                <w:tcPr>
                  <w:tcW w:w="3183" w:type="pct"/>
                  <w:gridSpan w:val="2"/>
                  <w:vAlign w:val="top"/>
                </w:tcPr>
                <w:p w14:paraId="2C926397">
                  <w:pPr>
                    <w:keepNext w:val="0"/>
                    <w:keepLines w:val="0"/>
                    <w:suppressLineNumbers w:val="0"/>
                    <w:spacing w:before="0" w:beforeAutospacing="0" w:after="0" w:afterAutospacing="0" w:line="240" w:lineRule="auto"/>
                    <w:ind w:left="0" w:right="0"/>
                    <w:rPr>
                      <w:rFonts w:hint="eastAsia"/>
                      <w:color w:val="auto"/>
                      <w:sz w:val="21"/>
                      <w:szCs w:val="21"/>
                      <w:u w:val="single"/>
                      <w:vertAlign w:val="baseline"/>
                    </w:rPr>
                  </w:pPr>
                  <w:r>
                    <w:rPr>
                      <w:rFonts w:hint="eastAsia"/>
                      <w:color w:val="auto"/>
                      <w:sz w:val="21"/>
                      <w:szCs w:val="21"/>
                      <w:u w:val="single"/>
                      <w:vertAlign w:val="baseline"/>
                    </w:rPr>
                    <w:t>新建400*600雨水沟147</w:t>
                  </w:r>
                  <w:r>
                    <w:rPr>
                      <w:rFonts w:hint="eastAsia"/>
                      <w:color w:val="auto"/>
                      <w:sz w:val="21"/>
                      <w:szCs w:val="21"/>
                      <w:u w:val="single"/>
                      <w:vertAlign w:val="baseline"/>
                      <w:lang w:val="en-US" w:eastAsia="zh-CN"/>
                    </w:rPr>
                    <w:t>m</w:t>
                  </w:r>
                  <w:r>
                    <w:rPr>
                      <w:rFonts w:hint="eastAsia"/>
                      <w:color w:val="auto"/>
                      <w:sz w:val="21"/>
                      <w:szCs w:val="21"/>
                      <w:u w:val="single"/>
                      <w:vertAlign w:val="baseline"/>
                    </w:rPr>
                    <w:t>，接入现有南太路暗涵</w:t>
                  </w:r>
                </w:p>
                <w:p w14:paraId="34649099">
                  <w:pPr>
                    <w:keepNext w:val="0"/>
                    <w:keepLines w:val="0"/>
                    <w:suppressLineNumbers w:val="0"/>
                    <w:spacing w:before="0" w:beforeAutospacing="0" w:after="0" w:afterAutospacing="0" w:line="240" w:lineRule="auto"/>
                    <w:ind w:left="0" w:right="0"/>
                    <w:rPr>
                      <w:rFonts w:hint="eastAsia"/>
                      <w:color w:val="auto"/>
                      <w:sz w:val="21"/>
                      <w:szCs w:val="21"/>
                      <w:u w:val="single"/>
                      <w:vertAlign w:val="baseline"/>
                    </w:rPr>
                  </w:pPr>
                  <w:r>
                    <w:rPr>
                      <w:rFonts w:hint="eastAsia"/>
                      <w:color w:val="auto"/>
                      <w:sz w:val="21"/>
                      <w:szCs w:val="21"/>
                      <w:u w:val="single"/>
                      <w:vertAlign w:val="baseline"/>
                    </w:rPr>
                    <w:t>新建DN300污水管85</w:t>
                  </w:r>
                  <w:r>
                    <w:rPr>
                      <w:rFonts w:hint="eastAsia"/>
                      <w:color w:val="auto"/>
                      <w:sz w:val="21"/>
                      <w:szCs w:val="21"/>
                      <w:u w:val="single"/>
                      <w:vertAlign w:val="baseline"/>
                      <w:lang w:val="en-US" w:eastAsia="zh-CN"/>
                    </w:rPr>
                    <w:t>m，</w:t>
                  </w:r>
                  <w:r>
                    <w:rPr>
                      <w:rFonts w:hint="eastAsia"/>
                      <w:color w:val="auto"/>
                      <w:sz w:val="21"/>
                      <w:szCs w:val="21"/>
                      <w:u w:val="single"/>
                      <w:vertAlign w:val="baseline"/>
                    </w:rPr>
                    <w:t>接入主路已建污水主管网</w:t>
                  </w:r>
                </w:p>
                <w:p w14:paraId="1BFE8D7D">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达到雨污分流目标，解决现有黑臭水体问题</w:t>
                  </w:r>
                </w:p>
              </w:tc>
              <w:tc>
                <w:tcPr>
                  <w:tcW w:w="451" w:type="pct"/>
                  <w:vAlign w:val="center"/>
                </w:tcPr>
                <w:p w14:paraId="6E9E327E">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r w14:paraId="4674F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781A6C85">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5ED040D1">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b w:val="0"/>
                      <w:bCs w:val="0"/>
                      <w:sz w:val="21"/>
                      <w:szCs w:val="21"/>
                      <w:u w:val="single"/>
                      <w:vertAlign w:val="baseline"/>
                      <w:lang w:eastAsia="zh-CN"/>
                    </w:rPr>
                    <w:t>石咀内涝点</w:t>
                  </w:r>
                </w:p>
              </w:tc>
              <w:tc>
                <w:tcPr>
                  <w:tcW w:w="3183" w:type="pct"/>
                  <w:gridSpan w:val="2"/>
                  <w:vAlign w:val="top"/>
                </w:tcPr>
                <w:p w14:paraId="2CF9E44A">
                  <w:pPr>
                    <w:keepNext w:val="0"/>
                    <w:keepLines w:val="0"/>
                    <w:suppressLineNumbers w:val="0"/>
                    <w:spacing w:before="0" w:beforeAutospacing="0" w:after="0" w:afterAutospacing="0" w:line="240" w:lineRule="auto"/>
                    <w:ind w:left="0" w:right="0"/>
                    <w:rPr>
                      <w:rFonts w:hint="eastAsia" w:eastAsia="宋体"/>
                      <w:color w:val="auto"/>
                      <w:sz w:val="21"/>
                      <w:szCs w:val="21"/>
                      <w:u w:val="single"/>
                      <w:vertAlign w:val="baseline"/>
                      <w:lang w:eastAsia="zh-CN"/>
                    </w:rPr>
                  </w:pPr>
                  <w:r>
                    <w:rPr>
                      <w:rFonts w:hint="eastAsia"/>
                      <w:color w:val="auto"/>
                      <w:sz w:val="21"/>
                      <w:szCs w:val="21"/>
                      <w:u w:val="single"/>
                      <w:vertAlign w:val="baseline"/>
                    </w:rPr>
                    <w:t>新建400*600雨水沟103</w:t>
                  </w:r>
                  <w:r>
                    <w:rPr>
                      <w:rFonts w:hint="eastAsia"/>
                      <w:color w:val="auto"/>
                      <w:sz w:val="21"/>
                      <w:szCs w:val="21"/>
                      <w:u w:val="single"/>
                      <w:vertAlign w:val="baseline"/>
                      <w:lang w:val="en-US" w:eastAsia="zh-CN"/>
                    </w:rPr>
                    <w:t>m</w:t>
                  </w:r>
                </w:p>
                <w:p w14:paraId="2C99CC90">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新建一体化提升泵后排入河道</w:t>
                  </w:r>
                </w:p>
              </w:tc>
              <w:tc>
                <w:tcPr>
                  <w:tcW w:w="451" w:type="pct"/>
                  <w:vAlign w:val="center"/>
                </w:tcPr>
                <w:p w14:paraId="1D9B13B8">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r w14:paraId="32F9D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2" w:type="pct"/>
                  <w:vMerge w:val="continue"/>
                  <w:vAlign w:val="center"/>
                </w:tcPr>
                <w:p w14:paraId="59786EBE">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p>
              </w:tc>
              <w:tc>
                <w:tcPr>
                  <w:tcW w:w="1093" w:type="pct"/>
                  <w:vAlign w:val="center"/>
                </w:tcPr>
                <w:p w14:paraId="154DE1BA">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single"/>
                      <w:vertAlign w:val="baseline"/>
                      <w:lang w:eastAsia="zh-CN"/>
                    </w:rPr>
                  </w:pPr>
                  <w:r>
                    <w:rPr>
                      <w:rFonts w:hint="default" w:ascii="Times New Roman" w:hAnsi="Times New Roman" w:eastAsia="宋体" w:cs="Times New Roman"/>
                      <w:b w:val="0"/>
                      <w:bCs w:val="0"/>
                      <w:sz w:val="21"/>
                      <w:szCs w:val="21"/>
                      <w:u w:val="single"/>
                      <w:vertAlign w:val="baseline"/>
                      <w:lang w:eastAsia="zh-CN"/>
                    </w:rPr>
                    <w:t>工业园</w:t>
                  </w:r>
                </w:p>
              </w:tc>
              <w:tc>
                <w:tcPr>
                  <w:tcW w:w="3183" w:type="pct"/>
                  <w:gridSpan w:val="2"/>
                  <w:vAlign w:val="top"/>
                </w:tcPr>
                <w:p w14:paraId="6F73A21A">
                  <w:pPr>
                    <w:keepNext w:val="0"/>
                    <w:keepLines w:val="0"/>
                    <w:suppressLineNumbers w:val="0"/>
                    <w:spacing w:before="0" w:beforeAutospacing="0" w:after="0" w:afterAutospacing="0" w:line="240" w:lineRule="auto"/>
                    <w:ind w:left="0" w:leftChars="0" w:right="0" w:rightChars="0"/>
                    <w:rPr>
                      <w:rFonts w:hint="eastAsia"/>
                      <w:color w:val="auto"/>
                      <w:sz w:val="21"/>
                      <w:szCs w:val="21"/>
                      <w:u w:val="single"/>
                      <w:vertAlign w:val="baseline"/>
                      <w:lang w:val="en-US" w:eastAsia="zh-CN"/>
                    </w:rPr>
                  </w:pPr>
                  <w:r>
                    <w:rPr>
                      <w:rFonts w:hint="eastAsia"/>
                      <w:color w:val="auto"/>
                      <w:sz w:val="21"/>
                      <w:szCs w:val="21"/>
                      <w:u w:val="single"/>
                      <w:vertAlign w:val="baseline"/>
                    </w:rPr>
                    <w:t>新建600*800雨水沟649</w:t>
                  </w:r>
                  <w:r>
                    <w:rPr>
                      <w:rFonts w:hint="eastAsia"/>
                      <w:color w:val="auto"/>
                      <w:sz w:val="21"/>
                      <w:szCs w:val="21"/>
                      <w:u w:val="single"/>
                      <w:vertAlign w:val="baseline"/>
                      <w:lang w:val="en-US" w:eastAsia="zh-CN"/>
                    </w:rPr>
                    <w:t>m</w:t>
                  </w:r>
                </w:p>
                <w:p w14:paraId="1356798B">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rPr>
                    <w:t>接入南侧现有雨水沟</w:t>
                  </w:r>
                </w:p>
              </w:tc>
              <w:tc>
                <w:tcPr>
                  <w:tcW w:w="451" w:type="pct"/>
                  <w:vAlign w:val="center"/>
                </w:tcPr>
                <w:p w14:paraId="682EBAD3">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u w:val="single"/>
                      <w:vertAlign w:val="baseline"/>
                    </w:rPr>
                  </w:pPr>
                  <w:r>
                    <w:rPr>
                      <w:rFonts w:hint="eastAsia"/>
                      <w:sz w:val="21"/>
                      <w:szCs w:val="21"/>
                      <w:u w:val="single"/>
                      <w:vertAlign w:val="baseline"/>
                      <w:lang w:val="en-US" w:eastAsia="zh-CN"/>
                    </w:rPr>
                    <w:t>新建</w:t>
                  </w:r>
                </w:p>
              </w:tc>
            </w:tr>
          </w:tbl>
          <w:p w14:paraId="020E4209">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2" w:firstLineChars="200"/>
              <w:rPr>
                <w:rFonts w:hint="default"/>
                <w:b/>
                <w:bCs/>
                <w:color w:val="auto"/>
                <w:kern w:val="0"/>
                <w:sz w:val="24"/>
                <w:u w:val="single"/>
                <w:lang w:val="en-US" w:eastAsia="zh-CN"/>
              </w:rPr>
            </w:pPr>
            <w:r>
              <w:rPr>
                <w:rFonts w:hint="eastAsia"/>
                <w:b/>
                <w:bCs/>
                <w:color w:val="auto"/>
                <w:kern w:val="0"/>
                <w:sz w:val="24"/>
                <w:u w:val="single"/>
                <w:lang w:val="en-US" w:eastAsia="zh-CN"/>
              </w:rPr>
              <w:t>2.2.2防洪治涝标准</w:t>
            </w:r>
          </w:p>
          <w:p w14:paraId="561FE15F">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u w:val="single"/>
                <w:lang w:val="en-US" w:eastAsia="zh-CN"/>
              </w:rPr>
            </w:pPr>
            <w:r>
              <w:rPr>
                <w:rFonts w:hint="eastAsia"/>
                <w:b w:val="0"/>
                <w:bCs w:val="0"/>
                <w:color w:val="auto"/>
                <w:kern w:val="0"/>
                <w:sz w:val="24"/>
                <w:u w:val="single"/>
                <w:lang w:val="en-US" w:eastAsia="zh-CN"/>
              </w:rPr>
              <w:t>根据《临湘市十四五水利发展规划》内容确定本片区的防洪标准为20年一遇24小时暴雨4小时排干。</w:t>
            </w:r>
          </w:p>
          <w:p w14:paraId="13255DAD">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420" w:leftChars="200" w:right="0" w:rightChars="0"/>
              <w:rPr>
                <w:rFonts w:hint="default"/>
                <w:b/>
                <w:bCs/>
                <w:color w:val="auto"/>
                <w:kern w:val="0"/>
                <w:sz w:val="24"/>
                <w:u w:val="none"/>
                <w:lang w:val="en-US" w:eastAsia="zh-CN"/>
              </w:rPr>
            </w:pPr>
            <w:r>
              <w:rPr>
                <w:rFonts w:hint="eastAsia"/>
                <w:b/>
                <w:bCs/>
                <w:color w:val="auto"/>
                <w:kern w:val="0"/>
                <w:sz w:val="24"/>
                <w:u w:val="none"/>
                <w:lang w:val="en-US" w:eastAsia="zh-CN"/>
              </w:rPr>
              <w:t>2.3 项目组成</w:t>
            </w:r>
          </w:p>
          <w:p w14:paraId="3A501D05">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420" w:leftChars="200" w:right="0" w:rightChars="0"/>
              <w:rPr>
                <w:rFonts w:hint="eastAsia"/>
                <w:b w:val="0"/>
                <w:bCs w:val="0"/>
                <w:color w:val="FF0000"/>
                <w:kern w:val="0"/>
                <w:sz w:val="24"/>
                <w:u w:val="none"/>
                <w:lang w:val="en-US" w:eastAsia="zh-CN"/>
              </w:rPr>
            </w:pPr>
            <w:r>
              <w:rPr>
                <w:rFonts w:hint="eastAsia"/>
                <w:b w:val="0"/>
                <w:bCs w:val="0"/>
                <w:color w:val="auto"/>
                <w:kern w:val="0"/>
                <w:sz w:val="24"/>
                <w:u w:val="none"/>
                <w:lang w:val="en-US" w:eastAsia="zh-CN"/>
              </w:rPr>
              <w:t>本项目组成及建设内容详见下表。</w:t>
            </w:r>
          </w:p>
          <w:p w14:paraId="4AE5543B">
            <w:pPr>
              <w:pStyle w:val="7"/>
              <w:keepNext w:val="0"/>
              <w:keepLines w:val="0"/>
              <w:suppressLineNumbers w:val="0"/>
              <w:spacing w:before="0" w:beforeAutospacing="0" w:after="0" w:afterAutospacing="0" w:line="360" w:lineRule="exact"/>
              <w:ind w:left="0" w:right="0"/>
              <w:rPr>
                <w:rFonts w:hint="default" w:ascii="Times New Roman" w:hAnsi="Times New Roman"/>
                <w:color w:val="auto"/>
                <w:sz w:val="21"/>
                <w:u w:val="single"/>
              </w:rPr>
            </w:pPr>
            <w:r>
              <w:rPr>
                <w:rFonts w:hint="eastAsia" w:ascii="Times New Roman" w:hAnsi="Times New Roman"/>
                <w:color w:val="auto"/>
                <w:sz w:val="21"/>
                <w:u w:val="single"/>
              </w:rPr>
              <w:t>表2-</w:t>
            </w:r>
            <w:r>
              <w:rPr>
                <w:rFonts w:hint="eastAsia" w:ascii="Times New Roman" w:hAnsi="Times New Roman"/>
                <w:color w:val="auto"/>
                <w:sz w:val="21"/>
                <w:u w:val="single"/>
                <w:lang w:val="en-US" w:eastAsia="zh-CN"/>
              </w:rPr>
              <w:t>2  本</w:t>
            </w:r>
            <w:r>
              <w:rPr>
                <w:rFonts w:hint="eastAsia" w:ascii="Times New Roman" w:hAnsi="Times New Roman"/>
                <w:color w:val="auto"/>
                <w:sz w:val="21"/>
                <w:u w:val="single"/>
              </w:rPr>
              <w:t>项目</w:t>
            </w:r>
            <w:r>
              <w:rPr>
                <w:rFonts w:hint="eastAsia" w:ascii="Times New Roman" w:hAnsi="Times New Roman"/>
                <w:color w:val="auto"/>
                <w:sz w:val="21"/>
                <w:u w:val="single"/>
                <w:lang w:val="en-US" w:eastAsia="zh-CN"/>
              </w:rPr>
              <w:t>组成及</w:t>
            </w:r>
            <w:r>
              <w:rPr>
                <w:rFonts w:hint="eastAsia" w:ascii="Times New Roman" w:hAnsi="Times New Roman"/>
                <w:color w:val="auto"/>
                <w:sz w:val="21"/>
                <w:u w:val="single"/>
              </w:rPr>
              <w:t>建设内容一览表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441"/>
              <w:gridCol w:w="529"/>
              <w:gridCol w:w="3917"/>
              <w:gridCol w:w="2270"/>
            </w:tblGrid>
            <w:tr w14:paraId="512B9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shd w:val="clear" w:color="auto" w:fill="auto"/>
                  <w:vAlign w:val="center"/>
                </w:tcPr>
                <w:p w14:paraId="7B7D0D1E">
                  <w:pPr>
                    <w:keepNext w:val="0"/>
                    <w:keepLines w:val="0"/>
                    <w:suppressLineNumbers w:val="0"/>
                    <w:adjustRightInd w:val="0"/>
                    <w:snapToGrid w:val="0"/>
                    <w:spacing w:before="0" w:beforeAutospacing="0" w:after="0" w:afterAutospacing="0" w:line="240" w:lineRule="auto"/>
                    <w:ind w:left="0" w:right="0"/>
                    <w:jc w:val="center"/>
                    <w:rPr>
                      <w:rFonts w:hint="default"/>
                      <w:b/>
                      <w:bCs/>
                      <w:color w:val="auto"/>
                      <w:kern w:val="0"/>
                      <w:sz w:val="21"/>
                      <w:szCs w:val="21"/>
                      <w:u w:val="single"/>
                    </w:rPr>
                  </w:pPr>
                  <w:r>
                    <w:rPr>
                      <w:rFonts w:hint="eastAsia"/>
                      <w:b/>
                      <w:bCs/>
                      <w:color w:val="auto"/>
                      <w:kern w:val="0"/>
                      <w:sz w:val="21"/>
                      <w:szCs w:val="21"/>
                      <w:u w:val="single"/>
                    </w:rPr>
                    <w:t>工程类别</w:t>
                  </w:r>
                </w:p>
              </w:tc>
              <w:tc>
                <w:tcPr>
                  <w:tcW w:w="618" w:type="pct"/>
                  <w:gridSpan w:val="2"/>
                  <w:shd w:val="clear" w:color="auto" w:fill="auto"/>
                  <w:vAlign w:val="center"/>
                </w:tcPr>
                <w:p w14:paraId="37B0F9B4">
                  <w:pPr>
                    <w:keepNext w:val="0"/>
                    <w:keepLines w:val="0"/>
                    <w:suppressLineNumbers w:val="0"/>
                    <w:adjustRightInd w:val="0"/>
                    <w:snapToGrid w:val="0"/>
                    <w:spacing w:before="0" w:beforeAutospacing="0" w:after="0" w:afterAutospacing="0" w:line="240" w:lineRule="auto"/>
                    <w:ind w:left="0" w:right="0"/>
                    <w:jc w:val="center"/>
                    <w:rPr>
                      <w:rFonts w:hint="default"/>
                      <w:b/>
                      <w:bCs/>
                      <w:color w:val="auto"/>
                      <w:kern w:val="0"/>
                      <w:sz w:val="21"/>
                      <w:szCs w:val="21"/>
                      <w:u w:val="single"/>
                    </w:rPr>
                  </w:pPr>
                  <w:r>
                    <w:rPr>
                      <w:rFonts w:hint="eastAsia"/>
                      <w:b/>
                      <w:bCs/>
                      <w:color w:val="auto"/>
                      <w:kern w:val="0"/>
                      <w:sz w:val="21"/>
                      <w:szCs w:val="21"/>
                      <w:u w:val="single"/>
                    </w:rPr>
                    <w:t>名称</w:t>
                  </w:r>
                </w:p>
              </w:tc>
              <w:tc>
                <w:tcPr>
                  <w:tcW w:w="2495" w:type="pct"/>
                  <w:shd w:val="clear" w:color="auto" w:fill="auto"/>
                  <w:vAlign w:val="center"/>
                </w:tcPr>
                <w:p w14:paraId="573DF4E8">
                  <w:pPr>
                    <w:keepNext w:val="0"/>
                    <w:keepLines w:val="0"/>
                    <w:suppressLineNumbers w:val="0"/>
                    <w:adjustRightInd w:val="0"/>
                    <w:snapToGrid w:val="0"/>
                    <w:spacing w:before="0" w:beforeAutospacing="0" w:after="0" w:afterAutospacing="0" w:line="240" w:lineRule="auto"/>
                    <w:ind w:left="0" w:right="0"/>
                    <w:jc w:val="center"/>
                    <w:rPr>
                      <w:rFonts w:hint="eastAsia" w:eastAsia="宋体"/>
                      <w:b/>
                      <w:bCs/>
                      <w:color w:val="auto"/>
                      <w:kern w:val="0"/>
                      <w:sz w:val="21"/>
                      <w:szCs w:val="21"/>
                      <w:u w:val="single"/>
                      <w:lang w:eastAsia="zh-CN"/>
                    </w:rPr>
                  </w:pPr>
                  <w:r>
                    <w:rPr>
                      <w:rFonts w:hint="eastAsia"/>
                      <w:b/>
                      <w:bCs/>
                      <w:color w:val="auto"/>
                      <w:kern w:val="0"/>
                      <w:sz w:val="21"/>
                      <w:szCs w:val="21"/>
                      <w:u w:val="single"/>
                      <w:lang w:eastAsia="zh-CN"/>
                    </w:rPr>
                    <w:t>工程内容</w:t>
                  </w:r>
                </w:p>
              </w:tc>
              <w:tc>
                <w:tcPr>
                  <w:tcW w:w="1446" w:type="pct"/>
                  <w:shd w:val="clear" w:color="auto" w:fill="auto"/>
                  <w:vAlign w:val="center"/>
                </w:tcPr>
                <w:p w14:paraId="1C390283">
                  <w:pPr>
                    <w:keepNext w:val="0"/>
                    <w:keepLines w:val="0"/>
                    <w:suppressLineNumbers w:val="0"/>
                    <w:adjustRightInd w:val="0"/>
                    <w:snapToGrid w:val="0"/>
                    <w:spacing w:before="0" w:beforeAutospacing="0" w:after="0" w:afterAutospacing="0" w:line="240" w:lineRule="auto"/>
                    <w:ind w:left="0" w:right="0"/>
                    <w:jc w:val="center"/>
                    <w:rPr>
                      <w:rFonts w:hint="default"/>
                      <w:b/>
                      <w:bCs/>
                      <w:color w:val="auto"/>
                      <w:kern w:val="0"/>
                      <w:sz w:val="21"/>
                      <w:szCs w:val="21"/>
                      <w:u w:val="single"/>
                    </w:rPr>
                  </w:pPr>
                  <w:r>
                    <w:rPr>
                      <w:rFonts w:hint="eastAsia"/>
                      <w:b/>
                      <w:bCs/>
                      <w:color w:val="auto"/>
                      <w:kern w:val="0"/>
                      <w:sz w:val="21"/>
                      <w:szCs w:val="21"/>
                      <w:u w:val="single"/>
                    </w:rPr>
                    <w:t>备注</w:t>
                  </w:r>
                </w:p>
              </w:tc>
            </w:tr>
            <w:tr w14:paraId="45A10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restart"/>
                  <w:shd w:val="clear" w:color="auto" w:fill="auto"/>
                  <w:vAlign w:val="center"/>
                </w:tcPr>
                <w:p w14:paraId="79DCFA6C">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single"/>
                    </w:rPr>
                  </w:pPr>
                  <w:r>
                    <w:rPr>
                      <w:rFonts w:hint="eastAsia"/>
                      <w:color w:val="auto"/>
                      <w:kern w:val="0"/>
                      <w:sz w:val="21"/>
                      <w:szCs w:val="21"/>
                      <w:u w:val="single"/>
                    </w:rPr>
                    <w:t>主体工程</w:t>
                  </w:r>
                </w:p>
              </w:tc>
              <w:tc>
                <w:tcPr>
                  <w:tcW w:w="618" w:type="pct"/>
                  <w:gridSpan w:val="2"/>
                  <w:vMerge w:val="restart"/>
                  <w:shd w:val="clear" w:color="auto" w:fill="auto"/>
                  <w:vAlign w:val="center"/>
                </w:tcPr>
                <w:p w14:paraId="08A7C678">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single"/>
                    </w:rPr>
                  </w:pPr>
                  <w:r>
                    <w:rPr>
                      <w:rFonts w:hint="default"/>
                      <w:color w:val="auto"/>
                      <w:kern w:val="0"/>
                      <w:sz w:val="21"/>
                      <w:szCs w:val="21"/>
                      <w:u w:val="single"/>
                    </w:rPr>
                    <w:t>雨水行泄通道工程</w:t>
                  </w:r>
                </w:p>
              </w:tc>
              <w:tc>
                <w:tcPr>
                  <w:tcW w:w="2495" w:type="pct"/>
                  <w:shd w:val="clear" w:color="auto" w:fill="auto"/>
                  <w:vAlign w:val="center"/>
                </w:tcPr>
                <w:p w14:paraId="644F2B51">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u w:val="single"/>
                      <w:lang w:val="en-US" w:eastAsia="zh-CN"/>
                    </w:rPr>
                  </w:pPr>
                  <w:r>
                    <w:rPr>
                      <w:rFonts w:hint="default"/>
                      <w:color w:val="auto"/>
                      <w:kern w:val="0"/>
                      <w:sz w:val="21"/>
                      <w:szCs w:val="21"/>
                      <w:u w:val="single"/>
                    </w:rPr>
                    <w:t>长安河上游</w:t>
                  </w:r>
                  <w:r>
                    <w:rPr>
                      <w:rFonts w:hint="eastAsia"/>
                      <w:color w:val="auto"/>
                      <w:kern w:val="0"/>
                      <w:sz w:val="21"/>
                      <w:szCs w:val="21"/>
                      <w:u w:val="single"/>
                      <w:lang w:val="en-US" w:eastAsia="zh-CN"/>
                    </w:rPr>
                    <w:t>清淤工程及护坡修复工程</w:t>
                  </w:r>
                </w:p>
              </w:tc>
              <w:tc>
                <w:tcPr>
                  <w:tcW w:w="1446" w:type="pct"/>
                  <w:shd w:val="clear" w:color="auto" w:fill="auto"/>
                  <w:vAlign w:val="center"/>
                </w:tcPr>
                <w:p w14:paraId="3C70A5AA">
                  <w:pPr>
                    <w:keepNext w:val="0"/>
                    <w:keepLines w:val="0"/>
                    <w:suppressLineNumbers w:val="0"/>
                    <w:adjustRightInd w:val="0"/>
                    <w:snapToGrid w:val="0"/>
                    <w:spacing w:before="0" w:beforeAutospacing="0" w:after="0" w:afterAutospacing="0" w:line="240" w:lineRule="auto"/>
                    <w:ind w:left="0" w:right="0"/>
                    <w:jc w:val="left"/>
                    <w:rPr>
                      <w:rFonts w:hint="eastAsia" w:eastAsia="宋体"/>
                      <w:color w:val="FF0000"/>
                      <w:kern w:val="0"/>
                      <w:sz w:val="21"/>
                      <w:szCs w:val="21"/>
                      <w:u w:val="single"/>
                      <w:lang w:eastAsia="zh-CN"/>
                    </w:rPr>
                  </w:pPr>
                  <w:r>
                    <w:rPr>
                      <w:rFonts w:hint="eastAsia"/>
                      <w:color w:val="auto"/>
                      <w:kern w:val="0"/>
                      <w:sz w:val="21"/>
                      <w:szCs w:val="21"/>
                      <w:u w:val="single"/>
                      <w:lang w:val="en-US" w:eastAsia="zh-CN"/>
                    </w:rPr>
                    <w:t>清淤船及打捞船清淤，浆砌片石挡土墙护坡及镀高尔凡雷诺护坡</w:t>
                  </w:r>
                </w:p>
              </w:tc>
            </w:tr>
            <w:tr w14:paraId="0D02B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6DACC21C">
                  <w:pPr>
                    <w:keepNext w:val="0"/>
                    <w:keepLines w:val="0"/>
                    <w:suppressLineNumbers w:val="0"/>
                    <w:adjustRightInd w:val="0"/>
                    <w:snapToGrid w:val="0"/>
                    <w:spacing w:before="0" w:beforeAutospacing="0" w:after="0" w:afterAutospacing="0" w:line="240" w:lineRule="auto"/>
                    <w:ind w:left="0" w:right="0"/>
                    <w:jc w:val="center"/>
                    <w:rPr>
                      <w:rFonts w:hint="eastAsia"/>
                      <w:color w:val="auto"/>
                      <w:kern w:val="0"/>
                      <w:sz w:val="21"/>
                      <w:szCs w:val="21"/>
                      <w:u w:val="single"/>
                    </w:rPr>
                  </w:pPr>
                </w:p>
              </w:tc>
              <w:tc>
                <w:tcPr>
                  <w:tcW w:w="618" w:type="pct"/>
                  <w:gridSpan w:val="2"/>
                  <w:vMerge w:val="continue"/>
                  <w:shd w:val="clear" w:color="auto" w:fill="auto"/>
                  <w:vAlign w:val="center"/>
                </w:tcPr>
                <w:p w14:paraId="244F2E50">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single"/>
                    </w:rPr>
                  </w:pPr>
                </w:p>
              </w:tc>
              <w:tc>
                <w:tcPr>
                  <w:tcW w:w="2495" w:type="pct"/>
                  <w:shd w:val="clear" w:color="auto" w:fill="auto"/>
                  <w:vAlign w:val="center"/>
                </w:tcPr>
                <w:p w14:paraId="5DB19640">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rPr>
                  </w:pPr>
                  <w:r>
                    <w:rPr>
                      <w:rFonts w:hint="default"/>
                      <w:color w:val="auto"/>
                      <w:kern w:val="0"/>
                      <w:sz w:val="21"/>
                      <w:szCs w:val="21"/>
                      <w:u w:val="single"/>
                    </w:rPr>
                    <w:t>长安河下游</w:t>
                  </w:r>
                  <w:r>
                    <w:rPr>
                      <w:rFonts w:hint="eastAsia"/>
                      <w:color w:val="auto"/>
                      <w:kern w:val="0"/>
                      <w:sz w:val="21"/>
                      <w:szCs w:val="21"/>
                      <w:u w:val="single"/>
                      <w:lang w:val="en-US" w:eastAsia="zh-CN"/>
                    </w:rPr>
                    <w:t>清淤工程及护坡修复工程</w:t>
                  </w:r>
                </w:p>
              </w:tc>
              <w:tc>
                <w:tcPr>
                  <w:tcW w:w="1446" w:type="pct"/>
                  <w:vMerge w:val="restart"/>
                  <w:shd w:val="clear" w:color="auto" w:fill="auto"/>
                  <w:vAlign w:val="center"/>
                </w:tcPr>
                <w:p w14:paraId="2099F4E1">
                  <w:pPr>
                    <w:keepNext w:val="0"/>
                    <w:keepLines w:val="0"/>
                    <w:suppressLineNumbers w:val="0"/>
                    <w:adjustRightInd w:val="0"/>
                    <w:snapToGrid w:val="0"/>
                    <w:spacing w:before="0" w:beforeAutospacing="0" w:after="0" w:afterAutospacing="0" w:line="240" w:lineRule="auto"/>
                    <w:ind w:left="0" w:right="0"/>
                    <w:jc w:val="left"/>
                    <w:rPr>
                      <w:rFonts w:hint="eastAsia"/>
                      <w:color w:val="auto"/>
                      <w:kern w:val="0"/>
                      <w:sz w:val="21"/>
                      <w:szCs w:val="21"/>
                      <w:u w:val="single"/>
                      <w:lang w:val="en-US" w:eastAsia="zh-CN"/>
                    </w:rPr>
                  </w:pPr>
                  <w:r>
                    <w:rPr>
                      <w:rFonts w:hint="eastAsia"/>
                      <w:color w:val="auto"/>
                      <w:kern w:val="0"/>
                      <w:sz w:val="21"/>
                      <w:szCs w:val="21"/>
                      <w:u w:val="single"/>
                      <w:lang w:val="en-US" w:eastAsia="zh-CN"/>
                    </w:rPr>
                    <w:t>清淤船及打捞船清淤，浆砌片石挡土墙护坡</w:t>
                  </w:r>
                </w:p>
              </w:tc>
            </w:tr>
            <w:tr w14:paraId="63A85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13F971E1">
                  <w:pPr>
                    <w:keepNext w:val="0"/>
                    <w:keepLines w:val="0"/>
                    <w:suppressLineNumbers w:val="0"/>
                    <w:adjustRightInd w:val="0"/>
                    <w:snapToGrid w:val="0"/>
                    <w:spacing w:before="0" w:beforeAutospacing="0" w:after="0" w:afterAutospacing="0" w:line="240" w:lineRule="auto"/>
                    <w:ind w:left="0" w:right="0"/>
                    <w:jc w:val="center"/>
                    <w:rPr>
                      <w:rFonts w:hint="eastAsia"/>
                      <w:color w:val="auto"/>
                      <w:kern w:val="0"/>
                      <w:sz w:val="21"/>
                      <w:szCs w:val="21"/>
                      <w:u w:val="single"/>
                    </w:rPr>
                  </w:pPr>
                </w:p>
              </w:tc>
              <w:tc>
                <w:tcPr>
                  <w:tcW w:w="618" w:type="pct"/>
                  <w:gridSpan w:val="2"/>
                  <w:vMerge w:val="continue"/>
                  <w:shd w:val="clear" w:color="auto" w:fill="auto"/>
                  <w:vAlign w:val="center"/>
                </w:tcPr>
                <w:p w14:paraId="645C0191">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single"/>
                    </w:rPr>
                  </w:pPr>
                </w:p>
              </w:tc>
              <w:tc>
                <w:tcPr>
                  <w:tcW w:w="2495" w:type="pct"/>
                  <w:shd w:val="clear" w:color="auto" w:fill="auto"/>
                  <w:vAlign w:val="center"/>
                </w:tcPr>
                <w:p w14:paraId="7F6E2587">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rPr>
                    <w:t>铁路沿线明渠</w:t>
                  </w:r>
                  <w:r>
                    <w:rPr>
                      <w:rFonts w:hint="eastAsia"/>
                      <w:color w:val="auto"/>
                      <w:kern w:val="0"/>
                      <w:sz w:val="21"/>
                      <w:szCs w:val="21"/>
                      <w:u w:val="single"/>
                      <w:lang w:val="en-US" w:eastAsia="zh-CN"/>
                    </w:rPr>
                    <w:t>清淤及护坡修复工程</w:t>
                  </w:r>
                </w:p>
              </w:tc>
              <w:tc>
                <w:tcPr>
                  <w:tcW w:w="1446" w:type="pct"/>
                  <w:vMerge w:val="continue"/>
                  <w:shd w:val="clear" w:color="auto" w:fill="auto"/>
                  <w:vAlign w:val="center"/>
                </w:tcPr>
                <w:p w14:paraId="0C437C25">
                  <w:pPr>
                    <w:keepNext w:val="0"/>
                    <w:keepLines w:val="0"/>
                    <w:suppressLineNumbers w:val="0"/>
                    <w:adjustRightInd w:val="0"/>
                    <w:snapToGrid w:val="0"/>
                    <w:spacing w:before="0" w:beforeAutospacing="0" w:after="0" w:afterAutospacing="0" w:line="240" w:lineRule="auto"/>
                    <w:ind w:left="0" w:right="0"/>
                    <w:jc w:val="left"/>
                    <w:rPr>
                      <w:rFonts w:hint="eastAsia"/>
                      <w:color w:val="auto"/>
                      <w:kern w:val="0"/>
                      <w:sz w:val="21"/>
                      <w:szCs w:val="21"/>
                      <w:u w:val="single"/>
                      <w:lang w:val="en-US" w:eastAsia="zh-CN"/>
                    </w:rPr>
                  </w:pPr>
                </w:p>
              </w:tc>
            </w:tr>
            <w:tr w14:paraId="71F91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439" w:type="pct"/>
                  <w:vMerge w:val="continue"/>
                  <w:shd w:val="clear" w:color="auto" w:fill="auto"/>
                  <w:vAlign w:val="center"/>
                </w:tcPr>
                <w:p w14:paraId="52BE678B">
                  <w:pPr>
                    <w:keepNext w:val="0"/>
                    <w:keepLines w:val="0"/>
                    <w:suppressLineNumbers w:val="0"/>
                    <w:adjustRightInd w:val="0"/>
                    <w:snapToGrid w:val="0"/>
                    <w:spacing w:before="0" w:beforeAutospacing="0" w:after="0" w:afterAutospacing="0" w:line="240" w:lineRule="auto"/>
                    <w:ind w:left="0" w:right="0"/>
                    <w:jc w:val="center"/>
                    <w:rPr>
                      <w:rFonts w:hint="eastAsia"/>
                      <w:color w:val="auto"/>
                      <w:kern w:val="0"/>
                      <w:sz w:val="21"/>
                      <w:szCs w:val="21"/>
                      <w:u w:val="single"/>
                    </w:rPr>
                  </w:pPr>
                </w:p>
              </w:tc>
              <w:tc>
                <w:tcPr>
                  <w:tcW w:w="618" w:type="pct"/>
                  <w:gridSpan w:val="2"/>
                  <w:vMerge w:val="continue"/>
                  <w:shd w:val="clear" w:color="auto" w:fill="auto"/>
                  <w:vAlign w:val="center"/>
                </w:tcPr>
                <w:p w14:paraId="21A38A21">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single"/>
                    </w:rPr>
                  </w:pPr>
                </w:p>
              </w:tc>
              <w:tc>
                <w:tcPr>
                  <w:tcW w:w="2495" w:type="pct"/>
                  <w:shd w:val="clear" w:color="auto" w:fill="auto"/>
                  <w:vAlign w:val="center"/>
                </w:tcPr>
                <w:p w14:paraId="23D997CF">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u w:val="single"/>
                      <w:lang w:val="en-US" w:eastAsia="zh-CN"/>
                    </w:rPr>
                  </w:pPr>
                  <w:r>
                    <w:rPr>
                      <w:rFonts w:hint="default"/>
                      <w:color w:val="auto"/>
                      <w:kern w:val="0"/>
                      <w:sz w:val="21"/>
                      <w:szCs w:val="21"/>
                      <w:u w:val="single"/>
                    </w:rPr>
                    <w:t>师家河</w:t>
                  </w:r>
                  <w:r>
                    <w:rPr>
                      <w:rFonts w:hint="eastAsia"/>
                      <w:color w:val="auto"/>
                      <w:kern w:val="0"/>
                      <w:sz w:val="21"/>
                      <w:szCs w:val="21"/>
                      <w:u w:val="single"/>
                      <w:lang w:val="en-US" w:eastAsia="zh-CN"/>
                    </w:rPr>
                    <w:t>清淤、护坡及边坡修整工程</w:t>
                  </w:r>
                </w:p>
              </w:tc>
              <w:tc>
                <w:tcPr>
                  <w:tcW w:w="1446" w:type="pct"/>
                  <w:vMerge w:val="continue"/>
                  <w:shd w:val="clear" w:color="auto" w:fill="auto"/>
                  <w:vAlign w:val="center"/>
                </w:tcPr>
                <w:p w14:paraId="52E6F13D">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u w:val="single"/>
                      <w:lang w:val="en-US" w:eastAsia="zh-CN"/>
                    </w:rPr>
                  </w:pPr>
                </w:p>
              </w:tc>
            </w:tr>
            <w:tr w14:paraId="039B2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439" w:type="pct"/>
                  <w:vMerge w:val="continue"/>
                  <w:shd w:val="clear" w:color="auto" w:fill="auto"/>
                  <w:vAlign w:val="center"/>
                </w:tcPr>
                <w:p w14:paraId="0BD103FB">
                  <w:pPr>
                    <w:keepNext w:val="0"/>
                    <w:keepLines w:val="0"/>
                    <w:suppressLineNumbers w:val="0"/>
                    <w:adjustRightInd w:val="0"/>
                    <w:snapToGrid w:val="0"/>
                    <w:spacing w:before="0" w:beforeAutospacing="0" w:after="0" w:afterAutospacing="0" w:line="240" w:lineRule="auto"/>
                    <w:ind w:left="0" w:right="0"/>
                    <w:jc w:val="center"/>
                    <w:rPr>
                      <w:rFonts w:hint="eastAsia"/>
                      <w:color w:val="auto"/>
                      <w:kern w:val="0"/>
                      <w:sz w:val="21"/>
                      <w:szCs w:val="21"/>
                      <w:u w:val="single"/>
                    </w:rPr>
                  </w:pPr>
                </w:p>
              </w:tc>
              <w:tc>
                <w:tcPr>
                  <w:tcW w:w="618" w:type="pct"/>
                  <w:gridSpan w:val="2"/>
                  <w:vMerge w:val="continue"/>
                  <w:shd w:val="clear" w:color="auto" w:fill="auto"/>
                  <w:vAlign w:val="center"/>
                </w:tcPr>
                <w:p w14:paraId="10DE69A8">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single"/>
                    </w:rPr>
                  </w:pPr>
                </w:p>
              </w:tc>
              <w:tc>
                <w:tcPr>
                  <w:tcW w:w="2495" w:type="pct"/>
                  <w:shd w:val="clear" w:color="auto" w:fill="auto"/>
                  <w:vAlign w:val="center"/>
                </w:tcPr>
                <w:p w14:paraId="15AC611E">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u w:val="single"/>
                      <w:lang w:val="en-US" w:eastAsia="zh-CN"/>
                    </w:rPr>
                  </w:pPr>
                  <w:r>
                    <w:rPr>
                      <w:rFonts w:hint="default"/>
                      <w:color w:val="auto"/>
                      <w:kern w:val="0"/>
                      <w:sz w:val="21"/>
                      <w:szCs w:val="21"/>
                      <w:u w:val="single"/>
                    </w:rPr>
                    <w:t>肖家堰</w:t>
                  </w:r>
                  <w:r>
                    <w:rPr>
                      <w:rFonts w:hint="eastAsia"/>
                      <w:color w:val="auto"/>
                      <w:kern w:val="0"/>
                      <w:sz w:val="21"/>
                      <w:szCs w:val="21"/>
                      <w:u w:val="single"/>
                      <w:lang w:val="en-US" w:eastAsia="zh-CN"/>
                    </w:rPr>
                    <w:t>清淤、护坡工程</w:t>
                  </w:r>
                </w:p>
              </w:tc>
              <w:tc>
                <w:tcPr>
                  <w:tcW w:w="1446" w:type="pct"/>
                  <w:shd w:val="clear" w:color="auto" w:fill="auto"/>
                  <w:vAlign w:val="center"/>
                </w:tcPr>
                <w:p w14:paraId="43092C16">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eastAsia"/>
                      <w:color w:val="auto"/>
                      <w:kern w:val="0"/>
                      <w:sz w:val="21"/>
                      <w:szCs w:val="21"/>
                      <w:u w:val="single"/>
                      <w:lang w:val="en-US" w:eastAsia="zh-CN"/>
                    </w:rPr>
                    <w:t>清淤船及打捞船清淤，浆砌片石挡土墙护坡及镀高尔凡雷诺护坡</w:t>
                  </w:r>
                </w:p>
              </w:tc>
            </w:tr>
            <w:tr w14:paraId="66775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439" w:type="pct"/>
                  <w:vMerge w:val="continue"/>
                  <w:shd w:val="clear" w:color="auto" w:fill="auto"/>
                  <w:vAlign w:val="center"/>
                </w:tcPr>
                <w:p w14:paraId="6359F45F">
                  <w:pPr>
                    <w:keepNext w:val="0"/>
                    <w:keepLines w:val="0"/>
                    <w:suppressLineNumbers w:val="0"/>
                    <w:adjustRightInd w:val="0"/>
                    <w:snapToGrid w:val="0"/>
                    <w:spacing w:before="0" w:beforeAutospacing="0" w:after="0" w:afterAutospacing="0" w:line="240" w:lineRule="auto"/>
                    <w:ind w:left="0" w:right="0"/>
                    <w:jc w:val="center"/>
                    <w:rPr>
                      <w:rFonts w:hint="eastAsia"/>
                      <w:color w:val="auto"/>
                      <w:kern w:val="0"/>
                      <w:sz w:val="21"/>
                      <w:szCs w:val="21"/>
                      <w:u w:val="single"/>
                    </w:rPr>
                  </w:pPr>
                </w:p>
              </w:tc>
              <w:tc>
                <w:tcPr>
                  <w:tcW w:w="618" w:type="pct"/>
                  <w:gridSpan w:val="2"/>
                  <w:vMerge w:val="continue"/>
                  <w:shd w:val="clear" w:color="auto" w:fill="auto"/>
                  <w:vAlign w:val="center"/>
                </w:tcPr>
                <w:p w14:paraId="4F399D8C">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single"/>
                    </w:rPr>
                  </w:pPr>
                </w:p>
              </w:tc>
              <w:tc>
                <w:tcPr>
                  <w:tcW w:w="2495" w:type="pct"/>
                  <w:shd w:val="clear" w:color="auto" w:fill="auto"/>
                  <w:vAlign w:val="center"/>
                </w:tcPr>
                <w:p w14:paraId="780242EB">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rPr>
                  </w:pPr>
                  <w:r>
                    <w:rPr>
                      <w:rFonts w:hint="default"/>
                      <w:color w:val="auto"/>
                      <w:kern w:val="0"/>
                      <w:sz w:val="21"/>
                      <w:szCs w:val="21"/>
                      <w:u w:val="single"/>
                    </w:rPr>
                    <w:t>上港溪支流</w:t>
                  </w:r>
                  <w:r>
                    <w:rPr>
                      <w:rFonts w:hint="eastAsia"/>
                      <w:color w:val="auto"/>
                      <w:kern w:val="0"/>
                      <w:sz w:val="21"/>
                      <w:szCs w:val="21"/>
                      <w:u w:val="single"/>
                      <w:lang w:val="en-US" w:eastAsia="zh-CN"/>
                    </w:rPr>
                    <w:t>一污水管道及雨水沟新建工程</w:t>
                  </w:r>
                </w:p>
              </w:tc>
              <w:tc>
                <w:tcPr>
                  <w:tcW w:w="1446" w:type="pct"/>
                  <w:shd w:val="clear" w:color="auto" w:fill="auto"/>
                  <w:vAlign w:val="center"/>
                </w:tcPr>
                <w:p w14:paraId="5BFA436C">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eastAsia="zh-CN"/>
                    </w:rPr>
                  </w:pPr>
                  <w:r>
                    <w:rPr>
                      <w:rFonts w:hint="eastAsia"/>
                      <w:color w:val="auto"/>
                      <w:kern w:val="0"/>
                      <w:sz w:val="21"/>
                      <w:szCs w:val="21"/>
                      <w:u w:val="single"/>
                      <w:lang w:val="en-US" w:eastAsia="zh-CN"/>
                    </w:rPr>
                    <w:t>雨水沟采用明挖，污水管根据现场施工确定</w:t>
                  </w:r>
                </w:p>
              </w:tc>
            </w:tr>
            <w:tr w14:paraId="40C83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53AFB3A5">
                  <w:pPr>
                    <w:keepNext w:val="0"/>
                    <w:keepLines w:val="0"/>
                    <w:suppressLineNumbers w:val="0"/>
                    <w:adjustRightInd w:val="0"/>
                    <w:snapToGrid w:val="0"/>
                    <w:spacing w:before="0" w:beforeAutospacing="0" w:after="0" w:afterAutospacing="0" w:line="240" w:lineRule="auto"/>
                    <w:ind w:left="0" w:right="0"/>
                    <w:jc w:val="left"/>
                    <w:rPr>
                      <w:rFonts w:hint="default"/>
                      <w:u w:val="single"/>
                    </w:rPr>
                  </w:pPr>
                </w:p>
              </w:tc>
              <w:tc>
                <w:tcPr>
                  <w:tcW w:w="618" w:type="pct"/>
                  <w:gridSpan w:val="2"/>
                  <w:vMerge w:val="continue"/>
                  <w:shd w:val="clear" w:color="auto" w:fill="auto"/>
                  <w:vAlign w:val="center"/>
                </w:tcPr>
                <w:p w14:paraId="7DB90BF8">
                  <w:pPr>
                    <w:keepNext w:val="0"/>
                    <w:keepLines w:val="0"/>
                    <w:suppressLineNumbers w:val="0"/>
                    <w:adjustRightInd w:val="0"/>
                    <w:snapToGrid w:val="0"/>
                    <w:spacing w:before="0" w:beforeAutospacing="0" w:after="0" w:afterAutospacing="0" w:line="240" w:lineRule="auto"/>
                    <w:ind w:left="0" w:right="0"/>
                    <w:jc w:val="left"/>
                    <w:rPr>
                      <w:rFonts w:hint="default"/>
                      <w:u w:val="single"/>
                    </w:rPr>
                  </w:pPr>
                </w:p>
              </w:tc>
              <w:tc>
                <w:tcPr>
                  <w:tcW w:w="2495" w:type="pct"/>
                  <w:shd w:val="clear" w:color="auto" w:fill="auto"/>
                  <w:vAlign w:val="center"/>
                </w:tcPr>
                <w:p w14:paraId="3F46E096">
                  <w:pPr>
                    <w:keepNext w:val="0"/>
                    <w:keepLines w:val="0"/>
                    <w:suppressLineNumbers w:val="0"/>
                    <w:spacing w:before="0" w:beforeAutospacing="0" w:after="0" w:afterAutospacing="0" w:line="240" w:lineRule="auto"/>
                    <w:ind w:left="0" w:right="0"/>
                    <w:rPr>
                      <w:rFonts w:hint="default"/>
                      <w:color w:val="auto"/>
                      <w:kern w:val="0"/>
                      <w:sz w:val="21"/>
                      <w:szCs w:val="21"/>
                      <w:u w:val="single"/>
                      <w:lang w:val="en-US"/>
                    </w:rPr>
                  </w:pPr>
                  <w:r>
                    <w:rPr>
                      <w:rFonts w:hint="default"/>
                      <w:color w:val="auto"/>
                      <w:kern w:val="0"/>
                      <w:sz w:val="21"/>
                      <w:szCs w:val="21"/>
                      <w:u w:val="single"/>
                    </w:rPr>
                    <w:t>上港溪支流</w:t>
                  </w:r>
                  <w:r>
                    <w:rPr>
                      <w:rFonts w:hint="eastAsia"/>
                      <w:color w:val="auto"/>
                      <w:kern w:val="0"/>
                      <w:sz w:val="21"/>
                      <w:szCs w:val="21"/>
                      <w:u w:val="single"/>
                      <w:lang w:val="en-US" w:eastAsia="zh-CN"/>
                    </w:rPr>
                    <w:t>二</w:t>
                  </w:r>
                  <w:r>
                    <w:rPr>
                      <w:rFonts w:hint="eastAsia"/>
                      <w:sz w:val="21"/>
                      <w:szCs w:val="21"/>
                      <w:u w:val="single"/>
                      <w:vertAlign w:val="baseline"/>
                    </w:rPr>
                    <w:t>雨水</w:t>
                  </w:r>
                  <w:r>
                    <w:rPr>
                      <w:rFonts w:hint="eastAsia"/>
                      <w:sz w:val="21"/>
                      <w:szCs w:val="21"/>
                      <w:u w:val="single"/>
                      <w:vertAlign w:val="baseline"/>
                      <w:lang w:val="en-US" w:eastAsia="zh-CN"/>
                    </w:rPr>
                    <w:t>管及</w:t>
                  </w:r>
                  <w:r>
                    <w:rPr>
                      <w:rFonts w:hint="eastAsia"/>
                      <w:sz w:val="21"/>
                      <w:szCs w:val="21"/>
                      <w:u w:val="single"/>
                      <w:vertAlign w:val="baseline"/>
                    </w:rPr>
                    <w:t>雨水</w:t>
                  </w:r>
                  <w:r>
                    <w:rPr>
                      <w:rFonts w:hint="eastAsia"/>
                      <w:sz w:val="21"/>
                      <w:szCs w:val="21"/>
                      <w:u w:val="single"/>
                      <w:vertAlign w:val="baseline"/>
                      <w:lang w:val="en-US" w:eastAsia="zh-CN"/>
                    </w:rPr>
                    <w:t>沟新建工程</w:t>
                  </w:r>
                </w:p>
              </w:tc>
              <w:tc>
                <w:tcPr>
                  <w:tcW w:w="1446" w:type="pct"/>
                  <w:shd w:val="clear" w:color="auto" w:fill="auto"/>
                  <w:vAlign w:val="center"/>
                </w:tcPr>
                <w:p w14:paraId="349287A7">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u w:val="single"/>
                      <w:lang w:val="en-US" w:eastAsia="zh-CN"/>
                    </w:rPr>
                  </w:pPr>
                  <w:r>
                    <w:rPr>
                      <w:rFonts w:hint="eastAsia"/>
                      <w:color w:val="auto"/>
                      <w:kern w:val="0"/>
                      <w:sz w:val="21"/>
                      <w:szCs w:val="21"/>
                      <w:u w:val="single"/>
                      <w:lang w:val="en-US" w:eastAsia="zh-CN"/>
                    </w:rPr>
                    <w:t>雨水沟采用明挖施工，雨水管根据现场施工确定</w:t>
                  </w:r>
                </w:p>
              </w:tc>
            </w:tr>
            <w:tr w14:paraId="64AF8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393540C5">
                  <w:pPr>
                    <w:keepNext w:val="0"/>
                    <w:keepLines w:val="0"/>
                    <w:suppressLineNumbers w:val="0"/>
                    <w:adjustRightInd w:val="0"/>
                    <w:snapToGrid w:val="0"/>
                    <w:spacing w:before="0" w:beforeAutospacing="0" w:after="0" w:afterAutospacing="0" w:line="240" w:lineRule="auto"/>
                    <w:ind w:left="0" w:right="0"/>
                    <w:jc w:val="left"/>
                    <w:rPr>
                      <w:rFonts w:hint="default"/>
                      <w:u w:val="single"/>
                    </w:rPr>
                  </w:pPr>
                </w:p>
              </w:tc>
              <w:tc>
                <w:tcPr>
                  <w:tcW w:w="618" w:type="pct"/>
                  <w:gridSpan w:val="2"/>
                  <w:vMerge w:val="restart"/>
                  <w:shd w:val="clear" w:color="auto" w:fill="auto"/>
                  <w:vAlign w:val="center"/>
                </w:tcPr>
                <w:p w14:paraId="75B136CA">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u w:val="single"/>
                      <w:lang w:eastAsia="zh-CN"/>
                    </w:rPr>
                  </w:pPr>
                  <w:r>
                    <w:rPr>
                      <w:rFonts w:hint="eastAsia" w:eastAsia="宋体"/>
                      <w:color w:val="auto"/>
                      <w:kern w:val="0"/>
                      <w:sz w:val="21"/>
                      <w:szCs w:val="21"/>
                      <w:u w:val="single"/>
                      <w:lang w:eastAsia="zh-CN"/>
                    </w:rPr>
                    <w:t>城区内涝点改造工程</w:t>
                  </w:r>
                </w:p>
              </w:tc>
              <w:tc>
                <w:tcPr>
                  <w:tcW w:w="2495" w:type="pct"/>
                  <w:shd w:val="clear" w:color="auto" w:fill="auto"/>
                  <w:vAlign w:val="center"/>
                </w:tcPr>
                <w:p w14:paraId="792B8DDD">
                  <w:pPr>
                    <w:keepNext w:val="0"/>
                    <w:keepLines w:val="0"/>
                    <w:suppressLineNumbers w:val="0"/>
                    <w:adjustRightInd w:val="0"/>
                    <w:snapToGrid w:val="0"/>
                    <w:spacing w:before="0" w:beforeAutospacing="0" w:after="0" w:afterAutospacing="0" w:line="240" w:lineRule="auto"/>
                    <w:ind w:left="0" w:leftChars="0" w:right="0" w:rightChars="0"/>
                    <w:jc w:val="left"/>
                    <w:rPr>
                      <w:rFonts w:hint="eastAsia"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sz w:val="21"/>
                      <w:szCs w:val="21"/>
                      <w:u w:val="single"/>
                    </w:rPr>
                    <w:t>六中南侧</w:t>
                  </w:r>
                  <w:r>
                    <w:rPr>
                      <w:rFonts w:hint="eastAsia" w:cs="Times New Roman"/>
                      <w:color w:val="auto"/>
                      <w:sz w:val="21"/>
                      <w:szCs w:val="21"/>
                      <w:u w:val="single"/>
                      <w:lang w:val="en-US" w:eastAsia="zh-CN"/>
                    </w:rPr>
                    <w:t>内涝点</w:t>
                  </w:r>
                  <w:r>
                    <w:rPr>
                      <w:rFonts w:hint="eastAsia"/>
                      <w:color w:val="auto"/>
                      <w:sz w:val="21"/>
                      <w:szCs w:val="21"/>
                      <w:u w:val="single"/>
                      <w:vertAlign w:val="baseline"/>
                    </w:rPr>
                    <w:t>新</w:t>
                  </w:r>
                  <w:r>
                    <w:rPr>
                      <w:rFonts w:hint="eastAsia"/>
                      <w:color w:val="auto"/>
                      <w:sz w:val="21"/>
                      <w:szCs w:val="21"/>
                      <w:u w:val="single"/>
                      <w:vertAlign w:val="baseline"/>
                      <w:lang w:val="en-US" w:eastAsia="zh-CN"/>
                    </w:rPr>
                    <w:t>增</w:t>
                  </w:r>
                  <w:r>
                    <w:rPr>
                      <w:rFonts w:hint="eastAsia"/>
                      <w:color w:val="auto"/>
                      <w:sz w:val="21"/>
                      <w:szCs w:val="21"/>
                      <w:u w:val="single"/>
                      <w:vertAlign w:val="baseline"/>
                    </w:rPr>
                    <w:t>一体化提升泵</w:t>
                  </w:r>
                </w:p>
              </w:tc>
              <w:tc>
                <w:tcPr>
                  <w:tcW w:w="1446" w:type="pct"/>
                  <w:shd w:val="clear" w:color="auto" w:fill="auto"/>
                  <w:vAlign w:val="center"/>
                </w:tcPr>
                <w:p w14:paraId="07CE2FA0">
                  <w:pPr>
                    <w:keepNext w:val="0"/>
                    <w:keepLines w:val="0"/>
                    <w:suppressLineNumbers w:val="0"/>
                    <w:adjustRightInd w:val="0"/>
                    <w:snapToGrid w:val="0"/>
                    <w:spacing w:before="0" w:beforeAutospacing="0" w:after="0" w:afterAutospacing="0" w:line="240" w:lineRule="auto"/>
                    <w:ind w:left="0" w:leftChars="0" w:right="0" w:rightChars="0"/>
                    <w:jc w:val="left"/>
                    <w:rPr>
                      <w:rFonts w:hint="default" w:ascii="Times New Roman" w:hAnsi="Times New Roman" w:eastAsia="宋体" w:cs="Times New Roman"/>
                      <w:color w:val="auto"/>
                      <w:kern w:val="0"/>
                      <w:sz w:val="21"/>
                      <w:szCs w:val="21"/>
                      <w:u w:val="single"/>
                      <w:lang w:val="en-US" w:eastAsia="zh-CN" w:bidi="ar-SA"/>
                    </w:rPr>
                  </w:pPr>
                  <w:r>
                    <w:rPr>
                      <w:rFonts w:hint="eastAsia" w:eastAsia="宋体"/>
                      <w:color w:val="auto"/>
                      <w:kern w:val="0"/>
                      <w:sz w:val="21"/>
                      <w:szCs w:val="21"/>
                      <w:u w:val="single"/>
                      <w:lang w:eastAsia="zh-CN"/>
                    </w:rPr>
                    <w:t>新建一体化提升泵后采用DN150压力管接入河西南路道路雨水沟</w:t>
                  </w:r>
                </w:p>
              </w:tc>
            </w:tr>
            <w:tr w14:paraId="0423F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5C15D443">
                  <w:pPr>
                    <w:keepNext w:val="0"/>
                    <w:keepLines w:val="0"/>
                    <w:suppressLineNumbers w:val="0"/>
                    <w:adjustRightInd w:val="0"/>
                    <w:snapToGrid w:val="0"/>
                    <w:spacing w:before="0" w:beforeAutospacing="0" w:after="0" w:afterAutospacing="0" w:line="240" w:lineRule="auto"/>
                    <w:ind w:left="0" w:right="0"/>
                    <w:jc w:val="left"/>
                    <w:rPr>
                      <w:rFonts w:hint="default"/>
                      <w:u w:val="single"/>
                    </w:rPr>
                  </w:pPr>
                </w:p>
              </w:tc>
              <w:tc>
                <w:tcPr>
                  <w:tcW w:w="618" w:type="pct"/>
                  <w:gridSpan w:val="2"/>
                  <w:vMerge w:val="continue"/>
                  <w:shd w:val="clear" w:color="auto" w:fill="auto"/>
                  <w:vAlign w:val="center"/>
                </w:tcPr>
                <w:p w14:paraId="163C6019">
                  <w:pPr>
                    <w:keepNext w:val="0"/>
                    <w:keepLines w:val="0"/>
                    <w:suppressLineNumbers w:val="0"/>
                    <w:adjustRightInd w:val="0"/>
                    <w:snapToGrid w:val="0"/>
                    <w:spacing w:before="0" w:beforeAutospacing="0" w:after="0" w:afterAutospacing="0" w:line="240" w:lineRule="auto"/>
                    <w:ind w:left="0" w:right="0"/>
                    <w:jc w:val="left"/>
                    <w:rPr>
                      <w:rFonts w:hint="default"/>
                      <w:u w:val="single"/>
                    </w:rPr>
                  </w:pPr>
                </w:p>
              </w:tc>
              <w:tc>
                <w:tcPr>
                  <w:tcW w:w="2495" w:type="pct"/>
                  <w:shd w:val="clear" w:color="auto" w:fill="auto"/>
                  <w:vAlign w:val="center"/>
                </w:tcPr>
                <w:p w14:paraId="377775A9">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u w:val="single"/>
                      <w:lang w:val="en-US" w:eastAsia="zh-CN"/>
                    </w:rPr>
                  </w:pPr>
                  <w:r>
                    <w:rPr>
                      <w:rFonts w:hint="default"/>
                      <w:color w:val="auto"/>
                      <w:kern w:val="0"/>
                      <w:sz w:val="21"/>
                      <w:szCs w:val="21"/>
                      <w:u w:val="single"/>
                      <w:lang w:val="en-US"/>
                    </w:rPr>
                    <w:t>石咀内涝点雨水沟</w:t>
                  </w:r>
                  <w:r>
                    <w:rPr>
                      <w:rFonts w:hint="eastAsia"/>
                      <w:color w:val="auto"/>
                      <w:kern w:val="0"/>
                      <w:sz w:val="21"/>
                      <w:szCs w:val="21"/>
                      <w:u w:val="single"/>
                      <w:lang w:val="en-US" w:eastAsia="zh-CN"/>
                    </w:rPr>
                    <w:t>新建工程</w:t>
                  </w:r>
                </w:p>
              </w:tc>
              <w:tc>
                <w:tcPr>
                  <w:tcW w:w="1446" w:type="pct"/>
                  <w:shd w:val="clear" w:color="auto" w:fill="auto"/>
                  <w:vAlign w:val="center"/>
                </w:tcPr>
                <w:p w14:paraId="58030100">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u w:val="single"/>
                      <w:lang w:val="en-US" w:eastAsia="zh-CN"/>
                    </w:rPr>
                  </w:pPr>
                  <w:r>
                    <w:rPr>
                      <w:rFonts w:hint="eastAsia"/>
                      <w:color w:val="auto"/>
                      <w:kern w:val="0"/>
                      <w:sz w:val="21"/>
                      <w:szCs w:val="21"/>
                      <w:u w:val="single"/>
                      <w:lang w:val="en-US" w:eastAsia="zh-CN"/>
                    </w:rPr>
                    <w:t>新增一体化提升泵后排入河</w:t>
                  </w:r>
                </w:p>
              </w:tc>
            </w:tr>
            <w:tr w14:paraId="13ACE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1C664931">
                  <w:pPr>
                    <w:keepNext w:val="0"/>
                    <w:keepLines w:val="0"/>
                    <w:suppressLineNumbers w:val="0"/>
                    <w:adjustRightInd w:val="0"/>
                    <w:snapToGrid w:val="0"/>
                    <w:spacing w:before="0" w:beforeAutospacing="0" w:after="0" w:afterAutospacing="0" w:line="240" w:lineRule="auto"/>
                    <w:ind w:left="0" w:right="0"/>
                    <w:jc w:val="left"/>
                    <w:rPr>
                      <w:rFonts w:hint="default"/>
                      <w:u w:val="single"/>
                    </w:rPr>
                  </w:pPr>
                </w:p>
              </w:tc>
              <w:tc>
                <w:tcPr>
                  <w:tcW w:w="618" w:type="pct"/>
                  <w:gridSpan w:val="2"/>
                  <w:vMerge w:val="continue"/>
                  <w:shd w:val="clear" w:color="auto" w:fill="auto"/>
                  <w:vAlign w:val="center"/>
                </w:tcPr>
                <w:p w14:paraId="6139BB1F">
                  <w:pPr>
                    <w:keepNext w:val="0"/>
                    <w:keepLines w:val="0"/>
                    <w:suppressLineNumbers w:val="0"/>
                    <w:adjustRightInd w:val="0"/>
                    <w:snapToGrid w:val="0"/>
                    <w:spacing w:before="0" w:beforeAutospacing="0" w:after="0" w:afterAutospacing="0" w:line="240" w:lineRule="auto"/>
                    <w:ind w:left="0" w:right="0"/>
                    <w:jc w:val="left"/>
                    <w:rPr>
                      <w:rFonts w:hint="default"/>
                      <w:u w:val="single"/>
                    </w:rPr>
                  </w:pPr>
                </w:p>
              </w:tc>
              <w:tc>
                <w:tcPr>
                  <w:tcW w:w="2495" w:type="pct"/>
                  <w:shd w:val="clear" w:color="auto" w:fill="auto"/>
                  <w:vAlign w:val="center"/>
                </w:tcPr>
                <w:p w14:paraId="07FA7C18">
                  <w:pPr>
                    <w:keepNext w:val="0"/>
                    <w:keepLines w:val="0"/>
                    <w:suppressLineNumbers w:val="0"/>
                    <w:adjustRightInd w:val="0"/>
                    <w:snapToGrid w:val="0"/>
                    <w:spacing w:before="0" w:beforeAutospacing="0" w:after="0" w:afterAutospacing="0" w:line="240" w:lineRule="auto"/>
                    <w:ind w:left="0" w:right="0"/>
                    <w:jc w:val="left"/>
                    <w:rPr>
                      <w:rFonts w:hint="eastAsia" w:eastAsia="宋体"/>
                      <w:color w:val="auto"/>
                      <w:kern w:val="0"/>
                      <w:sz w:val="21"/>
                      <w:szCs w:val="21"/>
                      <w:u w:val="single"/>
                      <w:lang w:val="en-US" w:eastAsia="zh-CN"/>
                    </w:rPr>
                  </w:pPr>
                  <w:r>
                    <w:rPr>
                      <w:rFonts w:hint="default"/>
                      <w:color w:val="auto"/>
                      <w:kern w:val="0"/>
                      <w:sz w:val="21"/>
                      <w:szCs w:val="21"/>
                      <w:u w:val="single"/>
                      <w:lang w:val="en-US"/>
                    </w:rPr>
                    <w:t>城中南路夏家巷箱涵</w:t>
                  </w:r>
                  <w:r>
                    <w:rPr>
                      <w:rFonts w:hint="eastAsia"/>
                      <w:color w:val="auto"/>
                      <w:kern w:val="0"/>
                      <w:sz w:val="21"/>
                      <w:szCs w:val="21"/>
                      <w:u w:val="single"/>
                      <w:lang w:val="en-US" w:eastAsia="zh-CN"/>
                    </w:rPr>
                    <w:t>新建工程</w:t>
                  </w:r>
                </w:p>
              </w:tc>
              <w:tc>
                <w:tcPr>
                  <w:tcW w:w="1446" w:type="pct"/>
                  <w:shd w:val="clear" w:color="auto" w:fill="auto"/>
                  <w:vAlign w:val="center"/>
                </w:tcPr>
                <w:p w14:paraId="0E768825">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eastAsia"/>
                      <w:color w:val="auto"/>
                      <w:kern w:val="0"/>
                      <w:sz w:val="21"/>
                      <w:szCs w:val="21"/>
                      <w:u w:val="single"/>
                      <w:lang w:val="en-US" w:eastAsia="zh-CN"/>
                    </w:rPr>
                    <w:t>管、涵工程根据现场施工确定</w:t>
                  </w:r>
                </w:p>
              </w:tc>
            </w:tr>
            <w:tr w14:paraId="061D6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1D600913">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618" w:type="pct"/>
                  <w:gridSpan w:val="2"/>
                  <w:vMerge w:val="continue"/>
                  <w:shd w:val="clear" w:color="auto" w:fill="auto"/>
                  <w:vAlign w:val="center"/>
                </w:tcPr>
                <w:p w14:paraId="7F794FF2">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2495" w:type="pct"/>
                  <w:shd w:val="clear" w:color="auto" w:fill="auto"/>
                  <w:vAlign w:val="center"/>
                </w:tcPr>
                <w:p w14:paraId="351BBB01">
                  <w:pPr>
                    <w:keepNext w:val="0"/>
                    <w:keepLines w:val="0"/>
                    <w:suppressLineNumbers w:val="0"/>
                    <w:adjustRightInd w:val="0"/>
                    <w:snapToGrid w:val="0"/>
                    <w:spacing w:before="0" w:beforeAutospacing="0" w:after="0" w:afterAutospacing="0" w:line="240" w:lineRule="auto"/>
                    <w:ind w:left="0" w:right="0"/>
                    <w:jc w:val="left"/>
                    <w:rPr>
                      <w:rFonts w:hint="eastAsia" w:eastAsia="宋体"/>
                      <w:color w:val="auto"/>
                      <w:kern w:val="0"/>
                      <w:sz w:val="21"/>
                      <w:szCs w:val="21"/>
                      <w:u w:val="single"/>
                      <w:lang w:val="en-US" w:eastAsia="zh-CN"/>
                    </w:rPr>
                  </w:pPr>
                  <w:r>
                    <w:rPr>
                      <w:rFonts w:hint="default"/>
                      <w:color w:val="auto"/>
                      <w:kern w:val="0"/>
                      <w:sz w:val="21"/>
                      <w:szCs w:val="21"/>
                      <w:u w:val="single"/>
                      <w:lang w:val="en-US"/>
                    </w:rPr>
                    <w:t>新一中学校</w:t>
                  </w:r>
                  <w:r>
                    <w:rPr>
                      <w:rFonts w:hint="eastAsia"/>
                      <w:color w:val="auto"/>
                      <w:kern w:val="0"/>
                      <w:sz w:val="21"/>
                      <w:szCs w:val="21"/>
                      <w:u w:val="single"/>
                      <w:lang w:val="en-US" w:eastAsia="zh-CN"/>
                    </w:rPr>
                    <w:t>入口雨水管道新建工程</w:t>
                  </w:r>
                </w:p>
              </w:tc>
              <w:tc>
                <w:tcPr>
                  <w:tcW w:w="1446" w:type="pct"/>
                  <w:shd w:val="clear" w:color="auto" w:fill="auto"/>
                  <w:vAlign w:val="center"/>
                </w:tcPr>
                <w:p w14:paraId="3BC1FE12">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lang w:val="en-US"/>
                    </w:rPr>
                    <w:t>入口四处积水点新增10个雨水箅子</w:t>
                  </w:r>
                </w:p>
              </w:tc>
            </w:tr>
            <w:tr w14:paraId="01505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1277C285">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618" w:type="pct"/>
                  <w:gridSpan w:val="2"/>
                  <w:vMerge w:val="continue"/>
                  <w:shd w:val="clear" w:color="auto" w:fill="auto"/>
                  <w:vAlign w:val="center"/>
                </w:tcPr>
                <w:p w14:paraId="5F9C100A">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2495" w:type="pct"/>
                  <w:shd w:val="clear" w:color="auto" w:fill="auto"/>
                  <w:vAlign w:val="center"/>
                </w:tcPr>
                <w:p w14:paraId="0D238687">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lang w:val="en-US"/>
                    </w:rPr>
                    <w:t>荷花路</w:t>
                  </w:r>
                  <w:r>
                    <w:rPr>
                      <w:rFonts w:hint="eastAsia"/>
                      <w:color w:val="auto"/>
                      <w:kern w:val="0"/>
                      <w:sz w:val="21"/>
                      <w:szCs w:val="21"/>
                      <w:u w:val="single"/>
                      <w:lang w:val="en-US" w:eastAsia="zh-CN"/>
                    </w:rPr>
                    <w:t>雨水管道新建工程</w:t>
                  </w:r>
                </w:p>
              </w:tc>
              <w:tc>
                <w:tcPr>
                  <w:tcW w:w="1446" w:type="pct"/>
                  <w:vMerge w:val="restart"/>
                  <w:shd w:val="clear" w:color="auto" w:fill="auto"/>
                  <w:vAlign w:val="center"/>
                </w:tcPr>
                <w:p w14:paraId="0E363236">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eastAsia"/>
                      <w:color w:val="auto"/>
                      <w:kern w:val="0"/>
                      <w:sz w:val="21"/>
                      <w:szCs w:val="21"/>
                      <w:u w:val="single"/>
                      <w:lang w:val="en-US" w:eastAsia="zh-CN"/>
                    </w:rPr>
                    <w:t>雨水沟均为明挖施工，管、涵工程根据现场施工确定</w:t>
                  </w:r>
                </w:p>
              </w:tc>
            </w:tr>
            <w:tr w14:paraId="66EE3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00B5548F">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618" w:type="pct"/>
                  <w:gridSpan w:val="2"/>
                  <w:vMerge w:val="continue"/>
                  <w:shd w:val="clear" w:color="auto" w:fill="auto"/>
                  <w:vAlign w:val="center"/>
                </w:tcPr>
                <w:p w14:paraId="3253AEB8">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2495" w:type="pct"/>
                  <w:shd w:val="clear" w:color="auto" w:fill="auto"/>
                  <w:vAlign w:val="center"/>
                </w:tcPr>
                <w:p w14:paraId="76BD8245">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lang w:val="en-US"/>
                    </w:rPr>
                    <w:t>学院路雨水沟及污水管</w:t>
                  </w:r>
                  <w:r>
                    <w:rPr>
                      <w:rFonts w:hint="eastAsia"/>
                      <w:color w:val="auto"/>
                      <w:kern w:val="0"/>
                      <w:sz w:val="21"/>
                      <w:szCs w:val="21"/>
                      <w:u w:val="single"/>
                      <w:lang w:val="en-US" w:eastAsia="zh-CN"/>
                    </w:rPr>
                    <w:t>道新建工程</w:t>
                  </w:r>
                </w:p>
              </w:tc>
              <w:tc>
                <w:tcPr>
                  <w:tcW w:w="1446" w:type="pct"/>
                  <w:vMerge w:val="continue"/>
                  <w:shd w:val="clear" w:color="auto" w:fill="auto"/>
                  <w:vAlign w:val="center"/>
                </w:tcPr>
                <w:p w14:paraId="36DEF81C">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r>
            <w:tr w14:paraId="7DBB7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604B3B02">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618" w:type="pct"/>
                  <w:gridSpan w:val="2"/>
                  <w:vMerge w:val="continue"/>
                  <w:shd w:val="clear" w:color="auto" w:fill="auto"/>
                  <w:vAlign w:val="center"/>
                </w:tcPr>
                <w:p w14:paraId="6A22D40B">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2495" w:type="pct"/>
                  <w:shd w:val="clear" w:color="auto" w:fill="auto"/>
                  <w:vAlign w:val="center"/>
                </w:tcPr>
                <w:p w14:paraId="72EA5B43">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lang w:val="en-US"/>
                    </w:rPr>
                    <w:t>肖家畈雨水沟及污水管</w:t>
                  </w:r>
                  <w:r>
                    <w:rPr>
                      <w:rFonts w:hint="eastAsia"/>
                      <w:color w:val="auto"/>
                      <w:kern w:val="0"/>
                      <w:sz w:val="21"/>
                      <w:szCs w:val="21"/>
                      <w:u w:val="single"/>
                      <w:lang w:val="en-US" w:eastAsia="zh-CN"/>
                    </w:rPr>
                    <w:t>道新建工程</w:t>
                  </w:r>
                </w:p>
              </w:tc>
              <w:tc>
                <w:tcPr>
                  <w:tcW w:w="1446" w:type="pct"/>
                  <w:vMerge w:val="continue"/>
                  <w:shd w:val="clear" w:color="auto" w:fill="auto"/>
                  <w:vAlign w:val="center"/>
                </w:tcPr>
                <w:p w14:paraId="23293910">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r>
            <w:tr w14:paraId="355B5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439" w:type="pct"/>
                  <w:vMerge w:val="continue"/>
                  <w:shd w:val="clear" w:color="auto" w:fill="auto"/>
                  <w:vAlign w:val="center"/>
                </w:tcPr>
                <w:p w14:paraId="33E2751B">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618" w:type="pct"/>
                  <w:gridSpan w:val="2"/>
                  <w:vMerge w:val="continue"/>
                  <w:shd w:val="clear" w:color="auto" w:fill="auto"/>
                  <w:vAlign w:val="center"/>
                </w:tcPr>
                <w:p w14:paraId="37C5B5CB">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2495" w:type="pct"/>
                  <w:shd w:val="clear" w:color="auto" w:fill="auto"/>
                  <w:vAlign w:val="center"/>
                </w:tcPr>
                <w:p w14:paraId="1E782991">
                  <w:pPr>
                    <w:keepNext w:val="0"/>
                    <w:keepLines w:val="0"/>
                    <w:suppressLineNumbers w:val="0"/>
                    <w:adjustRightInd w:val="0"/>
                    <w:snapToGrid w:val="0"/>
                    <w:spacing w:before="0" w:beforeAutospacing="0" w:after="0" w:afterAutospacing="0" w:line="240" w:lineRule="auto"/>
                    <w:ind w:left="0" w:right="0"/>
                    <w:jc w:val="left"/>
                    <w:rPr>
                      <w:rFonts w:hint="eastAsia" w:eastAsia="宋体"/>
                      <w:color w:val="auto"/>
                      <w:kern w:val="0"/>
                      <w:sz w:val="21"/>
                      <w:szCs w:val="21"/>
                      <w:u w:val="single"/>
                      <w:lang w:val="en-US" w:eastAsia="zh-CN"/>
                    </w:rPr>
                  </w:pPr>
                  <w:r>
                    <w:rPr>
                      <w:rFonts w:hint="default"/>
                      <w:color w:val="auto"/>
                      <w:kern w:val="0"/>
                      <w:sz w:val="21"/>
                      <w:szCs w:val="21"/>
                      <w:u w:val="single"/>
                      <w:lang w:val="en-US"/>
                    </w:rPr>
                    <w:t>水产巷菜市场雨水沟</w:t>
                  </w:r>
                  <w:r>
                    <w:rPr>
                      <w:rFonts w:hint="eastAsia"/>
                      <w:color w:val="auto"/>
                      <w:kern w:val="0"/>
                      <w:sz w:val="21"/>
                      <w:szCs w:val="21"/>
                      <w:u w:val="single"/>
                      <w:lang w:val="en-US" w:eastAsia="zh-CN"/>
                    </w:rPr>
                    <w:t>新建工程</w:t>
                  </w:r>
                </w:p>
              </w:tc>
              <w:tc>
                <w:tcPr>
                  <w:tcW w:w="1446" w:type="pct"/>
                  <w:vMerge w:val="restart"/>
                  <w:shd w:val="clear" w:color="auto" w:fill="auto"/>
                  <w:vAlign w:val="center"/>
                </w:tcPr>
                <w:p w14:paraId="0F88ABB1">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eastAsia"/>
                      <w:color w:val="auto"/>
                      <w:kern w:val="0"/>
                      <w:sz w:val="21"/>
                      <w:szCs w:val="21"/>
                      <w:u w:val="single"/>
                      <w:lang w:val="en-US" w:eastAsia="zh-CN"/>
                    </w:rPr>
                    <w:t>雨水沟均为明挖施工</w:t>
                  </w:r>
                </w:p>
              </w:tc>
            </w:tr>
            <w:tr w14:paraId="20BF0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439" w:type="pct"/>
                  <w:vMerge w:val="continue"/>
                  <w:shd w:val="clear" w:color="auto" w:fill="auto"/>
                  <w:vAlign w:val="center"/>
                </w:tcPr>
                <w:p w14:paraId="4797D390">
                  <w:pPr>
                    <w:keepNext w:val="0"/>
                    <w:keepLines w:val="0"/>
                    <w:suppressLineNumbers w:val="0"/>
                    <w:adjustRightInd w:val="0"/>
                    <w:snapToGrid w:val="0"/>
                    <w:spacing w:before="0" w:beforeAutospacing="0" w:after="0" w:afterAutospacing="0" w:line="240" w:lineRule="auto"/>
                    <w:ind w:left="0" w:right="0"/>
                    <w:jc w:val="left"/>
                    <w:rPr>
                      <w:rFonts w:hint="default"/>
                      <w:u w:val="single"/>
                    </w:rPr>
                  </w:pPr>
                </w:p>
              </w:tc>
              <w:tc>
                <w:tcPr>
                  <w:tcW w:w="618" w:type="pct"/>
                  <w:gridSpan w:val="2"/>
                  <w:vMerge w:val="continue"/>
                  <w:shd w:val="clear" w:color="auto" w:fill="auto"/>
                  <w:vAlign w:val="center"/>
                </w:tcPr>
                <w:p w14:paraId="720B3441">
                  <w:pPr>
                    <w:keepNext w:val="0"/>
                    <w:keepLines w:val="0"/>
                    <w:suppressLineNumbers w:val="0"/>
                    <w:adjustRightInd w:val="0"/>
                    <w:snapToGrid w:val="0"/>
                    <w:spacing w:before="0" w:beforeAutospacing="0" w:after="0" w:afterAutospacing="0" w:line="240" w:lineRule="auto"/>
                    <w:ind w:left="0" w:right="0"/>
                    <w:jc w:val="left"/>
                    <w:rPr>
                      <w:rFonts w:hint="default"/>
                      <w:u w:val="single"/>
                    </w:rPr>
                  </w:pPr>
                </w:p>
              </w:tc>
              <w:tc>
                <w:tcPr>
                  <w:tcW w:w="2495" w:type="pct"/>
                  <w:shd w:val="clear" w:color="auto" w:fill="auto"/>
                  <w:vAlign w:val="center"/>
                </w:tcPr>
                <w:p w14:paraId="60C0D6C8">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lang w:val="en-US"/>
                    </w:rPr>
                    <w:t>西正街雨水沟</w:t>
                  </w:r>
                  <w:r>
                    <w:rPr>
                      <w:rFonts w:hint="eastAsia"/>
                      <w:color w:val="auto"/>
                      <w:kern w:val="0"/>
                      <w:sz w:val="21"/>
                      <w:szCs w:val="21"/>
                      <w:u w:val="single"/>
                      <w:lang w:val="en-US" w:eastAsia="zh-CN"/>
                    </w:rPr>
                    <w:t>新建工程</w:t>
                  </w:r>
                </w:p>
              </w:tc>
              <w:tc>
                <w:tcPr>
                  <w:tcW w:w="1446" w:type="pct"/>
                  <w:vMerge w:val="continue"/>
                  <w:shd w:val="clear" w:color="auto" w:fill="auto"/>
                  <w:vAlign w:val="center"/>
                </w:tcPr>
                <w:p w14:paraId="2A2E5E9A">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r>
            <w:tr w14:paraId="2D28E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439" w:type="pct"/>
                  <w:vMerge w:val="continue"/>
                  <w:shd w:val="clear" w:color="auto" w:fill="auto"/>
                  <w:vAlign w:val="center"/>
                </w:tcPr>
                <w:p w14:paraId="3065B029">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618" w:type="pct"/>
                  <w:gridSpan w:val="2"/>
                  <w:vMerge w:val="continue"/>
                  <w:shd w:val="clear" w:color="auto" w:fill="auto"/>
                  <w:vAlign w:val="center"/>
                </w:tcPr>
                <w:p w14:paraId="22A89585">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2495" w:type="pct"/>
                  <w:shd w:val="clear" w:color="auto" w:fill="auto"/>
                  <w:vAlign w:val="center"/>
                </w:tcPr>
                <w:p w14:paraId="3E2CE5F4">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lang w:val="en-US"/>
                    </w:rPr>
                    <w:t>长安一品雨水沟</w:t>
                  </w:r>
                  <w:r>
                    <w:rPr>
                      <w:rFonts w:hint="eastAsia"/>
                      <w:color w:val="auto"/>
                      <w:kern w:val="0"/>
                      <w:sz w:val="21"/>
                      <w:szCs w:val="21"/>
                      <w:u w:val="single"/>
                      <w:lang w:val="en-US" w:eastAsia="zh-CN"/>
                    </w:rPr>
                    <w:t>新建工程</w:t>
                  </w:r>
                </w:p>
              </w:tc>
              <w:tc>
                <w:tcPr>
                  <w:tcW w:w="1446" w:type="pct"/>
                  <w:vMerge w:val="continue"/>
                  <w:shd w:val="clear" w:color="auto" w:fill="auto"/>
                  <w:vAlign w:val="center"/>
                </w:tcPr>
                <w:p w14:paraId="2E9E2BC0">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r>
            <w:tr w14:paraId="4992E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439" w:type="pct"/>
                  <w:vMerge w:val="continue"/>
                  <w:shd w:val="clear" w:color="auto" w:fill="auto"/>
                  <w:vAlign w:val="center"/>
                </w:tcPr>
                <w:p w14:paraId="3B2BA6FE">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618" w:type="pct"/>
                  <w:gridSpan w:val="2"/>
                  <w:vMerge w:val="continue"/>
                  <w:shd w:val="clear" w:color="auto" w:fill="auto"/>
                  <w:vAlign w:val="center"/>
                </w:tcPr>
                <w:p w14:paraId="1340EC65">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2495" w:type="pct"/>
                  <w:shd w:val="clear" w:color="auto" w:fill="auto"/>
                  <w:vAlign w:val="center"/>
                </w:tcPr>
                <w:p w14:paraId="551C5DD8">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lang w:val="en-US"/>
                    </w:rPr>
                    <w:t>杨田涵洞内涝点雨水沟</w:t>
                  </w:r>
                  <w:r>
                    <w:rPr>
                      <w:rFonts w:hint="eastAsia"/>
                      <w:color w:val="auto"/>
                      <w:kern w:val="0"/>
                      <w:sz w:val="21"/>
                      <w:szCs w:val="21"/>
                      <w:u w:val="single"/>
                      <w:lang w:val="en-US" w:eastAsia="zh-CN"/>
                    </w:rPr>
                    <w:t>新建工程</w:t>
                  </w:r>
                </w:p>
              </w:tc>
              <w:tc>
                <w:tcPr>
                  <w:tcW w:w="1446" w:type="pct"/>
                  <w:vMerge w:val="continue"/>
                  <w:shd w:val="clear" w:color="auto" w:fill="auto"/>
                  <w:vAlign w:val="center"/>
                </w:tcPr>
                <w:p w14:paraId="728D0544">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r>
            <w:tr w14:paraId="64FD6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439" w:type="pct"/>
                  <w:vMerge w:val="continue"/>
                  <w:shd w:val="clear" w:color="auto" w:fill="auto"/>
                  <w:vAlign w:val="center"/>
                </w:tcPr>
                <w:p w14:paraId="5DD1C737">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618" w:type="pct"/>
                  <w:gridSpan w:val="2"/>
                  <w:vMerge w:val="continue"/>
                  <w:shd w:val="clear" w:color="auto" w:fill="auto"/>
                  <w:vAlign w:val="center"/>
                </w:tcPr>
                <w:p w14:paraId="107FFF17">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2495" w:type="pct"/>
                  <w:shd w:val="clear" w:color="auto" w:fill="auto"/>
                  <w:vAlign w:val="center"/>
                </w:tcPr>
                <w:p w14:paraId="6B5276DF">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lang w:val="en-US"/>
                    </w:rPr>
                    <w:t>南正街雨水沟</w:t>
                  </w:r>
                  <w:r>
                    <w:rPr>
                      <w:rFonts w:hint="eastAsia"/>
                      <w:color w:val="auto"/>
                      <w:kern w:val="0"/>
                      <w:sz w:val="21"/>
                      <w:szCs w:val="21"/>
                      <w:u w:val="single"/>
                      <w:lang w:val="en-US" w:eastAsia="zh-CN"/>
                    </w:rPr>
                    <w:t>新建工程</w:t>
                  </w:r>
                </w:p>
              </w:tc>
              <w:tc>
                <w:tcPr>
                  <w:tcW w:w="1446" w:type="pct"/>
                  <w:vMerge w:val="continue"/>
                  <w:shd w:val="clear" w:color="auto" w:fill="auto"/>
                  <w:vAlign w:val="center"/>
                </w:tcPr>
                <w:p w14:paraId="1CA0CA1A">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r>
            <w:tr w14:paraId="0C5AD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439" w:type="pct"/>
                  <w:vMerge w:val="continue"/>
                  <w:shd w:val="clear" w:color="auto" w:fill="auto"/>
                  <w:vAlign w:val="center"/>
                </w:tcPr>
                <w:p w14:paraId="4150C892">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618" w:type="pct"/>
                  <w:gridSpan w:val="2"/>
                  <w:vMerge w:val="continue"/>
                  <w:shd w:val="clear" w:color="auto" w:fill="auto"/>
                  <w:vAlign w:val="center"/>
                </w:tcPr>
                <w:p w14:paraId="446AF9A6">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2495" w:type="pct"/>
                  <w:shd w:val="clear" w:color="auto" w:fill="auto"/>
                  <w:vAlign w:val="center"/>
                </w:tcPr>
                <w:p w14:paraId="77534BF9">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lang w:val="en-US"/>
                    </w:rPr>
                    <w:t>金桥路雨水沟</w:t>
                  </w:r>
                  <w:r>
                    <w:rPr>
                      <w:rFonts w:hint="eastAsia"/>
                      <w:color w:val="auto"/>
                      <w:kern w:val="0"/>
                      <w:sz w:val="21"/>
                      <w:szCs w:val="21"/>
                      <w:u w:val="single"/>
                      <w:lang w:val="en-US" w:eastAsia="zh-CN"/>
                    </w:rPr>
                    <w:t>新建工程</w:t>
                  </w:r>
                </w:p>
              </w:tc>
              <w:tc>
                <w:tcPr>
                  <w:tcW w:w="1446" w:type="pct"/>
                  <w:vMerge w:val="continue"/>
                  <w:shd w:val="clear" w:color="auto" w:fill="auto"/>
                  <w:vAlign w:val="center"/>
                </w:tcPr>
                <w:p w14:paraId="509CF5F6">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r>
            <w:tr w14:paraId="43481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439" w:type="pct"/>
                  <w:vMerge w:val="continue"/>
                  <w:shd w:val="clear" w:color="auto" w:fill="auto"/>
                  <w:vAlign w:val="center"/>
                </w:tcPr>
                <w:p w14:paraId="562ECC46">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618" w:type="pct"/>
                  <w:gridSpan w:val="2"/>
                  <w:vMerge w:val="continue"/>
                  <w:shd w:val="clear" w:color="auto" w:fill="auto"/>
                  <w:vAlign w:val="center"/>
                </w:tcPr>
                <w:p w14:paraId="7CA13480">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2495" w:type="pct"/>
                  <w:shd w:val="clear" w:color="auto" w:fill="auto"/>
                  <w:vAlign w:val="center"/>
                </w:tcPr>
                <w:p w14:paraId="46F2E207">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lang w:val="en-US"/>
                    </w:rPr>
                    <w:t>三完小雨水沟</w:t>
                  </w:r>
                  <w:r>
                    <w:rPr>
                      <w:rFonts w:hint="eastAsia"/>
                      <w:color w:val="auto"/>
                      <w:kern w:val="0"/>
                      <w:sz w:val="21"/>
                      <w:szCs w:val="21"/>
                      <w:u w:val="single"/>
                      <w:lang w:val="en-US" w:eastAsia="zh-CN"/>
                    </w:rPr>
                    <w:t>新建工程</w:t>
                  </w:r>
                </w:p>
              </w:tc>
              <w:tc>
                <w:tcPr>
                  <w:tcW w:w="1446" w:type="pct"/>
                  <w:vMerge w:val="continue"/>
                  <w:shd w:val="clear" w:color="auto" w:fill="auto"/>
                  <w:vAlign w:val="center"/>
                </w:tcPr>
                <w:p w14:paraId="7F8F4877">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r>
            <w:tr w14:paraId="75669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439" w:type="pct"/>
                  <w:vMerge w:val="continue"/>
                  <w:shd w:val="clear" w:color="auto" w:fill="auto"/>
                  <w:vAlign w:val="center"/>
                </w:tcPr>
                <w:p w14:paraId="36FBE5AA">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618" w:type="pct"/>
                  <w:gridSpan w:val="2"/>
                  <w:vMerge w:val="continue"/>
                  <w:shd w:val="clear" w:color="auto" w:fill="auto"/>
                  <w:vAlign w:val="center"/>
                </w:tcPr>
                <w:p w14:paraId="74CFD70A">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c>
                <w:tcPr>
                  <w:tcW w:w="2495" w:type="pct"/>
                  <w:shd w:val="clear" w:color="auto" w:fill="auto"/>
                  <w:vAlign w:val="center"/>
                </w:tcPr>
                <w:p w14:paraId="475383AA">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r>
                    <w:rPr>
                      <w:rFonts w:hint="default"/>
                      <w:color w:val="auto"/>
                      <w:kern w:val="0"/>
                      <w:sz w:val="21"/>
                      <w:szCs w:val="21"/>
                      <w:u w:val="single"/>
                      <w:lang w:val="en-US"/>
                    </w:rPr>
                    <w:t>工业园雨水沟</w:t>
                  </w:r>
                  <w:r>
                    <w:rPr>
                      <w:rFonts w:hint="eastAsia"/>
                      <w:color w:val="auto"/>
                      <w:kern w:val="0"/>
                      <w:sz w:val="21"/>
                      <w:szCs w:val="21"/>
                      <w:u w:val="single"/>
                      <w:lang w:val="en-US" w:eastAsia="zh-CN"/>
                    </w:rPr>
                    <w:t>新建工程</w:t>
                  </w:r>
                </w:p>
              </w:tc>
              <w:tc>
                <w:tcPr>
                  <w:tcW w:w="1446" w:type="pct"/>
                  <w:vMerge w:val="continue"/>
                  <w:shd w:val="clear" w:color="auto" w:fill="auto"/>
                  <w:vAlign w:val="center"/>
                </w:tcPr>
                <w:p w14:paraId="1292C7D3">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u w:val="single"/>
                      <w:lang w:val="en-US"/>
                    </w:rPr>
                  </w:pPr>
                </w:p>
              </w:tc>
            </w:tr>
            <w:tr w14:paraId="08406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restart"/>
                  <w:shd w:val="clear" w:color="auto" w:fill="auto"/>
                  <w:vAlign w:val="center"/>
                </w:tcPr>
                <w:p w14:paraId="3AED0850">
                  <w:pPr>
                    <w:keepNext w:val="0"/>
                    <w:keepLines w:val="0"/>
                    <w:suppressLineNumbers w:val="0"/>
                    <w:adjustRightInd w:val="0"/>
                    <w:snapToGrid w:val="0"/>
                    <w:spacing w:before="0" w:beforeAutospacing="0" w:after="0" w:afterAutospacing="0" w:line="240" w:lineRule="auto"/>
                    <w:ind w:left="0" w:right="0"/>
                    <w:jc w:val="center"/>
                    <w:rPr>
                      <w:rFonts w:hint="default" w:eastAsia="宋体"/>
                      <w:color w:val="auto"/>
                      <w:kern w:val="0"/>
                      <w:sz w:val="21"/>
                      <w:szCs w:val="21"/>
                      <w:highlight w:val="yellow"/>
                      <w:u w:val="single"/>
                      <w:lang w:val="en-US" w:eastAsia="zh-CN"/>
                    </w:rPr>
                  </w:pPr>
                  <w:r>
                    <w:rPr>
                      <w:rFonts w:hint="eastAsia"/>
                      <w:color w:val="auto"/>
                      <w:kern w:val="0"/>
                      <w:sz w:val="21"/>
                      <w:szCs w:val="21"/>
                      <w:highlight w:val="none"/>
                      <w:u w:val="single"/>
                      <w:lang w:val="en-US" w:eastAsia="zh-CN"/>
                    </w:rPr>
                    <w:t>临时工程</w:t>
                  </w:r>
                </w:p>
              </w:tc>
              <w:tc>
                <w:tcPr>
                  <w:tcW w:w="618" w:type="pct"/>
                  <w:gridSpan w:val="2"/>
                  <w:shd w:val="clear" w:color="auto" w:fill="auto"/>
                  <w:vAlign w:val="center"/>
                </w:tcPr>
                <w:p w14:paraId="2E088AC1">
                  <w:pPr>
                    <w:keepNext w:val="0"/>
                    <w:keepLines w:val="0"/>
                    <w:suppressLineNumbers w:val="0"/>
                    <w:adjustRightInd w:val="0"/>
                    <w:snapToGrid w:val="0"/>
                    <w:spacing w:before="0" w:beforeAutospacing="0" w:after="0" w:afterAutospacing="0" w:line="240" w:lineRule="auto"/>
                    <w:ind w:left="0" w:right="0"/>
                    <w:jc w:val="center"/>
                    <w:rPr>
                      <w:rFonts w:hint="default" w:eastAsia="宋体"/>
                      <w:color w:val="auto"/>
                      <w:kern w:val="0"/>
                      <w:sz w:val="21"/>
                      <w:szCs w:val="21"/>
                      <w:highlight w:val="none"/>
                      <w:u w:val="single"/>
                      <w:lang w:val="en-US" w:eastAsia="zh-CN"/>
                    </w:rPr>
                  </w:pPr>
                  <w:r>
                    <w:rPr>
                      <w:rFonts w:hint="eastAsia"/>
                      <w:color w:val="auto"/>
                      <w:sz w:val="21"/>
                      <w:szCs w:val="21"/>
                      <w:highlight w:val="none"/>
                      <w:u w:val="single"/>
                      <w:lang w:val="en-US" w:eastAsia="zh-CN"/>
                    </w:rPr>
                    <w:t>淤泥临时堆放场</w:t>
                  </w:r>
                </w:p>
              </w:tc>
              <w:tc>
                <w:tcPr>
                  <w:tcW w:w="2495" w:type="pct"/>
                  <w:shd w:val="clear" w:color="auto" w:fill="auto"/>
                  <w:vAlign w:val="center"/>
                </w:tcPr>
                <w:p w14:paraId="1E9CF094">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highlight w:val="none"/>
                      <w:u w:val="single"/>
                      <w:lang w:val="en-US"/>
                    </w:rPr>
                  </w:pPr>
                  <w:r>
                    <w:rPr>
                      <w:rFonts w:hint="eastAsia"/>
                      <w:color w:val="auto"/>
                      <w:kern w:val="0"/>
                      <w:sz w:val="21"/>
                      <w:szCs w:val="21"/>
                      <w:highlight w:val="none"/>
                      <w:u w:val="single"/>
                      <w:lang w:val="en-US" w:eastAsia="zh-CN"/>
                    </w:rPr>
                    <w:t>拟</w:t>
                  </w:r>
                  <w:r>
                    <w:rPr>
                      <w:rFonts w:hint="default"/>
                      <w:color w:val="auto"/>
                      <w:kern w:val="0"/>
                      <w:sz w:val="21"/>
                      <w:szCs w:val="21"/>
                      <w:highlight w:val="none"/>
                      <w:u w:val="single"/>
                      <w:lang w:val="en-US"/>
                    </w:rPr>
                    <w:t>分2处设置</w:t>
                  </w:r>
                  <w:r>
                    <w:rPr>
                      <w:rFonts w:hint="eastAsia"/>
                      <w:color w:val="auto"/>
                      <w:kern w:val="0"/>
                      <w:sz w:val="21"/>
                      <w:szCs w:val="21"/>
                      <w:highlight w:val="none"/>
                      <w:u w:val="single"/>
                      <w:lang w:val="en-US" w:eastAsia="zh-CN"/>
                    </w:rPr>
                    <w:t>，</w:t>
                  </w:r>
                  <w:r>
                    <w:rPr>
                      <w:rFonts w:hint="default"/>
                      <w:color w:val="auto"/>
                      <w:kern w:val="0"/>
                      <w:sz w:val="21"/>
                      <w:szCs w:val="21"/>
                      <w:highlight w:val="none"/>
                      <w:u w:val="single"/>
                      <w:lang w:val="en-US"/>
                    </w:rPr>
                    <w:t>8000m²/处。</w:t>
                  </w:r>
                </w:p>
                <w:p w14:paraId="7E6B7BC4">
                  <w:pPr>
                    <w:keepNext w:val="0"/>
                    <w:keepLines w:val="0"/>
                    <w:suppressLineNumbers w:val="0"/>
                    <w:adjustRightInd w:val="0"/>
                    <w:snapToGrid w:val="0"/>
                    <w:spacing w:before="0" w:beforeAutospacing="0" w:after="0" w:afterAutospacing="0" w:line="240" w:lineRule="auto"/>
                    <w:ind w:left="0" w:right="0"/>
                    <w:jc w:val="left"/>
                    <w:rPr>
                      <w:rFonts w:hint="eastAsia"/>
                      <w:color w:val="auto"/>
                      <w:kern w:val="0"/>
                      <w:sz w:val="21"/>
                      <w:szCs w:val="21"/>
                      <w:highlight w:val="none"/>
                      <w:u w:val="single"/>
                      <w:lang w:val="en-US" w:eastAsia="zh-CN"/>
                    </w:rPr>
                  </w:pPr>
                  <w:r>
                    <w:rPr>
                      <w:rFonts w:hint="eastAsia"/>
                      <w:color w:val="auto"/>
                      <w:kern w:val="0"/>
                      <w:sz w:val="21"/>
                      <w:szCs w:val="21"/>
                      <w:highlight w:val="none"/>
                      <w:u w:val="single"/>
                      <w:lang w:val="en-US" w:eastAsia="zh-CN"/>
                    </w:rPr>
                    <w:t>一处设于长安河上游清淤工程东侧</w:t>
                  </w:r>
                </w:p>
                <w:p w14:paraId="72A2E226">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一处设于肖家堰清淤工程东侧</w:t>
                  </w:r>
                </w:p>
              </w:tc>
              <w:tc>
                <w:tcPr>
                  <w:tcW w:w="1446" w:type="pct"/>
                  <w:shd w:val="clear" w:color="auto" w:fill="auto"/>
                  <w:vAlign w:val="center"/>
                </w:tcPr>
                <w:p w14:paraId="4AE87E5A">
                  <w:pPr>
                    <w:keepNext w:val="0"/>
                    <w:keepLines w:val="0"/>
                    <w:suppressLineNumbers w:val="0"/>
                    <w:adjustRightInd w:val="0"/>
                    <w:snapToGrid w:val="0"/>
                    <w:spacing w:before="0" w:beforeAutospacing="0" w:after="0" w:afterAutospacing="0" w:line="240" w:lineRule="auto"/>
                    <w:ind w:left="0" w:right="0"/>
                    <w:jc w:val="center"/>
                    <w:rPr>
                      <w:rFonts w:hint="default" w:eastAsia="宋体"/>
                      <w:color w:val="auto"/>
                      <w:kern w:val="0"/>
                      <w:sz w:val="21"/>
                      <w:szCs w:val="21"/>
                      <w:u w:val="single"/>
                      <w:lang w:val="en-US" w:eastAsia="zh-CN"/>
                    </w:rPr>
                  </w:pPr>
                  <w:r>
                    <w:rPr>
                      <w:rFonts w:hint="eastAsia"/>
                      <w:color w:val="auto"/>
                      <w:kern w:val="0"/>
                      <w:sz w:val="21"/>
                      <w:szCs w:val="21"/>
                      <w:u w:val="single"/>
                      <w:lang w:val="en-US" w:eastAsia="zh-CN"/>
                    </w:rPr>
                    <w:t>具体布置见附图3，实际建设位置根据施工便利确定</w:t>
                  </w:r>
                </w:p>
              </w:tc>
            </w:tr>
            <w:tr w14:paraId="5197D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3185E01F">
                  <w:pPr>
                    <w:keepNext w:val="0"/>
                    <w:keepLines w:val="0"/>
                    <w:suppressLineNumbers w:val="0"/>
                    <w:adjustRightInd w:val="0"/>
                    <w:snapToGrid w:val="0"/>
                    <w:spacing w:before="0" w:beforeAutospacing="0" w:after="0" w:afterAutospacing="0" w:line="240" w:lineRule="auto"/>
                    <w:ind w:left="0" w:right="0"/>
                    <w:jc w:val="center"/>
                    <w:rPr>
                      <w:rFonts w:hint="eastAsia"/>
                      <w:color w:val="auto"/>
                      <w:kern w:val="0"/>
                      <w:sz w:val="21"/>
                      <w:szCs w:val="21"/>
                      <w:highlight w:val="none"/>
                      <w:u w:val="none"/>
                      <w:lang w:val="en-US" w:eastAsia="zh-CN"/>
                    </w:rPr>
                  </w:pPr>
                </w:p>
              </w:tc>
              <w:tc>
                <w:tcPr>
                  <w:tcW w:w="618" w:type="pct"/>
                  <w:gridSpan w:val="2"/>
                  <w:shd w:val="clear" w:color="auto" w:fill="auto"/>
                  <w:vAlign w:val="center"/>
                </w:tcPr>
                <w:p w14:paraId="259AF107">
                  <w:pPr>
                    <w:keepNext w:val="0"/>
                    <w:keepLines w:val="0"/>
                    <w:suppressLineNumbers w:val="0"/>
                    <w:adjustRightInd w:val="0"/>
                    <w:snapToGrid w:val="0"/>
                    <w:spacing w:before="0" w:beforeAutospacing="0" w:after="0" w:afterAutospacing="0" w:line="240" w:lineRule="auto"/>
                    <w:ind w:left="0" w:right="0"/>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施工便道</w:t>
                  </w:r>
                </w:p>
              </w:tc>
              <w:tc>
                <w:tcPr>
                  <w:tcW w:w="2495" w:type="pct"/>
                  <w:shd w:val="clear" w:color="auto" w:fill="auto"/>
                  <w:vAlign w:val="center"/>
                </w:tcPr>
                <w:p w14:paraId="6962F5EC">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highlight w:val="none"/>
                      <w:u w:val="none"/>
                      <w:lang w:val="en-US" w:eastAsia="zh-CN"/>
                    </w:rPr>
                  </w:pPr>
                  <w:r>
                    <w:rPr>
                      <w:rFonts w:hint="eastAsia"/>
                      <w:color w:val="auto"/>
                      <w:kern w:val="0"/>
                      <w:sz w:val="21"/>
                      <w:szCs w:val="21"/>
                      <w:highlight w:val="none"/>
                      <w:u w:val="none"/>
                      <w:lang w:val="en-US" w:eastAsia="zh-CN"/>
                    </w:rPr>
                    <w:t>大部利用现有已建成道路减少项目水土流失</w:t>
                  </w:r>
                </w:p>
              </w:tc>
              <w:tc>
                <w:tcPr>
                  <w:tcW w:w="1446" w:type="pct"/>
                  <w:shd w:val="clear" w:color="auto" w:fill="auto"/>
                  <w:vAlign w:val="center"/>
                </w:tcPr>
                <w:p w14:paraId="2328ADC5">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none"/>
                      <w:lang w:val="en-US" w:eastAsia="zh-CN"/>
                    </w:rPr>
                  </w:pPr>
                  <w:r>
                    <w:rPr>
                      <w:rFonts w:hint="eastAsia"/>
                      <w:color w:val="auto"/>
                      <w:kern w:val="0"/>
                      <w:sz w:val="21"/>
                      <w:szCs w:val="21"/>
                      <w:u w:val="none"/>
                      <w:lang w:val="en-US" w:eastAsia="zh-CN"/>
                    </w:rPr>
                    <w:t>具体布置见附图4</w:t>
                  </w:r>
                </w:p>
              </w:tc>
            </w:tr>
            <w:tr w14:paraId="12DF6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041E884F">
                  <w:pPr>
                    <w:keepNext w:val="0"/>
                    <w:keepLines w:val="0"/>
                    <w:suppressLineNumbers w:val="0"/>
                    <w:adjustRightInd w:val="0"/>
                    <w:snapToGrid w:val="0"/>
                    <w:spacing w:before="0" w:beforeAutospacing="0" w:after="0" w:afterAutospacing="0" w:line="240" w:lineRule="auto"/>
                    <w:ind w:left="0" w:right="0"/>
                    <w:jc w:val="center"/>
                    <w:rPr>
                      <w:rFonts w:hint="eastAsia"/>
                      <w:color w:val="auto"/>
                      <w:kern w:val="0"/>
                      <w:sz w:val="21"/>
                      <w:szCs w:val="21"/>
                      <w:highlight w:val="none"/>
                      <w:u w:val="none"/>
                      <w:lang w:val="en-US" w:eastAsia="zh-CN"/>
                    </w:rPr>
                  </w:pPr>
                </w:p>
              </w:tc>
              <w:tc>
                <w:tcPr>
                  <w:tcW w:w="618" w:type="pct"/>
                  <w:gridSpan w:val="2"/>
                  <w:shd w:val="clear" w:color="auto" w:fill="auto"/>
                  <w:vAlign w:val="center"/>
                </w:tcPr>
                <w:p w14:paraId="086325A0">
                  <w:pPr>
                    <w:keepNext w:val="0"/>
                    <w:keepLines w:val="0"/>
                    <w:suppressLineNumbers w:val="0"/>
                    <w:adjustRightInd w:val="0"/>
                    <w:snapToGrid w:val="0"/>
                    <w:spacing w:before="0" w:beforeAutospacing="0" w:after="0" w:afterAutospacing="0" w:line="240" w:lineRule="auto"/>
                    <w:ind w:left="0" w:right="0"/>
                    <w:jc w:val="center"/>
                    <w:rPr>
                      <w:rFonts w:hint="eastAsia"/>
                      <w:color w:val="auto"/>
                      <w:sz w:val="21"/>
                      <w:szCs w:val="21"/>
                      <w:highlight w:val="none"/>
                      <w:u w:val="single"/>
                      <w:lang w:val="en-US" w:eastAsia="zh-CN"/>
                    </w:rPr>
                  </w:pPr>
                  <w:r>
                    <w:rPr>
                      <w:rFonts w:hint="eastAsia"/>
                      <w:color w:val="auto"/>
                      <w:sz w:val="21"/>
                      <w:szCs w:val="21"/>
                      <w:highlight w:val="none"/>
                      <w:u w:val="single"/>
                      <w:lang w:val="en-US" w:eastAsia="zh-CN"/>
                    </w:rPr>
                    <w:t>临时施工材料、设备堆放场</w:t>
                  </w:r>
                </w:p>
              </w:tc>
              <w:tc>
                <w:tcPr>
                  <w:tcW w:w="2495" w:type="pct"/>
                  <w:shd w:val="clear" w:color="auto" w:fill="auto"/>
                  <w:vAlign w:val="center"/>
                </w:tcPr>
                <w:p w14:paraId="0CB4A9BF">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highlight w:val="none"/>
                      <w:u w:val="none"/>
                      <w:lang w:val="en-US"/>
                    </w:rPr>
                  </w:pPr>
                  <w:r>
                    <w:rPr>
                      <w:rFonts w:hint="default"/>
                      <w:color w:val="auto"/>
                      <w:kern w:val="0"/>
                      <w:sz w:val="21"/>
                      <w:szCs w:val="21"/>
                      <w:highlight w:val="none"/>
                      <w:u w:val="none"/>
                      <w:lang w:val="en-US"/>
                    </w:rPr>
                    <w:t>临时施工材料、设备堆放场设置时占地类型考虑为荒地、草地，植被主要以杂草为主，不涉及占用基本农田、生态公益林，场地临近城市道路，交通便利，有利于施工，占地约1200m²</w:t>
                  </w:r>
                </w:p>
              </w:tc>
              <w:tc>
                <w:tcPr>
                  <w:tcW w:w="1446" w:type="pct"/>
                  <w:shd w:val="clear" w:color="auto" w:fill="auto"/>
                  <w:vAlign w:val="center"/>
                </w:tcPr>
                <w:p w14:paraId="5BA389A7">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none"/>
                      <w:lang w:val="en-US" w:eastAsia="zh-CN"/>
                    </w:rPr>
                  </w:pPr>
                  <w:r>
                    <w:rPr>
                      <w:rFonts w:hint="default"/>
                      <w:color w:val="auto"/>
                      <w:kern w:val="0"/>
                      <w:sz w:val="21"/>
                      <w:szCs w:val="21"/>
                      <w:highlight w:val="none"/>
                      <w:u w:val="none"/>
                      <w:lang w:val="en-US"/>
                    </w:rPr>
                    <w:t>施工人员主要为当地居民，租赁</w:t>
                  </w:r>
                  <w:r>
                    <w:rPr>
                      <w:rFonts w:hint="eastAsia"/>
                      <w:color w:val="auto"/>
                      <w:kern w:val="0"/>
                      <w:sz w:val="21"/>
                      <w:szCs w:val="21"/>
                      <w:highlight w:val="none"/>
                      <w:u w:val="none"/>
                      <w:lang w:val="en-US" w:eastAsia="zh-CN"/>
                    </w:rPr>
                    <w:t>附近</w:t>
                  </w:r>
                  <w:r>
                    <w:rPr>
                      <w:rFonts w:hint="default"/>
                      <w:color w:val="auto"/>
                      <w:kern w:val="0"/>
                      <w:sz w:val="21"/>
                      <w:szCs w:val="21"/>
                      <w:highlight w:val="none"/>
                      <w:u w:val="none"/>
                      <w:lang w:val="en-US"/>
                    </w:rPr>
                    <w:t>居民房用于</w:t>
                  </w:r>
                  <w:r>
                    <w:rPr>
                      <w:rFonts w:hint="eastAsia"/>
                      <w:color w:val="auto"/>
                      <w:kern w:val="0"/>
                      <w:sz w:val="21"/>
                      <w:szCs w:val="21"/>
                      <w:highlight w:val="none"/>
                      <w:u w:val="none"/>
                      <w:lang w:val="en-US" w:eastAsia="zh-CN"/>
                    </w:rPr>
                    <w:t>临时办公</w:t>
                  </w:r>
                </w:p>
              </w:tc>
            </w:tr>
            <w:tr w14:paraId="20CE5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7D32B9BD">
                  <w:pPr>
                    <w:keepNext w:val="0"/>
                    <w:keepLines w:val="0"/>
                    <w:suppressLineNumbers w:val="0"/>
                    <w:adjustRightInd w:val="0"/>
                    <w:snapToGrid w:val="0"/>
                    <w:spacing w:before="0" w:beforeAutospacing="0" w:after="0" w:afterAutospacing="0" w:line="240" w:lineRule="auto"/>
                    <w:ind w:left="0" w:right="0"/>
                    <w:jc w:val="center"/>
                    <w:rPr>
                      <w:rFonts w:hint="eastAsia"/>
                      <w:color w:val="auto"/>
                      <w:kern w:val="0"/>
                      <w:sz w:val="21"/>
                      <w:szCs w:val="21"/>
                      <w:highlight w:val="none"/>
                      <w:u w:val="none"/>
                      <w:lang w:val="en-US" w:eastAsia="zh-CN"/>
                    </w:rPr>
                  </w:pPr>
                </w:p>
              </w:tc>
              <w:tc>
                <w:tcPr>
                  <w:tcW w:w="618" w:type="pct"/>
                  <w:gridSpan w:val="2"/>
                  <w:shd w:val="clear" w:color="auto" w:fill="auto"/>
                  <w:vAlign w:val="center"/>
                </w:tcPr>
                <w:p w14:paraId="320C3FAF">
                  <w:pPr>
                    <w:keepNext w:val="0"/>
                    <w:keepLines w:val="0"/>
                    <w:suppressLineNumbers w:val="0"/>
                    <w:adjustRightInd w:val="0"/>
                    <w:snapToGrid w:val="0"/>
                    <w:spacing w:before="0" w:beforeAutospacing="0" w:after="0" w:afterAutospacing="0" w:line="240" w:lineRule="auto"/>
                    <w:ind w:left="0" w:right="0"/>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沉淀池与污水处理区</w:t>
                  </w:r>
                </w:p>
              </w:tc>
              <w:tc>
                <w:tcPr>
                  <w:tcW w:w="2495" w:type="pct"/>
                  <w:vMerge w:val="restart"/>
                  <w:shd w:val="clear" w:color="auto" w:fill="auto"/>
                  <w:vAlign w:val="center"/>
                </w:tcPr>
                <w:p w14:paraId="493D73E3">
                  <w:pPr>
                    <w:keepNext w:val="0"/>
                    <w:keepLines w:val="0"/>
                    <w:suppressLineNumbers w:val="0"/>
                    <w:adjustRightInd w:val="0"/>
                    <w:snapToGrid w:val="0"/>
                    <w:spacing w:before="0" w:beforeAutospacing="0" w:after="0" w:afterAutospacing="0" w:line="240" w:lineRule="auto"/>
                    <w:ind w:left="0" w:right="0"/>
                    <w:jc w:val="left"/>
                    <w:rPr>
                      <w:rFonts w:hint="eastAsia" w:eastAsia="宋体"/>
                      <w:color w:val="auto"/>
                      <w:kern w:val="0"/>
                      <w:sz w:val="21"/>
                      <w:szCs w:val="21"/>
                      <w:highlight w:val="none"/>
                      <w:u w:val="single"/>
                      <w:lang w:val="en-US" w:eastAsia="zh-CN"/>
                    </w:rPr>
                  </w:pPr>
                  <w:r>
                    <w:rPr>
                      <w:rFonts w:hint="eastAsia"/>
                      <w:color w:val="auto"/>
                      <w:u w:val="single"/>
                    </w:rPr>
                    <w:t>于排水出口处布设了临时沉砂池过滤泥沙。沉砂池可有效过滤汇流中的泥沙，避免汇流夹带泥沙直接排入周边市政管网，属于水土保持工程，纳入水土流失防治措施体系</w:t>
                  </w:r>
                  <w:r>
                    <w:rPr>
                      <w:rFonts w:hint="eastAsia"/>
                      <w:color w:val="auto"/>
                      <w:u w:val="single"/>
                      <w:lang w:eastAsia="zh-CN"/>
                    </w:rPr>
                    <w:t>（</w:t>
                  </w:r>
                  <w:r>
                    <w:rPr>
                      <w:rFonts w:hint="eastAsia"/>
                      <w:color w:val="auto"/>
                      <w:u w:val="single"/>
                      <w:lang w:val="en-US" w:eastAsia="zh-CN"/>
                    </w:rPr>
                    <w:t>同时配备应急设施</w:t>
                  </w:r>
                  <w:r>
                    <w:rPr>
                      <w:rFonts w:hint="default"/>
                      <w:color w:val="auto"/>
                      <w:kern w:val="0"/>
                      <w:sz w:val="21"/>
                      <w:szCs w:val="21"/>
                      <w:highlight w:val="none"/>
                      <w:u w:val="single"/>
                      <w:lang w:val="en-US"/>
                    </w:rPr>
                    <w:t>污坝、抽水泵站</w:t>
                  </w:r>
                  <w:r>
                    <w:rPr>
                      <w:rFonts w:hint="eastAsia"/>
                      <w:color w:val="auto"/>
                      <w:kern w:val="0"/>
                      <w:sz w:val="21"/>
                      <w:szCs w:val="21"/>
                      <w:highlight w:val="none"/>
                      <w:u w:val="single"/>
                      <w:lang w:val="en-US" w:eastAsia="zh-CN"/>
                    </w:rPr>
                    <w:t>等</w:t>
                  </w:r>
                  <w:r>
                    <w:rPr>
                      <w:rFonts w:hint="eastAsia"/>
                      <w:color w:val="auto"/>
                      <w:u w:val="single"/>
                      <w:lang w:eastAsia="zh-CN"/>
                    </w:rPr>
                    <w:t>）</w:t>
                  </w:r>
                </w:p>
              </w:tc>
              <w:tc>
                <w:tcPr>
                  <w:tcW w:w="1446" w:type="pct"/>
                  <w:shd w:val="clear" w:color="auto" w:fill="auto"/>
                  <w:vAlign w:val="center"/>
                </w:tcPr>
                <w:p w14:paraId="7FE8A083">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none"/>
                      <w:u w:val="single"/>
                      <w:lang w:val="en-US" w:eastAsia="zh-CN"/>
                    </w:rPr>
                  </w:pPr>
                  <w:r>
                    <w:rPr>
                      <w:rFonts w:hint="eastAsia"/>
                      <w:color w:val="auto"/>
                      <w:kern w:val="0"/>
                      <w:sz w:val="21"/>
                      <w:szCs w:val="21"/>
                      <w:highlight w:val="none"/>
                      <w:u w:val="single"/>
                      <w:lang w:val="en-US" w:eastAsia="zh-CN"/>
                    </w:rPr>
                    <w:t>/</w:t>
                  </w:r>
                </w:p>
              </w:tc>
            </w:tr>
            <w:tr w14:paraId="22D67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6C46485E">
                  <w:pPr>
                    <w:keepNext w:val="0"/>
                    <w:keepLines w:val="0"/>
                    <w:suppressLineNumbers w:val="0"/>
                    <w:adjustRightInd w:val="0"/>
                    <w:snapToGrid w:val="0"/>
                    <w:spacing w:before="0" w:beforeAutospacing="0" w:after="0" w:afterAutospacing="0" w:line="240" w:lineRule="auto"/>
                    <w:ind w:left="0" w:right="0"/>
                    <w:jc w:val="center"/>
                    <w:rPr>
                      <w:rFonts w:hint="eastAsia"/>
                      <w:color w:val="auto"/>
                      <w:kern w:val="0"/>
                      <w:sz w:val="21"/>
                      <w:szCs w:val="21"/>
                      <w:highlight w:val="none"/>
                      <w:u w:val="none"/>
                      <w:lang w:val="en-US" w:eastAsia="zh-CN"/>
                    </w:rPr>
                  </w:pPr>
                </w:p>
              </w:tc>
              <w:tc>
                <w:tcPr>
                  <w:tcW w:w="618" w:type="pct"/>
                  <w:gridSpan w:val="2"/>
                  <w:shd w:val="clear" w:color="auto" w:fill="auto"/>
                  <w:vAlign w:val="center"/>
                </w:tcPr>
                <w:p w14:paraId="4F34D369">
                  <w:pPr>
                    <w:keepNext w:val="0"/>
                    <w:keepLines w:val="0"/>
                    <w:suppressLineNumbers w:val="0"/>
                    <w:adjustRightInd w:val="0"/>
                    <w:snapToGrid w:val="0"/>
                    <w:spacing w:before="0" w:beforeAutospacing="0" w:after="0" w:afterAutospacing="0" w:line="240" w:lineRule="auto"/>
                    <w:ind w:left="0" w:right="0"/>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临时排水沟、临时沉砂池</w:t>
                  </w:r>
                </w:p>
              </w:tc>
              <w:tc>
                <w:tcPr>
                  <w:tcW w:w="2495" w:type="pct"/>
                  <w:vMerge w:val="continue"/>
                  <w:shd w:val="clear" w:color="auto" w:fill="auto"/>
                  <w:vAlign w:val="center"/>
                </w:tcPr>
                <w:p w14:paraId="2A845FC1">
                  <w:pPr>
                    <w:keepNext w:val="0"/>
                    <w:keepLines w:val="0"/>
                    <w:suppressLineNumbers w:val="0"/>
                    <w:adjustRightInd w:val="0"/>
                    <w:snapToGrid w:val="0"/>
                    <w:spacing w:before="0" w:beforeAutospacing="0" w:after="0" w:afterAutospacing="0" w:line="240" w:lineRule="auto"/>
                    <w:ind w:left="0" w:right="0"/>
                    <w:jc w:val="left"/>
                    <w:rPr>
                      <w:rFonts w:hint="eastAsia"/>
                      <w:color w:val="auto"/>
                      <w:u w:val="single"/>
                    </w:rPr>
                  </w:pPr>
                </w:p>
              </w:tc>
              <w:tc>
                <w:tcPr>
                  <w:tcW w:w="1446" w:type="pct"/>
                  <w:shd w:val="clear" w:color="auto" w:fill="auto"/>
                  <w:vAlign w:val="center"/>
                </w:tcPr>
                <w:p w14:paraId="3B4880EC">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none"/>
                      <w:u w:val="single"/>
                      <w:lang w:val="en-US" w:eastAsia="zh-CN"/>
                    </w:rPr>
                  </w:pPr>
                  <w:r>
                    <w:rPr>
                      <w:rFonts w:hint="eastAsia"/>
                      <w:color w:val="auto"/>
                      <w:kern w:val="0"/>
                      <w:sz w:val="21"/>
                      <w:szCs w:val="21"/>
                      <w:highlight w:val="none"/>
                      <w:u w:val="single"/>
                      <w:lang w:val="en-US" w:eastAsia="zh-CN"/>
                    </w:rPr>
                    <w:t>/</w:t>
                  </w:r>
                </w:p>
              </w:tc>
            </w:tr>
            <w:tr w14:paraId="4CD8F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shd w:val="clear" w:color="auto" w:fill="auto"/>
                  <w:vAlign w:val="center"/>
                </w:tcPr>
                <w:p w14:paraId="04448F02">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none"/>
                      <w:u w:val="single"/>
                    </w:rPr>
                  </w:pPr>
                  <w:r>
                    <w:rPr>
                      <w:rFonts w:hint="eastAsia"/>
                      <w:color w:val="auto"/>
                      <w:kern w:val="0"/>
                      <w:sz w:val="21"/>
                      <w:szCs w:val="21"/>
                      <w:highlight w:val="none"/>
                      <w:u w:val="single"/>
                    </w:rPr>
                    <w:t>储运工程</w:t>
                  </w:r>
                </w:p>
              </w:tc>
              <w:tc>
                <w:tcPr>
                  <w:tcW w:w="618" w:type="pct"/>
                  <w:gridSpan w:val="2"/>
                  <w:shd w:val="clear" w:color="auto" w:fill="auto"/>
                  <w:vAlign w:val="center"/>
                </w:tcPr>
                <w:p w14:paraId="23B49D7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eastAsia="宋体"/>
                      <w:color w:val="auto"/>
                      <w:kern w:val="0"/>
                      <w:sz w:val="21"/>
                      <w:szCs w:val="21"/>
                      <w:highlight w:val="none"/>
                      <w:u w:val="single"/>
                      <w:lang w:eastAsia="zh-CN"/>
                    </w:rPr>
                  </w:pPr>
                  <w:r>
                    <w:rPr>
                      <w:rFonts w:hint="eastAsia"/>
                      <w:color w:val="auto"/>
                      <w:kern w:val="0"/>
                      <w:sz w:val="21"/>
                      <w:szCs w:val="21"/>
                      <w:highlight w:val="none"/>
                      <w:u w:val="single"/>
                      <w:lang w:val="en-US" w:eastAsia="zh-CN"/>
                    </w:rPr>
                    <w:t>运输道路</w:t>
                  </w:r>
                </w:p>
              </w:tc>
              <w:tc>
                <w:tcPr>
                  <w:tcW w:w="2495" w:type="pct"/>
                  <w:shd w:val="clear" w:color="auto" w:fill="auto"/>
                  <w:vAlign w:val="center"/>
                </w:tcPr>
                <w:p w14:paraId="302E1EB3">
                  <w:pPr>
                    <w:keepNext w:val="0"/>
                    <w:keepLines w:val="0"/>
                    <w:suppressLineNumbers w:val="0"/>
                    <w:adjustRightInd w:val="0"/>
                    <w:snapToGrid w:val="0"/>
                    <w:spacing w:before="0" w:beforeAutospacing="0" w:after="0" w:afterAutospacing="0" w:line="240" w:lineRule="auto"/>
                    <w:ind w:left="0" w:leftChars="0" w:right="0" w:rightChars="0"/>
                    <w:jc w:val="left"/>
                    <w:rPr>
                      <w:rFonts w:hint="default"/>
                      <w:color w:val="auto"/>
                      <w:kern w:val="0"/>
                      <w:sz w:val="21"/>
                      <w:szCs w:val="21"/>
                      <w:highlight w:val="none"/>
                      <w:u w:val="single"/>
                    </w:rPr>
                  </w:pPr>
                  <w:r>
                    <w:rPr>
                      <w:rFonts w:hint="eastAsia"/>
                      <w:color w:val="auto"/>
                      <w:kern w:val="0"/>
                      <w:sz w:val="21"/>
                      <w:szCs w:val="21"/>
                      <w:highlight w:val="none"/>
                      <w:u w:val="single"/>
                      <w:lang w:val="en-US" w:eastAsia="zh-CN"/>
                    </w:rPr>
                    <w:t>依托现有道路</w:t>
                  </w:r>
                </w:p>
              </w:tc>
              <w:tc>
                <w:tcPr>
                  <w:tcW w:w="1446" w:type="pct"/>
                  <w:shd w:val="clear" w:color="auto" w:fill="auto"/>
                  <w:vAlign w:val="center"/>
                </w:tcPr>
                <w:p w14:paraId="1A68D05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u w:val="single"/>
                      <w:lang w:val="en-US" w:eastAsia="zh-CN" w:bidi="ar-SA"/>
                    </w:rPr>
                  </w:pPr>
                  <w:r>
                    <w:rPr>
                      <w:rFonts w:hint="eastAsia" w:cs="Times New Roman"/>
                      <w:b/>
                      <w:bCs/>
                      <w:color w:val="auto"/>
                      <w:kern w:val="0"/>
                      <w:sz w:val="21"/>
                      <w:szCs w:val="21"/>
                      <w:highlight w:val="none"/>
                      <w:u w:val="single"/>
                      <w:lang w:val="en-US" w:eastAsia="zh-CN" w:bidi="ar-SA"/>
                    </w:rPr>
                    <w:t>/</w:t>
                  </w:r>
                </w:p>
              </w:tc>
            </w:tr>
            <w:tr w14:paraId="2817B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restart"/>
                  <w:shd w:val="clear" w:color="auto" w:fill="auto"/>
                  <w:vAlign w:val="center"/>
                </w:tcPr>
                <w:p w14:paraId="196BC0F3">
                  <w:pPr>
                    <w:keepNext w:val="0"/>
                    <w:keepLines w:val="0"/>
                    <w:suppressLineNumbers w:val="0"/>
                    <w:adjustRightInd w:val="0"/>
                    <w:snapToGrid w:val="0"/>
                    <w:spacing w:before="0" w:beforeAutospacing="0" w:after="0" w:afterAutospacing="0" w:line="240" w:lineRule="auto"/>
                    <w:ind w:left="0" w:right="0"/>
                    <w:jc w:val="center"/>
                    <w:rPr>
                      <w:rFonts w:hint="default"/>
                      <w:color w:val="FF0000"/>
                      <w:kern w:val="0"/>
                      <w:sz w:val="21"/>
                      <w:szCs w:val="21"/>
                      <w:u w:val="none"/>
                    </w:rPr>
                  </w:pPr>
                  <w:r>
                    <w:rPr>
                      <w:rFonts w:hint="eastAsia"/>
                      <w:color w:val="auto"/>
                      <w:kern w:val="0"/>
                      <w:sz w:val="21"/>
                      <w:szCs w:val="21"/>
                      <w:u w:val="none"/>
                    </w:rPr>
                    <w:t>公用工程</w:t>
                  </w:r>
                </w:p>
              </w:tc>
              <w:tc>
                <w:tcPr>
                  <w:tcW w:w="618" w:type="pct"/>
                  <w:gridSpan w:val="2"/>
                  <w:shd w:val="clear" w:color="auto" w:fill="auto"/>
                  <w:vAlign w:val="center"/>
                </w:tcPr>
                <w:p w14:paraId="3A96EC53">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none"/>
                    </w:rPr>
                  </w:pPr>
                  <w:r>
                    <w:rPr>
                      <w:rFonts w:hint="eastAsia"/>
                      <w:color w:val="auto"/>
                      <w:kern w:val="0"/>
                      <w:sz w:val="21"/>
                      <w:szCs w:val="21"/>
                      <w:u w:val="none"/>
                    </w:rPr>
                    <w:t>供水</w:t>
                  </w:r>
                </w:p>
              </w:tc>
              <w:tc>
                <w:tcPr>
                  <w:tcW w:w="2495" w:type="pct"/>
                  <w:shd w:val="clear" w:color="auto" w:fill="auto"/>
                  <w:vAlign w:val="center"/>
                </w:tcPr>
                <w:p w14:paraId="10A745A5">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u w:val="none"/>
                      <w:lang w:val="en-US" w:eastAsia="zh-CN"/>
                    </w:rPr>
                  </w:pPr>
                  <w:r>
                    <w:rPr>
                      <w:rFonts w:hint="eastAsia"/>
                      <w:color w:val="auto"/>
                      <w:kern w:val="0"/>
                      <w:sz w:val="21"/>
                      <w:szCs w:val="21"/>
                      <w:u w:val="none"/>
                      <w:lang w:val="en-US" w:eastAsia="zh-CN"/>
                    </w:rPr>
                    <w:t>城区供水管网提供</w:t>
                  </w:r>
                </w:p>
              </w:tc>
              <w:tc>
                <w:tcPr>
                  <w:tcW w:w="1446" w:type="pct"/>
                  <w:shd w:val="clear" w:color="auto" w:fill="auto"/>
                  <w:vAlign w:val="center"/>
                </w:tcPr>
                <w:p w14:paraId="7975C76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bidi="ar-SA"/>
                    </w:rPr>
                    <w:t>/</w:t>
                  </w:r>
                </w:p>
              </w:tc>
            </w:tr>
            <w:tr w14:paraId="50C5F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73CBC8F9">
                  <w:pPr>
                    <w:keepNext w:val="0"/>
                    <w:keepLines w:val="0"/>
                    <w:suppressLineNumbers w:val="0"/>
                    <w:adjustRightInd w:val="0"/>
                    <w:snapToGrid w:val="0"/>
                    <w:spacing w:before="0" w:beforeAutospacing="0" w:after="0" w:afterAutospacing="0" w:line="240" w:lineRule="auto"/>
                    <w:ind w:left="0" w:right="0"/>
                    <w:jc w:val="center"/>
                    <w:rPr>
                      <w:rFonts w:hint="eastAsia"/>
                      <w:color w:val="auto"/>
                      <w:kern w:val="0"/>
                      <w:sz w:val="21"/>
                      <w:szCs w:val="21"/>
                      <w:u w:val="none"/>
                    </w:rPr>
                  </w:pPr>
                </w:p>
              </w:tc>
              <w:tc>
                <w:tcPr>
                  <w:tcW w:w="618" w:type="pct"/>
                  <w:gridSpan w:val="2"/>
                  <w:shd w:val="clear" w:color="auto" w:fill="auto"/>
                  <w:vAlign w:val="center"/>
                </w:tcPr>
                <w:p w14:paraId="42462C02">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u w:val="none"/>
                      <w:lang w:val="en-US" w:eastAsia="zh-CN"/>
                    </w:rPr>
                  </w:pPr>
                  <w:r>
                    <w:rPr>
                      <w:rFonts w:hint="eastAsia"/>
                      <w:color w:val="auto"/>
                      <w:kern w:val="0"/>
                      <w:sz w:val="21"/>
                      <w:szCs w:val="21"/>
                      <w:u w:val="none"/>
                      <w:lang w:val="en-US" w:eastAsia="zh-CN"/>
                    </w:rPr>
                    <w:t>排水</w:t>
                  </w:r>
                </w:p>
              </w:tc>
              <w:tc>
                <w:tcPr>
                  <w:tcW w:w="2495" w:type="pct"/>
                  <w:shd w:val="clear" w:color="auto" w:fill="auto"/>
                  <w:vAlign w:val="center"/>
                </w:tcPr>
                <w:p w14:paraId="088C379B">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u w:val="none"/>
                      <w:lang w:val="en-US" w:eastAsia="zh-CN"/>
                    </w:rPr>
                  </w:pPr>
                  <w:r>
                    <w:rPr>
                      <w:rFonts w:hint="eastAsia" w:eastAsia="宋体"/>
                      <w:color w:val="auto"/>
                      <w:kern w:val="0"/>
                      <w:sz w:val="21"/>
                      <w:szCs w:val="21"/>
                      <w:highlight w:val="none"/>
                      <w:u w:val="none"/>
                      <w:lang w:val="en-US" w:eastAsia="zh-CN"/>
                    </w:rPr>
                    <w:t>淤泥脱水废水经三级沉淀池→混凝沉淀（PAC+PAM）→活性炭吸附→清水池回用/达标排放，回用为主（80%），达标外排为辅（20%）。外排水需要执行《污水综合排放标准》（GB 8978-1996）一级标准。</w:t>
                  </w:r>
                  <w:r>
                    <w:rPr>
                      <w:rFonts w:hint="eastAsia"/>
                      <w:color w:val="auto"/>
                      <w:kern w:val="0"/>
                      <w:sz w:val="21"/>
                      <w:szCs w:val="21"/>
                      <w:highlight w:val="none"/>
                      <w:u w:val="none"/>
                      <w:lang w:val="en-US" w:eastAsia="zh-CN"/>
                    </w:rPr>
                    <w:t>施工场地设置机械、车辆冲洗检修平台，并设置集水沟，建设沉淀池、隔油池进行处理后用来施工现场洒水抑尘用或回用于车辆冲洗，不外排入地表水体。员工生活依托租赁民房，产生的废水经市政污水管网排放处理。营运期间无外排废水。</w:t>
                  </w:r>
                </w:p>
              </w:tc>
              <w:tc>
                <w:tcPr>
                  <w:tcW w:w="1446" w:type="pct"/>
                  <w:shd w:val="clear" w:color="auto" w:fill="auto"/>
                  <w:vAlign w:val="center"/>
                </w:tcPr>
                <w:p w14:paraId="0F3292A9">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none"/>
                      <w:lang w:val="en-US" w:eastAsia="zh-CN"/>
                    </w:rPr>
                  </w:pPr>
                  <w:r>
                    <w:rPr>
                      <w:rFonts w:hint="eastAsia"/>
                      <w:color w:val="auto"/>
                      <w:kern w:val="0"/>
                      <w:sz w:val="21"/>
                      <w:szCs w:val="21"/>
                      <w:u w:val="none"/>
                      <w:lang w:val="en-US" w:eastAsia="zh-CN"/>
                    </w:rPr>
                    <w:t>/</w:t>
                  </w:r>
                </w:p>
              </w:tc>
            </w:tr>
            <w:tr w14:paraId="5CFBB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6849467D">
                  <w:pPr>
                    <w:keepNext w:val="0"/>
                    <w:keepLines w:val="0"/>
                    <w:suppressLineNumbers w:val="0"/>
                    <w:adjustRightInd w:val="0"/>
                    <w:snapToGrid w:val="0"/>
                    <w:spacing w:before="0" w:beforeAutospacing="0" w:after="0" w:afterAutospacing="0" w:line="240" w:lineRule="auto"/>
                    <w:ind w:left="0" w:right="0"/>
                    <w:jc w:val="center"/>
                    <w:rPr>
                      <w:rFonts w:hint="default"/>
                      <w:color w:val="FF0000"/>
                      <w:kern w:val="0"/>
                      <w:sz w:val="21"/>
                      <w:szCs w:val="21"/>
                      <w:u w:val="none"/>
                    </w:rPr>
                  </w:pPr>
                </w:p>
              </w:tc>
              <w:tc>
                <w:tcPr>
                  <w:tcW w:w="618" w:type="pct"/>
                  <w:gridSpan w:val="2"/>
                  <w:shd w:val="clear" w:color="auto" w:fill="auto"/>
                  <w:vAlign w:val="center"/>
                </w:tcPr>
                <w:p w14:paraId="0C7832BE">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u w:val="none"/>
                    </w:rPr>
                  </w:pPr>
                  <w:r>
                    <w:rPr>
                      <w:rFonts w:hint="eastAsia"/>
                      <w:color w:val="auto"/>
                      <w:kern w:val="0"/>
                      <w:sz w:val="21"/>
                      <w:szCs w:val="21"/>
                      <w:u w:val="none"/>
                    </w:rPr>
                    <w:t>供电</w:t>
                  </w:r>
                </w:p>
              </w:tc>
              <w:tc>
                <w:tcPr>
                  <w:tcW w:w="2495" w:type="pct"/>
                  <w:shd w:val="clear" w:color="auto" w:fill="auto"/>
                  <w:vAlign w:val="center"/>
                </w:tcPr>
                <w:p w14:paraId="5F77F3D7">
                  <w:pPr>
                    <w:keepNext w:val="0"/>
                    <w:keepLines w:val="0"/>
                    <w:suppressLineNumbers w:val="0"/>
                    <w:adjustRightInd w:val="0"/>
                    <w:snapToGrid w:val="0"/>
                    <w:spacing w:before="0" w:beforeAutospacing="0" w:after="0" w:afterAutospacing="0" w:line="240" w:lineRule="auto"/>
                    <w:ind w:left="0" w:right="0"/>
                    <w:jc w:val="left"/>
                    <w:rPr>
                      <w:rFonts w:hint="default" w:eastAsia="宋体"/>
                      <w:color w:val="auto"/>
                      <w:kern w:val="0"/>
                      <w:sz w:val="21"/>
                      <w:szCs w:val="21"/>
                      <w:u w:val="none"/>
                      <w:lang w:val="en-US" w:eastAsia="zh-CN"/>
                    </w:rPr>
                  </w:pPr>
                  <w:r>
                    <w:rPr>
                      <w:rFonts w:hint="eastAsia"/>
                      <w:color w:val="auto"/>
                      <w:kern w:val="0"/>
                      <w:sz w:val="21"/>
                      <w:szCs w:val="21"/>
                      <w:u w:val="none"/>
                      <w:lang w:val="en-US" w:eastAsia="zh-CN"/>
                    </w:rPr>
                    <w:t>城区供电系统提供</w:t>
                  </w:r>
                </w:p>
              </w:tc>
              <w:tc>
                <w:tcPr>
                  <w:tcW w:w="1446" w:type="pct"/>
                  <w:shd w:val="clear" w:color="auto" w:fill="auto"/>
                  <w:vAlign w:val="center"/>
                </w:tcPr>
                <w:p w14:paraId="66A7DE2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bidi="ar-SA"/>
                    </w:rPr>
                    <w:t>/</w:t>
                  </w:r>
                </w:p>
              </w:tc>
            </w:tr>
            <w:tr w14:paraId="65901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restart"/>
                  <w:shd w:val="clear" w:color="auto" w:fill="auto"/>
                  <w:vAlign w:val="center"/>
                </w:tcPr>
                <w:p w14:paraId="537A8485">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yellow"/>
                      <w:u w:val="single"/>
                    </w:rPr>
                  </w:pPr>
                  <w:r>
                    <w:rPr>
                      <w:rFonts w:hint="eastAsia"/>
                      <w:color w:val="auto"/>
                      <w:kern w:val="0"/>
                      <w:sz w:val="21"/>
                      <w:szCs w:val="21"/>
                      <w:highlight w:val="none"/>
                      <w:u w:val="single"/>
                    </w:rPr>
                    <w:t>环保工程</w:t>
                  </w:r>
                </w:p>
              </w:tc>
              <w:tc>
                <w:tcPr>
                  <w:tcW w:w="280" w:type="pct"/>
                  <w:vMerge w:val="restart"/>
                  <w:shd w:val="clear" w:color="auto" w:fill="auto"/>
                  <w:vAlign w:val="center"/>
                </w:tcPr>
                <w:p w14:paraId="71D87EE8">
                  <w:pPr>
                    <w:keepNext w:val="0"/>
                    <w:keepLines w:val="0"/>
                    <w:suppressLineNumbers w:val="0"/>
                    <w:adjustRightInd w:val="0"/>
                    <w:snapToGrid w:val="0"/>
                    <w:spacing w:before="0" w:beforeAutospacing="0" w:after="0" w:afterAutospacing="0" w:line="240" w:lineRule="auto"/>
                    <w:ind w:left="0" w:right="0"/>
                    <w:jc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施工期</w:t>
                  </w:r>
                </w:p>
              </w:tc>
              <w:tc>
                <w:tcPr>
                  <w:tcW w:w="337" w:type="pct"/>
                  <w:shd w:val="clear" w:color="auto" w:fill="auto"/>
                  <w:vAlign w:val="center"/>
                </w:tcPr>
                <w:p w14:paraId="53701031">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highlight w:val="none"/>
                      <w:u w:val="single"/>
                      <w:lang w:val="en-US" w:eastAsia="zh-CN" w:bidi="ar-SA"/>
                    </w:rPr>
                  </w:pPr>
                  <w:r>
                    <w:rPr>
                      <w:rFonts w:hint="eastAsia"/>
                      <w:color w:val="auto"/>
                      <w:kern w:val="0"/>
                      <w:sz w:val="21"/>
                      <w:szCs w:val="21"/>
                      <w:highlight w:val="none"/>
                      <w:u w:val="single"/>
                      <w:lang w:val="en-US" w:eastAsia="zh-CN"/>
                    </w:rPr>
                    <w:t>废水</w:t>
                  </w:r>
                </w:p>
              </w:tc>
              <w:tc>
                <w:tcPr>
                  <w:tcW w:w="2495" w:type="pct"/>
                  <w:shd w:val="clear" w:color="auto" w:fill="auto"/>
                  <w:vAlign w:val="center"/>
                </w:tcPr>
                <w:p w14:paraId="4BA24CDC">
                  <w:pPr>
                    <w:keepNext w:val="0"/>
                    <w:keepLines w:val="0"/>
                    <w:suppressLineNumbers w:val="0"/>
                    <w:adjustRightInd w:val="0"/>
                    <w:snapToGrid w:val="0"/>
                    <w:spacing w:before="0" w:beforeAutospacing="0" w:after="0" w:afterAutospacing="0" w:line="240" w:lineRule="auto"/>
                    <w:ind w:left="0" w:right="0"/>
                    <w:jc w:val="left"/>
                    <w:rPr>
                      <w:rFonts w:hint="eastAsia" w:eastAsia="宋体"/>
                      <w:color w:val="auto"/>
                      <w:kern w:val="0"/>
                      <w:sz w:val="21"/>
                      <w:szCs w:val="21"/>
                      <w:highlight w:val="none"/>
                      <w:u w:val="single"/>
                      <w:lang w:val="en-US" w:eastAsia="zh-CN"/>
                    </w:rPr>
                  </w:pPr>
                  <w:r>
                    <w:rPr>
                      <w:rFonts w:hint="eastAsia" w:eastAsia="宋体"/>
                      <w:color w:val="auto"/>
                      <w:kern w:val="0"/>
                      <w:sz w:val="21"/>
                      <w:szCs w:val="21"/>
                      <w:highlight w:val="none"/>
                      <w:u w:val="single"/>
                      <w:lang w:val="en-US" w:eastAsia="zh-CN"/>
                    </w:rPr>
                    <w:t>施工期间淤泥脱水废水经三级沉淀池→混凝沉淀（PAC+PAM）→活性炭吸附→清水池回用/达标排放，施工场地设置机械、车辆冲洗检修平台，并设置集水沟，建设沉淀池、隔油池进行处理后用来施工现场洒水抑尘用或回用于车辆冲洗，不外排入地表水体。员工生活依托租赁民房，产生的废水经市政污水管网排放处理。营运期间无外排废水。</w:t>
                  </w:r>
                </w:p>
              </w:tc>
              <w:tc>
                <w:tcPr>
                  <w:tcW w:w="1446" w:type="pct"/>
                  <w:shd w:val="clear" w:color="auto" w:fill="auto"/>
                  <w:vAlign w:val="center"/>
                </w:tcPr>
                <w:p w14:paraId="08187A25">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highlight w:val="yellow"/>
                      <w:u w:val="single"/>
                      <w:lang w:val="en-US" w:eastAsia="zh-CN"/>
                    </w:rPr>
                  </w:pPr>
                  <w:r>
                    <w:rPr>
                      <w:rFonts w:hint="eastAsia"/>
                      <w:color w:val="auto"/>
                      <w:kern w:val="0"/>
                      <w:sz w:val="21"/>
                      <w:szCs w:val="21"/>
                      <w:highlight w:val="none"/>
                      <w:u w:val="single"/>
                      <w:lang w:val="en-US" w:eastAsia="zh-CN"/>
                    </w:rPr>
                    <w:t>/</w:t>
                  </w:r>
                </w:p>
              </w:tc>
            </w:tr>
            <w:tr w14:paraId="4BCE7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2" w:hRule="atLeast"/>
              </w:trPr>
              <w:tc>
                <w:tcPr>
                  <w:tcW w:w="439" w:type="pct"/>
                  <w:vMerge w:val="continue"/>
                  <w:shd w:val="clear" w:color="auto" w:fill="auto"/>
                  <w:vAlign w:val="center"/>
                </w:tcPr>
                <w:p w14:paraId="40FA3E6C">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yellow"/>
                      <w:u w:val="single"/>
                    </w:rPr>
                  </w:pPr>
                </w:p>
              </w:tc>
              <w:tc>
                <w:tcPr>
                  <w:tcW w:w="280" w:type="pct"/>
                  <w:vMerge w:val="continue"/>
                  <w:shd w:val="clear" w:color="auto" w:fill="auto"/>
                  <w:vAlign w:val="center"/>
                </w:tcPr>
                <w:p w14:paraId="7B696CC0">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highlight w:val="none"/>
                      <w:u w:val="single"/>
                      <w:lang w:val="en-US" w:eastAsia="zh-CN"/>
                    </w:rPr>
                  </w:pPr>
                </w:p>
              </w:tc>
              <w:tc>
                <w:tcPr>
                  <w:tcW w:w="337" w:type="pct"/>
                  <w:shd w:val="clear" w:color="auto" w:fill="auto"/>
                  <w:vAlign w:val="center"/>
                </w:tcPr>
                <w:p w14:paraId="1FFA7D0D">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highlight w:val="none"/>
                      <w:u w:val="single"/>
                      <w:lang w:val="en-US" w:eastAsia="zh-CN" w:bidi="ar-SA"/>
                    </w:rPr>
                  </w:pPr>
                  <w:r>
                    <w:rPr>
                      <w:rFonts w:hint="eastAsia"/>
                      <w:color w:val="auto"/>
                      <w:kern w:val="0"/>
                      <w:sz w:val="21"/>
                      <w:szCs w:val="21"/>
                      <w:highlight w:val="none"/>
                      <w:u w:val="single"/>
                      <w:lang w:val="en-US" w:eastAsia="zh-CN"/>
                    </w:rPr>
                    <w:t>废气</w:t>
                  </w:r>
                </w:p>
              </w:tc>
              <w:tc>
                <w:tcPr>
                  <w:tcW w:w="2495" w:type="pct"/>
                  <w:shd w:val="clear" w:color="auto" w:fill="auto"/>
                  <w:vAlign w:val="center"/>
                </w:tcPr>
                <w:p w14:paraId="468C20C6">
                  <w:pPr>
                    <w:keepNext w:val="0"/>
                    <w:keepLines w:val="0"/>
                    <w:suppressLineNumbers w:val="0"/>
                    <w:adjustRightInd w:val="0"/>
                    <w:snapToGrid w:val="0"/>
                    <w:spacing w:before="0" w:beforeAutospacing="0" w:after="0" w:afterAutospacing="0" w:line="240" w:lineRule="auto"/>
                    <w:ind w:left="0" w:right="0"/>
                    <w:jc w:val="left"/>
                    <w:rPr>
                      <w:rFonts w:hint="default"/>
                    </w:rPr>
                  </w:pPr>
                  <w:r>
                    <w:rPr>
                      <w:rFonts w:hint="eastAsia" w:eastAsia="宋体"/>
                      <w:color w:val="auto"/>
                      <w:kern w:val="0"/>
                      <w:sz w:val="21"/>
                      <w:szCs w:val="21"/>
                      <w:highlight w:val="none"/>
                      <w:u w:val="single"/>
                      <w:lang w:val="en-US" w:eastAsia="zh-CN"/>
                    </w:rPr>
                    <w:t>施工扬尘：施工作业产生的灰尘，除在场的作业人员配备必要专用劳保用品外，还应随时进行洒水以使灰尘公害减至最小程度，并符合当地环保部门的有关规定。易于引起粉尘的细料或散料应予遮盖或适当洒水。运输时应用帆布、盖套或类似物品遮盖。现场的散材如砂子要三面围挡，在大风天要覆盖防止扬尘。</w:t>
                  </w:r>
                </w:p>
                <w:p w14:paraId="575197AC">
                  <w:pPr>
                    <w:keepNext w:val="0"/>
                    <w:keepLines w:val="0"/>
                    <w:suppressLineNumbers w:val="0"/>
                    <w:adjustRightInd w:val="0"/>
                    <w:snapToGrid w:val="0"/>
                    <w:spacing w:before="0" w:beforeAutospacing="0" w:after="0" w:afterAutospacing="0" w:line="240" w:lineRule="auto"/>
                    <w:ind w:left="0" w:right="0"/>
                    <w:jc w:val="left"/>
                    <w:rPr>
                      <w:rFonts w:hint="default" w:eastAsia="宋体"/>
                      <w:u w:val="single"/>
                      <w:lang w:val="en-US" w:eastAsia="zh-CN"/>
                    </w:rPr>
                  </w:pPr>
                  <w:r>
                    <w:rPr>
                      <w:rFonts w:hint="eastAsia"/>
                      <w:u w:val="single"/>
                      <w:lang w:val="en-US" w:eastAsia="zh-CN"/>
                    </w:rPr>
                    <w:t>施工机械废气：施工单位应加强施工机械设备维护，选用合格的燃油，避免排放未完全燃烧的黑烟，减轻机械尾气和发电机废气对周围空气环境的影响。</w:t>
                  </w:r>
                </w:p>
                <w:p w14:paraId="59BDF1B0">
                  <w:pPr>
                    <w:keepNext w:val="0"/>
                    <w:keepLines w:val="0"/>
                    <w:suppressLineNumbers w:val="0"/>
                    <w:adjustRightInd w:val="0"/>
                    <w:snapToGrid w:val="0"/>
                    <w:spacing w:before="0" w:beforeAutospacing="0" w:after="0" w:afterAutospacing="0" w:line="240" w:lineRule="auto"/>
                    <w:ind w:left="0" w:right="0"/>
                    <w:jc w:val="left"/>
                    <w:rPr>
                      <w:rFonts w:hint="eastAsia" w:eastAsia="宋体"/>
                      <w:color w:val="auto"/>
                      <w:kern w:val="0"/>
                      <w:sz w:val="21"/>
                      <w:szCs w:val="21"/>
                      <w:highlight w:val="none"/>
                      <w:u w:val="single"/>
                      <w:lang w:val="en-US" w:eastAsia="zh-CN"/>
                    </w:rPr>
                  </w:pPr>
                  <w:r>
                    <w:rPr>
                      <w:rFonts w:hint="eastAsia" w:eastAsia="宋体"/>
                      <w:color w:val="auto"/>
                      <w:kern w:val="0"/>
                      <w:sz w:val="21"/>
                      <w:szCs w:val="21"/>
                      <w:highlight w:val="none"/>
                      <w:u w:val="single"/>
                      <w:lang w:val="en-US" w:eastAsia="zh-CN"/>
                    </w:rPr>
                    <w:t>臭气：清淤过程中会产生臭气，需喷洒生物除臭剂，对淤泥进行覆盖遮挡</w:t>
                  </w:r>
                </w:p>
              </w:tc>
              <w:tc>
                <w:tcPr>
                  <w:tcW w:w="1446" w:type="pct"/>
                  <w:shd w:val="clear" w:color="auto" w:fill="auto"/>
                  <w:vAlign w:val="center"/>
                </w:tcPr>
                <w:p w14:paraId="0CEA47D0">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w:t>
                  </w:r>
                </w:p>
              </w:tc>
            </w:tr>
            <w:tr w14:paraId="0CE5F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64FED4FF">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yellow"/>
                      <w:u w:val="single"/>
                    </w:rPr>
                  </w:pPr>
                </w:p>
              </w:tc>
              <w:tc>
                <w:tcPr>
                  <w:tcW w:w="280" w:type="pct"/>
                  <w:vMerge w:val="continue"/>
                  <w:shd w:val="clear" w:color="auto" w:fill="auto"/>
                  <w:vAlign w:val="center"/>
                </w:tcPr>
                <w:p w14:paraId="253746EA">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none"/>
                      <w:u w:val="single"/>
                    </w:rPr>
                  </w:pPr>
                </w:p>
              </w:tc>
              <w:tc>
                <w:tcPr>
                  <w:tcW w:w="337" w:type="pct"/>
                  <w:shd w:val="clear" w:color="auto" w:fill="auto"/>
                  <w:vAlign w:val="center"/>
                </w:tcPr>
                <w:p w14:paraId="25C60F7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highlight w:val="none"/>
                      <w:u w:val="single"/>
                      <w:lang w:val="en-US" w:eastAsia="zh-CN" w:bidi="ar-SA"/>
                    </w:rPr>
                  </w:pPr>
                  <w:r>
                    <w:rPr>
                      <w:rFonts w:hint="eastAsia"/>
                      <w:color w:val="auto"/>
                      <w:kern w:val="0"/>
                      <w:sz w:val="21"/>
                      <w:szCs w:val="21"/>
                      <w:highlight w:val="none"/>
                      <w:u w:val="single"/>
                    </w:rPr>
                    <w:t>噪声</w:t>
                  </w:r>
                </w:p>
              </w:tc>
              <w:tc>
                <w:tcPr>
                  <w:tcW w:w="2495" w:type="pct"/>
                  <w:shd w:val="clear" w:color="auto" w:fill="auto"/>
                  <w:vAlign w:val="center"/>
                </w:tcPr>
                <w:p w14:paraId="51B6D72A">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highlight w:val="none"/>
                      <w:u w:val="single"/>
                    </w:rPr>
                  </w:pPr>
                  <w:r>
                    <w:rPr>
                      <w:rFonts w:hint="eastAsia"/>
                      <w:color w:val="auto"/>
                      <w:kern w:val="0"/>
                      <w:sz w:val="21"/>
                      <w:szCs w:val="21"/>
                      <w:highlight w:val="none"/>
                      <w:u w:val="single"/>
                    </w:rPr>
                    <w:t>设备合理布局，合理安排施工时段</w:t>
                  </w:r>
                  <w:r>
                    <w:rPr>
                      <w:rFonts w:hint="eastAsia"/>
                      <w:color w:val="auto"/>
                      <w:kern w:val="0"/>
                      <w:sz w:val="21"/>
                      <w:szCs w:val="21"/>
                      <w:highlight w:val="none"/>
                      <w:u w:val="single"/>
                      <w:lang w:val="en-US" w:eastAsia="zh-CN"/>
                    </w:rPr>
                    <w:t>夜间不施工</w:t>
                  </w:r>
                  <w:r>
                    <w:rPr>
                      <w:rFonts w:hint="eastAsia"/>
                      <w:color w:val="auto"/>
                      <w:kern w:val="0"/>
                      <w:sz w:val="21"/>
                      <w:szCs w:val="21"/>
                      <w:highlight w:val="none"/>
                      <w:u w:val="single"/>
                    </w:rPr>
                    <w:t>，合理规划行车路线，加强交通管理，提前沟通居民，采用低噪声设备，设置隔声屏障等</w:t>
                  </w:r>
                </w:p>
              </w:tc>
              <w:tc>
                <w:tcPr>
                  <w:tcW w:w="1446" w:type="pct"/>
                  <w:shd w:val="clear" w:color="auto" w:fill="auto"/>
                  <w:vAlign w:val="center"/>
                </w:tcPr>
                <w:p w14:paraId="10C73347">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w:t>
                  </w:r>
                </w:p>
              </w:tc>
            </w:tr>
            <w:tr w14:paraId="74306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56F92E0E">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yellow"/>
                      <w:u w:val="single"/>
                    </w:rPr>
                  </w:pPr>
                </w:p>
              </w:tc>
              <w:tc>
                <w:tcPr>
                  <w:tcW w:w="280" w:type="pct"/>
                  <w:vMerge w:val="continue"/>
                  <w:shd w:val="clear" w:color="auto" w:fill="auto"/>
                  <w:vAlign w:val="center"/>
                </w:tcPr>
                <w:p w14:paraId="5A07736E">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FF0000"/>
                      <w:kern w:val="0"/>
                      <w:sz w:val="21"/>
                      <w:szCs w:val="21"/>
                      <w:highlight w:val="none"/>
                      <w:u w:val="single"/>
                      <w:lang w:val="en-US" w:eastAsia="zh-CN"/>
                    </w:rPr>
                  </w:pPr>
                </w:p>
              </w:tc>
              <w:tc>
                <w:tcPr>
                  <w:tcW w:w="337" w:type="pct"/>
                  <w:shd w:val="clear" w:color="auto" w:fill="auto"/>
                  <w:vAlign w:val="center"/>
                </w:tcPr>
                <w:p w14:paraId="521E5FF4">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highlight w:val="none"/>
                      <w:u w:val="single"/>
                      <w:lang w:val="en-US" w:eastAsia="zh-CN" w:bidi="ar-SA"/>
                    </w:rPr>
                  </w:pPr>
                  <w:r>
                    <w:rPr>
                      <w:rFonts w:hint="eastAsia"/>
                      <w:color w:val="auto"/>
                      <w:kern w:val="0"/>
                      <w:sz w:val="21"/>
                      <w:szCs w:val="21"/>
                      <w:highlight w:val="none"/>
                      <w:u w:val="single"/>
                    </w:rPr>
                    <w:t>固</w:t>
                  </w:r>
                  <w:r>
                    <w:rPr>
                      <w:rFonts w:hint="eastAsia"/>
                      <w:color w:val="auto"/>
                      <w:kern w:val="0"/>
                      <w:sz w:val="21"/>
                      <w:szCs w:val="21"/>
                      <w:highlight w:val="none"/>
                      <w:u w:val="single"/>
                      <w:lang w:val="en-US" w:eastAsia="zh-CN"/>
                    </w:rPr>
                    <w:t>废</w:t>
                  </w:r>
                </w:p>
              </w:tc>
              <w:tc>
                <w:tcPr>
                  <w:tcW w:w="2495" w:type="pct"/>
                  <w:shd w:val="clear" w:color="auto" w:fill="auto"/>
                  <w:vAlign w:val="center"/>
                </w:tcPr>
                <w:p w14:paraId="43C78403">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highlight w:val="none"/>
                      <w:u w:val="single"/>
                    </w:rPr>
                  </w:pPr>
                  <w:r>
                    <w:rPr>
                      <w:rFonts w:hint="eastAsia"/>
                      <w:color w:val="auto"/>
                      <w:u w:val="single"/>
                      <w:lang w:val="en-US" w:eastAsia="zh-CN"/>
                    </w:rPr>
                    <w:t>淤泥经“石灰调理+板框压滤脱水”后泥饼暂存，后续直接交给其他公司进行资源化利用；清淤过程中产生的垃圾及</w:t>
                  </w:r>
                  <w:r>
                    <w:rPr>
                      <w:rFonts w:hint="eastAsia"/>
                      <w:color w:val="auto"/>
                      <w:kern w:val="0"/>
                      <w:sz w:val="21"/>
                      <w:szCs w:val="21"/>
                      <w:highlight w:val="none"/>
                      <w:u w:val="single"/>
                    </w:rPr>
                    <w:t>施工人员生活垃圾集中分类收集，交由当地环卫部门处理</w:t>
                  </w:r>
                </w:p>
              </w:tc>
              <w:tc>
                <w:tcPr>
                  <w:tcW w:w="1446" w:type="pct"/>
                  <w:shd w:val="clear" w:color="auto" w:fill="auto"/>
                  <w:vAlign w:val="center"/>
                </w:tcPr>
                <w:p w14:paraId="0781D902">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yellow"/>
                      <w:u w:val="single"/>
                      <w:lang w:val="en-US"/>
                    </w:rPr>
                  </w:pPr>
                  <w:r>
                    <w:rPr>
                      <w:rFonts w:hint="eastAsia"/>
                      <w:color w:val="auto"/>
                      <w:kern w:val="0"/>
                      <w:sz w:val="21"/>
                      <w:szCs w:val="21"/>
                      <w:highlight w:val="none"/>
                      <w:u w:val="single"/>
                    </w:rPr>
                    <w:t>基本原则是集中堆放、集中处理，力争当天清理当天运输，以保持场容的整洁</w:t>
                  </w:r>
                </w:p>
              </w:tc>
            </w:tr>
            <w:tr w14:paraId="4D0CD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70FFD239">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yellow"/>
                      <w:u w:val="single"/>
                    </w:rPr>
                  </w:pPr>
                </w:p>
              </w:tc>
              <w:tc>
                <w:tcPr>
                  <w:tcW w:w="280" w:type="pct"/>
                  <w:vMerge w:val="continue"/>
                  <w:shd w:val="clear" w:color="auto" w:fill="auto"/>
                  <w:vAlign w:val="center"/>
                </w:tcPr>
                <w:p w14:paraId="53E6FCA6">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highlight w:val="none"/>
                      <w:u w:val="single"/>
                      <w:lang w:val="en-US" w:eastAsia="zh-CN"/>
                    </w:rPr>
                  </w:pPr>
                </w:p>
              </w:tc>
              <w:tc>
                <w:tcPr>
                  <w:tcW w:w="337" w:type="pct"/>
                  <w:shd w:val="clear" w:color="auto" w:fill="auto"/>
                  <w:vAlign w:val="center"/>
                </w:tcPr>
                <w:p w14:paraId="3FA25810">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highlight w:val="none"/>
                      <w:u w:val="single"/>
                      <w:lang w:val="en-US" w:eastAsia="zh-CN" w:bidi="ar-SA"/>
                    </w:rPr>
                  </w:pPr>
                  <w:r>
                    <w:rPr>
                      <w:rFonts w:hint="eastAsia"/>
                      <w:color w:val="auto"/>
                      <w:kern w:val="0"/>
                      <w:sz w:val="21"/>
                      <w:szCs w:val="21"/>
                      <w:highlight w:val="none"/>
                      <w:u w:val="single"/>
                      <w:lang w:val="en-US" w:eastAsia="zh-CN"/>
                    </w:rPr>
                    <w:t>水土保持</w:t>
                  </w:r>
                </w:p>
              </w:tc>
              <w:tc>
                <w:tcPr>
                  <w:tcW w:w="2495" w:type="pct"/>
                  <w:shd w:val="clear" w:color="auto" w:fill="auto"/>
                  <w:vAlign w:val="center"/>
                </w:tcPr>
                <w:p w14:paraId="740062C8">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highlight w:val="none"/>
                      <w:u w:val="single"/>
                    </w:rPr>
                  </w:pPr>
                  <w:r>
                    <w:rPr>
                      <w:rFonts w:hint="default"/>
                      <w:color w:val="auto"/>
                      <w:kern w:val="0"/>
                      <w:sz w:val="21"/>
                      <w:szCs w:val="21"/>
                      <w:highlight w:val="none"/>
                      <w:u w:val="single"/>
                    </w:rPr>
                    <w:t>施工结束后，拆除临时建筑并进行整地并恢复原地类。</w:t>
                  </w:r>
                </w:p>
              </w:tc>
              <w:tc>
                <w:tcPr>
                  <w:tcW w:w="1446" w:type="pct"/>
                  <w:shd w:val="clear" w:color="auto" w:fill="auto"/>
                  <w:vAlign w:val="center"/>
                </w:tcPr>
                <w:p w14:paraId="67916587">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w:t>
                  </w:r>
                </w:p>
              </w:tc>
            </w:tr>
            <w:tr w14:paraId="232D0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180F7331">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yellow"/>
                      <w:u w:val="single"/>
                    </w:rPr>
                  </w:pPr>
                </w:p>
              </w:tc>
              <w:tc>
                <w:tcPr>
                  <w:tcW w:w="280" w:type="pct"/>
                  <w:vMerge w:val="continue"/>
                  <w:shd w:val="clear" w:color="auto" w:fill="auto"/>
                  <w:vAlign w:val="center"/>
                </w:tcPr>
                <w:p w14:paraId="504FA584">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highlight w:val="none"/>
                      <w:u w:val="single"/>
                      <w:lang w:val="en-US" w:eastAsia="zh-CN"/>
                    </w:rPr>
                  </w:pPr>
                </w:p>
              </w:tc>
              <w:tc>
                <w:tcPr>
                  <w:tcW w:w="337" w:type="pct"/>
                  <w:shd w:val="clear" w:color="auto" w:fill="auto"/>
                  <w:vAlign w:val="center"/>
                </w:tcPr>
                <w:p w14:paraId="7F2D51A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highlight w:val="none"/>
                      <w:u w:val="single"/>
                      <w:lang w:val="en-US" w:eastAsia="zh-CN" w:bidi="ar-SA"/>
                    </w:rPr>
                  </w:pPr>
                  <w:r>
                    <w:rPr>
                      <w:rFonts w:hint="eastAsia"/>
                      <w:color w:val="auto"/>
                      <w:kern w:val="0"/>
                      <w:sz w:val="21"/>
                      <w:szCs w:val="21"/>
                      <w:highlight w:val="none"/>
                      <w:u w:val="single"/>
                      <w:lang w:val="en-US" w:eastAsia="zh-CN"/>
                    </w:rPr>
                    <w:t>生态修复</w:t>
                  </w:r>
                </w:p>
              </w:tc>
              <w:tc>
                <w:tcPr>
                  <w:tcW w:w="2495" w:type="pct"/>
                  <w:shd w:val="clear" w:color="auto" w:fill="auto"/>
                  <w:vAlign w:val="center"/>
                </w:tcPr>
                <w:p w14:paraId="5C83F364">
                  <w:pPr>
                    <w:keepNext w:val="0"/>
                    <w:keepLines w:val="0"/>
                    <w:suppressLineNumbers w:val="0"/>
                    <w:adjustRightInd w:val="0"/>
                    <w:snapToGrid w:val="0"/>
                    <w:spacing w:before="0" w:beforeAutospacing="0" w:after="0" w:afterAutospacing="0" w:line="240" w:lineRule="auto"/>
                    <w:ind w:left="0" w:right="0"/>
                    <w:jc w:val="left"/>
                    <w:rPr>
                      <w:rFonts w:hint="default"/>
                      <w:color w:val="auto"/>
                      <w:kern w:val="0"/>
                      <w:sz w:val="21"/>
                      <w:szCs w:val="21"/>
                      <w:highlight w:val="none"/>
                      <w:u w:val="single"/>
                    </w:rPr>
                  </w:pPr>
                  <w:r>
                    <w:rPr>
                      <w:rFonts w:hint="eastAsia"/>
                      <w:color w:val="auto"/>
                      <w:kern w:val="0"/>
                      <w:sz w:val="21"/>
                      <w:szCs w:val="21"/>
                      <w:highlight w:val="none"/>
                      <w:u w:val="single"/>
                    </w:rPr>
                    <w:t>施工结束后，</w:t>
                  </w:r>
                  <w:r>
                    <w:rPr>
                      <w:rFonts w:hint="eastAsia"/>
                      <w:color w:val="auto"/>
                      <w:kern w:val="0"/>
                      <w:sz w:val="21"/>
                      <w:szCs w:val="21"/>
                      <w:highlight w:val="none"/>
                      <w:u w:val="single"/>
                      <w:lang w:val="en-US" w:eastAsia="zh-CN"/>
                    </w:rPr>
                    <w:t>按照水保要求</w:t>
                  </w:r>
                  <w:r>
                    <w:rPr>
                      <w:rFonts w:hint="eastAsia"/>
                      <w:color w:val="auto"/>
                      <w:kern w:val="0"/>
                      <w:sz w:val="21"/>
                      <w:szCs w:val="21"/>
                      <w:highlight w:val="none"/>
                      <w:u w:val="single"/>
                    </w:rPr>
                    <w:t>及时对临时用地进行复绿。种植本地原有的优势植物、投放本地水生生物。</w:t>
                  </w:r>
                </w:p>
              </w:tc>
              <w:tc>
                <w:tcPr>
                  <w:tcW w:w="1446" w:type="pct"/>
                  <w:shd w:val="clear" w:color="auto" w:fill="auto"/>
                  <w:vAlign w:val="center"/>
                </w:tcPr>
                <w:p w14:paraId="5F98DE79">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w:t>
                  </w:r>
                </w:p>
              </w:tc>
            </w:tr>
            <w:tr w14:paraId="2E35B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39" w:type="pct"/>
                  <w:vMerge w:val="continue"/>
                  <w:shd w:val="clear" w:color="auto" w:fill="auto"/>
                  <w:vAlign w:val="center"/>
                </w:tcPr>
                <w:p w14:paraId="4A14AF3E">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yellow"/>
                      <w:u w:val="none"/>
                    </w:rPr>
                  </w:pPr>
                </w:p>
              </w:tc>
              <w:tc>
                <w:tcPr>
                  <w:tcW w:w="280" w:type="pct"/>
                  <w:shd w:val="clear" w:color="auto" w:fill="auto"/>
                  <w:vAlign w:val="center"/>
                </w:tcPr>
                <w:p w14:paraId="6A8FF6A8">
                  <w:pPr>
                    <w:keepNext w:val="0"/>
                    <w:keepLines w:val="0"/>
                    <w:suppressLineNumbers w:val="0"/>
                    <w:adjustRightInd w:val="0"/>
                    <w:snapToGrid w:val="0"/>
                    <w:spacing w:before="0" w:beforeAutospacing="0" w:after="0" w:afterAutospacing="0" w:line="240" w:lineRule="auto"/>
                    <w:ind w:left="0" w:right="0"/>
                    <w:jc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营运期</w:t>
                  </w:r>
                </w:p>
              </w:tc>
              <w:tc>
                <w:tcPr>
                  <w:tcW w:w="4279" w:type="pct"/>
                  <w:gridSpan w:val="3"/>
                  <w:shd w:val="clear" w:color="auto" w:fill="auto"/>
                  <w:vAlign w:val="center"/>
                </w:tcPr>
                <w:p w14:paraId="0751BFAA">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none"/>
                      <w:u w:val="single"/>
                      <w:lang w:val="en-US" w:eastAsia="zh-CN"/>
                    </w:rPr>
                  </w:pPr>
                  <w:r>
                    <w:rPr>
                      <w:rFonts w:hint="eastAsia"/>
                      <w:color w:val="auto"/>
                      <w:kern w:val="0"/>
                      <w:sz w:val="21"/>
                      <w:szCs w:val="21"/>
                      <w:highlight w:val="none"/>
                      <w:u w:val="single"/>
                      <w:lang w:val="en-US" w:eastAsia="zh-CN"/>
                    </w:rPr>
                    <w:t>项目营运期不产生环境影响</w:t>
                  </w:r>
                </w:p>
              </w:tc>
            </w:tr>
          </w:tbl>
          <w:p w14:paraId="290D9BDA">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FF0000"/>
                <w:sz w:val="24"/>
                <w:szCs w:val="24"/>
                <w:u w:val="none"/>
                <w:lang w:eastAsia="zh-CN"/>
              </w:rPr>
            </w:pPr>
          </w:p>
        </w:tc>
      </w:tr>
      <w:tr w14:paraId="7F69A8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65" w:type="pct"/>
            <w:vAlign w:val="center"/>
          </w:tcPr>
          <w:p w14:paraId="084496A5">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auto"/>
                <w:kern w:val="0"/>
                <w:sz w:val="24"/>
                <w:u w:val="none"/>
              </w:rPr>
            </w:pPr>
            <w:r>
              <w:rPr>
                <w:rFonts w:hint="eastAsia" w:ascii="宋体" w:hAnsi="宋体" w:cs="宋体"/>
                <w:b/>
                <w:bCs/>
                <w:color w:val="auto"/>
                <w:kern w:val="0"/>
                <w:sz w:val="24"/>
                <w:u w:val="none"/>
              </w:rPr>
              <w:t>总平面及现场布置</w:t>
            </w:r>
          </w:p>
        </w:tc>
        <w:tc>
          <w:tcPr>
            <w:tcW w:w="4734" w:type="pct"/>
            <w:vAlign w:val="center"/>
          </w:tcPr>
          <w:p w14:paraId="70185915">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b/>
                <w:bCs/>
                <w:color w:val="auto"/>
                <w:spacing w:val="-2"/>
                <w:sz w:val="24"/>
                <w:highlight w:val="yellow"/>
                <w:u w:val="none"/>
              </w:rPr>
            </w:pPr>
            <w:r>
              <w:rPr>
                <w:rFonts w:hint="eastAsia"/>
                <w:b/>
                <w:bCs/>
                <w:color w:val="auto"/>
                <w:spacing w:val="-2"/>
                <w:sz w:val="24"/>
                <w:highlight w:val="none"/>
                <w:u w:val="none"/>
              </w:rPr>
              <w:t>1、施工总布置</w:t>
            </w:r>
          </w:p>
          <w:p w14:paraId="646F89A7">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u w:val="single"/>
                <w:lang w:val="en-US" w:eastAsia="zh-CN"/>
              </w:rPr>
            </w:pPr>
            <w:r>
              <w:rPr>
                <w:rFonts w:hint="eastAsia"/>
                <w:b w:val="0"/>
                <w:bCs w:val="0"/>
                <w:color w:val="auto"/>
                <w:kern w:val="0"/>
                <w:sz w:val="24"/>
                <w:u w:val="single"/>
                <w:lang w:val="en-US" w:eastAsia="zh-CN"/>
              </w:rPr>
              <w:t>本次工程对城区存在内涝、淤堵及污水溢流等问题的各处，进行针对性的改造，如新建雨污水管道、箱涵、排水沟等，对雨水行泄通道实施清淤整治，并对沿线护岸修复、修整等。</w:t>
            </w:r>
          </w:p>
          <w:p w14:paraId="06EC8DD7">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施工按照“方便生活、有利生产”、“集中与分散相结合”的原则进行。根据工程布置特点各自分区施工，转运场在满足外运交通条件下尽可能靠河岸线布置，减少转运费用。施工临时设施尽可能与转运场布置在一起。</w:t>
            </w:r>
          </w:p>
          <w:p w14:paraId="07D636B6">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default"/>
                <w:b w:val="0"/>
                <w:bCs w:val="0"/>
                <w:color w:val="auto"/>
                <w:kern w:val="0"/>
                <w:sz w:val="24"/>
                <w:u w:val="single"/>
                <w:lang w:val="en-US" w:eastAsia="zh-CN"/>
              </w:rPr>
            </w:pPr>
            <w:r>
              <w:rPr>
                <w:rFonts w:hint="eastAsia"/>
                <w:b w:val="0"/>
                <w:bCs w:val="0"/>
                <w:color w:val="auto"/>
                <w:kern w:val="0"/>
                <w:sz w:val="24"/>
                <w:u w:val="single"/>
                <w:lang w:val="en-US" w:eastAsia="zh-CN"/>
              </w:rPr>
              <w:t>（1）师家河清淤及护坡修建工程</w:t>
            </w:r>
          </w:p>
          <w:p w14:paraId="1CF4A0D7">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rPr>
                <w:rFonts w:hint="eastAsia"/>
                <w:b w:val="0"/>
                <w:bCs w:val="0"/>
                <w:color w:val="auto"/>
                <w:kern w:val="0"/>
                <w:sz w:val="24"/>
                <w:u w:val="none"/>
                <w:lang w:val="en-US" w:eastAsia="zh-CN"/>
              </w:rPr>
            </w:pPr>
            <w:r>
              <w:rPr>
                <w:rFonts w:hint="default"/>
              </w:rPr>
              <w:drawing>
                <wp:inline distT="0" distB="0" distL="114300" distR="114300">
                  <wp:extent cx="5001260" cy="2223135"/>
                  <wp:effectExtent l="0" t="0" r="12700" b="1905"/>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20"/>
                          <a:srcRect b="8819"/>
                          <a:stretch>
                            <a:fillRect/>
                          </a:stretch>
                        </pic:blipFill>
                        <pic:spPr>
                          <a:xfrm>
                            <a:off x="0" y="0"/>
                            <a:ext cx="5001260" cy="2223135"/>
                          </a:xfrm>
                          <a:prstGeom prst="rect">
                            <a:avLst/>
                          </a:prstGeom>
                          <a:noFill/>
                          <a:ln>
                            <a:noFill/>
                          </a:ln>
                        </pic:spPr>
                      </pic:pic>
                    </a:graphicData>
                  </a:graphic>
                </wp:inline>
              </w:drawing>
            </w:r>
          </w:p>
          <w:p w14:paraId="4B8FD1FD">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jc w:val="center"/>
              <w:rPr>
                <w:rFonts w:hint="default"/>
                <w:b/>
                <w:bCs/>
                <w:color w:val="auto"/>
                <w:kern w:val="0"/>
                <w:sz w:val="21"/>
                <w:szCs w:val="21"/>
                <w:u w:val="none"/>
                <w:lang w:val="en-US" w:eastAsia="zh-CN"/>
              </w:rPr>
            </w:pPr>
            <w:r>
              <w:rPr>
                <w:rFonts w:hint="eastAsia"/>
                <w:b/>
                <w:bCs/>
                <w:color w:val="auto"/>
                <w:kern w:val="0"/>
                <w:sz w:val="21"/>
                <w:szCs w:val="21"/>
                <w:u w:val="none"/>
                <w:lang w:val="en-US" w:eastAsia="zh-CN"/>
              </w:rPr>
              <w:t>图2-1  师家河清淤及护坡修建工程</w:t>
            </w:r>
          </w:p>
          <w:p w14:paraId="2B6DC7CE">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default"/>
                <w:b w:val="0"/>
                <w:bCs w:val="0"/>
                <w:color w:val="auto"/>
                <w:kern w:val="0"/>
                <w:sz w:val="24"/>
                <w:u w:val="none"/>
                <w:lang w:val="en-US" w:eastAsia="zh-CN"/>
              </w:rPr>
            </w:pPr>
            <w:r>
              <w:rPr>
                <w:rFonts w:hint="eastAsia"/>
                <w:b w:val="0"/>
                <w:bCs w:val="0"/>
                <w:color w:val="auto"/>
                <w:kern w:val="0"/>
                <w:sz w:val="24"/>
                <w:u w:val="none"/>
                <w:lang w:val="en-US" w:eastAsia="zh-CN"/>
              </w:rPr>
              <w:t>（2）肖家堰清淤及护坡修建工程</w:t>
            </w:r>
          </w:p>
          <w:p w14:paraId="3AB0D0C5">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jc w:val="center"/>
              <w:rPr>
                <w:rFonts w:hint="eastAsia"/>
                <w:b w:val="0"/>
                <w:bCs w:val="0"/>
                <w:color w:val="auto"/>
                <w:kern w:val="0"/>
                <w:sz w:val="24"/>
                <w:u w:val="none"/>
                <w:lang w:val="en-US" w:eastAsia="zh-CN"/>
              </w:rPr>
            </w:pPr>
            <w:r>
              <w:rPr>
                <w:rFonts w:hint="default"/>
              </w:rPr>
              <w:drawing>
                <wp:inline distT="0" distB="0" distL="114300" distR="114300">
                  <wp:extent cx="4972050" cy="2113915"/>
                  <wp:effectExtent l="0" t="0" r="11430" b="4445"/>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pic:cNvPicPr>
                            <a:picLocks noChangeAspect="1"/>
                          </pic:cNvPicPr>
                        </pic:nvPicPr>
                        <pic:blipFill>
                          <a:blip r:embed="rId21"/>
                          <a:stretch>
                            <a:fillRect/>
                          </a:stretch>
                        </pic:blipFill>
                        <pic:spPr>
                          <a:xfrm>
                            <a:off x="0" y="0"/>
                            <a:ext cx="4972050" cy="2113915"/>
                          </a:xfrm>
                          <a:prstGeom prst="rect">
                            <a:avLst/>
                          </a:prstGeom>
                          <a:noFill/>
                          <a:ln>
                            <a:noFill/>
                          </a:ln>
                        </pic:spPr>
                      </pic:pic>
                    </a:graphicData>
                  </a:graphic>
                </wp:inline>
              </w:drawing>
            </w:r>
            <w:r>
              <w:rPr>
                <w:rFonts w:hint="eastAsia"/>
                <w:b/>
                <w:bCs/>
                <w:color w:val="auto"/>
                <w:kern w:val="0"/>
                <w:sz w:val="21"/>
                <w:szCs w:val="21"/>
                <w:u w:val="none"/>
                <w:lang w:val="en-US" w:eastAsia="zh-CN"/>
              </w:rPr>
              <w:t>图2-2  肖家堰清淤及护坡修建工程</w:t>
            </w:r>
          </w:p>
          <w:p w14:paraId="6ABBBC8D">
            <w:pPr>
              <w:keepNext w:val="0"/>
              <w:keepLines w:val="0"/>
              <w:numPr>
                <w:ilvl w:val="0"/>
                <w:numId w:val="3"/>
              </w:numPr>
              <w:suppressLineNumbers w:val="0"/>
              <w:autoSpaceDE w:val="0"/>
              <w:autoSpaceDN w:val="0"/>
              <w:adjustRightInd w:val="0"/>
              <w:snapToGrid w:val="0"/>
              <w:spacing w:before="0" w:beforeAutospacing="0" w:after="0" w:afterAutospacing="0" w:line="360" w:lineRule="auto"/>
              <w:ind w:left="0" w:right="0" w:rightChars="0"/>
              <w:rPr>
                <w:rFonts w:hint="eastAsia"/>
                <w:b w:val="0"/>
                <w:bCs w:val="0"/>
                <w:color w:val="auto"/>
                <w:kern w:val="0"/>
                <w:sz w:val="24"/>
                <w:u w:val="none"/>
                <w:lang w:val="en-US" w:eastAsia="zh-CN"/>
              </w:rPr>
            </w:pPr>
            <w:r>
              <w:rPr>
                <w:rFonts w:hint="eastAsia"/>
                <w:b w:val="0"/>
                <w:bCs w:val="0"/>
                <w:color w:val="auto"/>
                <w:kern w:val="0"/>
                <w:sz w:val="24"/>
                <w:u w:val="none"/>
                <w:lang w:val="en-US" w:eastAsia="zh-CN"/>
              </w:rPr>
              <w:t>长安河上、下游清淤及护坡修建工程</w:t>
            </w:r>
          </w:p>
          <w:p w14:paraId="6848CDC6">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eastAsia"/>
                <w:b w:val="0"/>
                <w:bCs w:val="0"/>
                <w:color w:val="auto"/>
                <w:kern w:val="0"/>
                <w:sz w:val="24"/>
                <w:u w:val="none"/>
                <w:lang w:val="en-US" w:eastAsia="zh-CN"/>
              </w:rPr>
            </w:pPr>
            <w:r>
              <w:rPr>
                <w:rFonts w:hint="default"/>
              </w:rPr>
              <w:drawing>
                <wp:inline distT="0" distB="0" distL="114300" distR="114300">
                  <wp:extent cx="2436495" cy="2593975"/>
                  <wp:effectExtent l="0" t="0" r="1905" b="1206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22"/>
                          <a:stretch>
                            <a:fillRect/>
                          </a:stretch>
                        </pic:blipFill>
                        <pic:spPr>
                          <a:xfrm>
                            <a:off x="0" y="0"/>
                            <a:ext cx="2436495" cy="2593975"/>
                          </a:xfrm>
                          <a:prstGeom prst="rect">
                            <a:avLst/>
                          </a:prstGeom>
                          <a:noFill/>
                          <a:ln>
                            <a:noFill/>
                          </a:ln>
                        </pic:spPr>
                      </pic:pic>
                    </a:graphicData>
                  </a:graphic>
                </wp:inline>
              </w:drawing>
            </w:r>
            <w:r>
              <w:rPr>
                <w:rFonts w:hint="default"/>
              </w:rPr>
              <w:drawing>
                <wp:inline distT="0" distB="0" distL="114300" distR="114300">
                  <wp:extent cx="2404110" cy="2586355"/>
                  <wp:effectExtent l="0" t="0" r="3810" b="4445"/>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23"/>
                          <a:stretch>
                            <a:fillRect/>
                          </a:stretch>
                        </pic:blipFill>
                        <pic:spPr>
                          <a:xfrm>
                            <a:off x="0" y="0"/>
                            <a:ext cx="2404110" cy="2586355"/>
                          </a:xfrm>
                          <a:prstGeom prst="rect">
                            <a:avLst/>
                          </a:prstGeom>
                          <a:noFill/>
                          <a:ln>
                            <a:noFill/>
                          </a:ln>
                        </pic:spPr>
                      </pic:pic>
                    </a:graphicData>
                  </a:graphic>
                </wp:inline>
              </w:drawing>
            </w:r>
          </w:p>
          <w:p w14:paraId="474491C8">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eastAsia" w:ascii="Times New Roman" w:eastAsia="宋体"/>
                <w:b/>
                <w:bCs/>
                <w:color w:val="auto"/>
                <w:kern w:val="0"/>
                <w:sz w:val="21"/>
                <w:szCs w:val="21"/>
                <w:u w:val="none"/>
                <w:lang w:val="en-US" w:eastAsia="zh-CN"/>
              </w:rPr>
              <w:t>图2-</w:t>
            </w:r>
            <w:r>
              <w:rPr>
                <w:rFonts w:hint="eastAsia"/>
                <w:b/>
                <w:bCs/>
                <w:color w:val="auto"/>
                <w:kern w:val="0"/>
                <w:sz w:val="21"/>
                <w:szCs w:val="21"/>
                <w:u w:val="none"/>
                <w:lang w:val="en-US" w:eastAsia="zh-CN"/>
              </w:rPr>
              <w:t>3</w:t>
            </w:r>
            <w:r>
              <w:rPr>
                <w:rFonts w:hint="eastAsia" w:ascii="Times New Roman" w:eastAsia="宋体"/>
                <w:b/>
                <w:bCs/>
                <w:color w:val="auto"/>
                <w:kern w:val="0"/>
                <w:sz w:val="21"/>
                <w:szCs w:val="21"/>
                <w:u w:val="none"/>
                <w:lang w:val="en-US" w:eastAsia="zh-CN"/>
              </w:rPr>
              <w:t xml:space="preserve">  </w:t>
            </w:r>
            <w:r>
              <w:rPr>
                <w:rFonts w:hint="eastAsia"/>
                <w:b/>
                <w:bCs/>
                <w:color w:val="auto"/>
                <w:kern w:val="0"/>
                <w:sz w:val="21"/>
                <w:szCs w:val="21"/>
                <w:u w:val="none"/>
                <w:lang w:val="en-US" w:eastAsia="zh-CN"/>
              </w:rPr>
              <w:t>长安河上、下游</w:t>
            </w:r>
            <w:r>
              <w:rPr>
                <w:rFonts w:hint="eastAsia" w:ascii="Times New Roman" w:eastAsia="宋体"/>
                <w:b/>
                <w:bCs/>
                <w:color w:val="auto"/>
                <w:kern w:val="0"/>
                <w:sz w:val="21"/>
                <w:szCs w:val="21"/>
                <w:u w:val="none"/>
                <w:lang w:val="en-US" w:eastAsia="zh-CN"/>
              </w:rPr>
              <w:t>清淤及护坡修建工程</w:t>
            </w:r>
          </w:p>
          <w:p w14:paraId="5FAEB43A">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default"/>
                <w:b w:val="0"/>
                <w:bCs w:val="0"/>
                <w:color w:val="auto"/>
                <w:kern w:val="0"/>
                <w:sz w:val="24"/>
                <w:u w:val="none"/>
                <w:lang w:val="en-US" w:eastAsia="zh-CN"/>
              </w:rPr>
            </w:pPr>
            <w:r>
              <w:rPr>
                <w:rFonts w:hint="eastAsia"/>
                <w:b w:val="0"/>
                <w:bCs w:val="0"/>
                <w:color w:val="auto"/>
                <w:kern w:val="0"/>
                <w:sz w:val="24"/>
                <w:u w:val="none"/>
                <w:lang w:val="en-US" w:eastAsia="zh-CN"/>
              </w:rPr>
              <w:t>（4）上港溪支流雨水管、沟及污水管道新建工程</w:t>
            </w:r>
          </w:p>
          <w:p w14:paraId="1A156713">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default"/>
              </w:rPr>
            </w:pPr>
            <w:r>
              <w:rPr>
                <w:rFonts w:hint="default"/>
              </w:rPr>
              <w:drawing>
                <wp:inline distT="0" distB="0" distL="114300" distR="114300">
                  <wp:extent cx="4829810" cy="3557270"/>
                  <wp:effectExtent l="0" t="0" r="1270" b="8890"/>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24"/>
                          <a:stretch>
                            <a:fillRect/>
                          </a:stretch>
                        </pic:blipFill>
                        <pic:spPr>
                          <a:xfrm>
                            <a:off x="0" y="0"/>
                            <a:ext cx="4829810" cy="3557270"/>
                          </a:xfrm>
                          <a:prstGeom prst="rect">
                            <a:avLst/>
                          </a:prstGeom>
                          <a:noFill/>
                          <a:ln>
                            <a:noFill/>
                          </a:ln>
                        </pic:spPr>
                      </pic:pic>
                    </a:graphicData>
                  </a:graphic>
                </wp:inline>
              </w:drawing>
            </w:r>
          </w:p>
          <w:p w14:paraId="56DA0D28">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eastAsia" w:ascii="Times New Roman" w:eastAsia="宋体"/>
                <w:b/>
                <w:bCs/>
                <w:color w:val="auto"/>
                <w:kern w:val="0"/>
                <w:sz w:val="21"/>
                <w:szCs w:val="21"/>
                <w:u w:val="none"/>
                <w:lang w:val="en-US" w:eastAsia="zh-CN"/>
              </w:rPr>
              <w:t>图2-</w:t>
            </w:r>
            <w:r>
              <w:rPr>
                <w:rFonts w:hint="eastAsia"/>
                <w:b/>
                <w:bCs/>
                <w:color w:val="auto"/>
                <w:kern w:val="0"/>
                <w:sz w:val="21"/>
                <w:szCs w:val="21"/>
                <w:u w:val="none"/>
                <w:lang w:val="en-US" w:eastAsia="zh-CN"/>
              </w:rPr>
              <w:t>4</w:t>
            </w:r>
            <w:r>
              <w:rPr>
                <w:rFonts w:hint="eastAsia" w:ascii="Times New Roman" w:eastAsia="宋体"/>
                <w:b/>
                <w:bCs/>
                <w:color w:val="auto"/>
                <w:kern w:val="0"/>
                <w:sz w:val="21"/>
                <w:szCs w:val="21"/>
                <w:u w:val="none"/>
                <w:lang w:val="en-US" w:eastAsia="zh-CN"/>
              </w:rPr>
              <w:t xml:space="preserve">  上港溪支流雨水管、沟及污水管道新建工程修建工程</w:t>
            </w:r>
          </w:p>
          <w:p w14:paraId="584F6071">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eastAsia"/>
                <w:sz w:val="24"/>
                <w:szCs w:val="24"/>
                <w:lang w:val="en-US" w:eastAsia="zh-CN"/>
              </w:rPr>
            </w:pPr>
            <w:r>
              <w:rPr>
                <w:rFonts w:hint="eastAsia"/>
                <w:sz w:val="24"/>
                <w:szCs w:val="24"/>
                <w:lang w:val="en-US" w:eastAsia="zh-CN"/>
              </w:rPr>
              <w:t>（5）铁路沿线明渠清淤及护坡修建工程</w:t>
            </w:r>
          </w:p>
          <w:p w14:paraId="1CE0AEAF">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rPr>
                <w:rFonts w:hint="eastAsia"/>
                <w:lang w:val="en-US" w:eastAsia="zh-CN"/>
              </w:rPr>
            </w:pPr>
            <w:r>
              <w:rPr>
                <w:rFonts w:hint="default"/>
              </w:rPr>
              <w:drawing>
                <wp:inline distT="0" distB="0" distL="114300" distR="114300">
                  <wp:extent cx="4965700" cy="1982470"/>
                  <wp:effectExtent l="0" t="0" r="2540" b="13970"/>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25"/>
                          <a:stretch>
                            <a:fillRect/>
                          </a:stretch>
                        </pic:blipFill>
                        <pic:spPr>
                          <a:xfrm>
                            <a:off x="0" y="0"/>
                            <a:ext cx="4965700" cy="1982470"/>
                          </a:xfrm>
                          <a:prstGeom prst="rect">
                            <a:avLst/>
                          </a:prstGeom>
                          <a:noFill/>
                          <a:ln>
                            <a:noFill/>
                          </a:ln>
                        </pic:spPr>
                      </pic:pic>
                    </a:graphicData>
                  </a:graphic>
                </wp:inline>
              </w:drawing>
            </w:r>
          </w:p>
          <w:p w14:paraId="1E2560BF">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eastAsia" w:ascii="Times New Roman" w:eastAsia="宋体"/>
                <w:b/>
                <w:bCs/>
                <w:color w:val="auto"/>
                <w:kern w:val="0"/>
                <w:sz w:val="21"/>
                <w:szCs w:val="21"/>
                <w:u w:val="none"/>
                <w:lang w:val="en-US" w:eastAsia="zh-CN"/>
              </w:rPr>
              <w:t>图2-</w:t>
            </w:r>
            <w:r>
              <w:rPr>
                <w:rFonts w:hint="eastAsia"/>
                <w:b/>
                <w:bCs/>
                <w:color w:val="auto"/>
                <w:kern w:val="0"/>
                <w:sz w:val="21"/>
                <w:szCs w:val="21"/>
                <w:u w:val="none"/>
                <w:lang w:val="en-US" w:eastAsia="zh-CN"/>
              </w:rPr>
              <w:t>5</w:t>
            </w:r>
            <w:r>
              <w:rPr>
                <w:rFonts w:hint="eastAsia" w:ascii="Times New Roman" w:eastAsia="宋体"/>
                <w:b/>
                <w:bCs/>
                <w:color w:val="auto"/>
                <w:kern w:val="0"/>
                <w:sz w:val="21"/>
                <w:szCs w:val="21"/>
                <w:u w:val="none"/>
                <w:lang w:val="en-US" w:eastAsia="zh-CN"/>
              </w:rPr>
              <w:t xml:space="preserve">  </w:t>
            </w:r>
            <w:r>
              <w:rPr>
                <w:rFonts w:hint="eastAsia"/>
                <w:b/>
                <w:bCs/>
                <w:color w:val="auto"/>
                <w:kern w:val="0"/>
                <w:sz w:val="21"/>
                <w:szCs w:val="21"/>
                <w:u w:val="none"/>
                <w:lang w:val="en-US" w:eastAsia="zh-CN"/>
              </w:rPr>
              <w:t>铁路沿线明渠</w:t>
            </w:r>
            <w:r>
              <w:rPr>
                <w:rFonts w:hint="eastAsia" w:ascii="Times New Roman" w:eastAsia="宋体"/>
                <w:b/>
                <w:bCs/>
                <w:color w:val="auto"/>
                <w:kern w:val="0"/>
                <w:sz w:val="21"/>
                <w:szCs w:val="21"/>
                <w:u w:val="none"/>
                <w:lang w:val="en-US" w:eastAsia="zh-CN"/>
              </w:rPr>
              <w:t>清淤及护坡修建工程</w:t>
            </w:r>
          </w:p>
          <w:p w14:paraId="617C72EA">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default"/>
                <w:b w:val="0"/>
                <w:bCs w:val="0"/>
                <w:color w:val="auto"/>
                <w:kern w:val="0"/>
                <w:sz w:val="24"/>
                <w:u w:val="none"/>
                <w:lang w:val="en-US" w:eastAsia="zh-CN"/>
              </w:rPr>
            </w:pPr>
            <w:r>
              <w:rPr>
                <w:rFonts w:hint="eastAsia"/>
                <w:b w:val="0"/>
                <w:bCs w:val="0"/>
                <w:color w:val="auto"/>
                <w:kern w:val="0"/>
                <w:sz w:val="24"/>
                <w:u w:val="none"/>
                <w:lang w:val="en-US" w:eastAsia="zh-CN"/>
              </w:rPr>
              <w:t>（6）水产巷、西正街内涝点改造工程</w:t>
            </w:r>
          </w:p>
          <w:p w14:paraId="4900FAA6">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rPr>
                <w:rFonts w:hint="eastAsia"/>
                <w:b w:val="0"/>
                <w:bCs w:val="0"/>
                <w:color w:val="auto"/>
                <w:kern w:val="0"/>
                <w:sz w:val="24"/>
                <w:u w:val="none"/>
                <w:lang w:val="en-US" w:eastAsia="zh-CN"/>
              </w:rPr>
            </w:pPr>
            <w:r>
              <w:rPr>
                <w:rFonts w:hint="default"/>
              </w:rPr>
              <w:drawing>
                <wp:inline distT="0" distB="0" distL="114300" distR="114300">
                  <wp:extent cx="4973320" cy="1951355"/>
                  <wp:effectExtent l="0" t="0" r="10160" b="14605"/>
                  <wp:docPr id="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26"/>
                          <a:stretch>
                            <a:fillRect/>
                          </a:stretch>
                        </pic:blipFill>
                        <pic:spPr>
                          <a:xfrm>
                            <a:off x="0" y="0"/>
                            <a:ext cx="4973320" cy="1951355"/>
                          </a:xfrm>
                          <a:prstGeom prst="rect">
                            <a:avLst/>
                          </a:prstGeom>
                          <a:noFill/>
                          <a:ln>
                            <a:noFill/>
                          </a:ln>
                        </pic:spPr>
                      </pic:pic>
                    </a:graphicData>
                  </a:graphic>
                </wp:inline>
              </w:drawing>
            </w:r>
          </w:p>
          <w:p w14:paraId="53E03262">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eastAsia" w:ascii="Times New Roman" w:eastAsia="宋体"/>
                <w:b/>
                <w:bCs/>
                <w:color w:val="auto"/>
                <w:kern w:val="0"/>
                <w:sz w:val="21"/>
                <w:szCs w:val="21"/>
                <w:u w:val="none"/>
                <w:lang w:val="en-US" w:eastAsia="zh-CN"/>
              </w:rPr>
              <w:t>图2-</w:t>
            </w:r>
            <w:r>
              <w:rPr>
                <w:rFonts w:hint="eastAsia"/>
                <w:b/>
                <w:bCs/>
                <w:color w:val="auto"/>
                <w:kern w:val="0"/>
                <w:sz w:val="21"/>
                <w:szCs w:val="21"/>
                <w:u w:val="none"/>
                <w:lang w:val="en-US" w:eastAsia="zh-CN"/>
              </w:rPr>
              <w:t>6</w:t>
            </w:r>
            <w:r>
              <w:rPr>
                <w:rFonts w:hint="eastAsia" w:ascii="Times New Roman" w:eastAsia="宋体"/>
                <w:b/>
                <w:bCs/>
                <w:color w:val="auto"/>
                <w:kern w:val="0"/>
                <w:sz w:val="21"/>
                <w:szCs w:val="21"/>
                <w:u w:val="none"/>
                <w:lang w:val="en-US" w:eastAsia="zh-CN"/>
              </w:rPr>
              <w:t xml:space="preserve">  水产巷、西正街内涝点改造工程</w:t>
            </w:r>
          </w:p>
          <w:p w14:paraId="26624D6E">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default"/>
                <w:b w:val="0"/>
                <w:bCs w:val="0"/>
                <w:color w:val="auto"/>
                <w:kern w:val="0"/>
                <w:sz w:val="24"/>
                <w:u w:val="none"/>
                <w:lang w:val="en-US" w:eastAsia="zh-CN"/>
              </w:rPr>
            </w:pPr>
            <w:r>
              <w:rPr>
                <w:rFonts w:hint="eastAsia"/>
                <w:b w:val="0"/>
                <w:bCs w:val="0"/>
                <w:color w:val="auto"/>
                <w:kern w:val="0"/>
                <w:sz w:val="24"/>
                <w:u w:val="none"/>
                <w:lang w:val="en-US" w:eastAsia="zh-CN"/>
              </w:rPr>
              <w:t>（7）南正街、六中南侧内涝点改造工程</w:t>
            </w:r>
          </w:p>
          <w:p w14:paraId="2434E889">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rPr>
                <w:rFonts w:hint="eastAsia"/>
                <w:b w:val="0"/>
                <w:bCs w:val="0"/>
                <w:color w:val="auto"/>
                <w:kern w:val="0"/>
                <w:sz w:val="24"/>
                <w:u w:val="none"/>
                <w:lang w:val="en-US" w:eastAsia="zh-CN"/>
              </w:rPr>
            </w:pPr>
            <w:r>
              <w:rPr>
                <w:rFonts w:hint="default"/>
              </w:rPr>
              <w:drawing>
                <wp:inline distT="0" distB="0" distL="114300" distR="114300">
                  <wp:extent cx="4969510" cy="1654175"/>
                  <wp:effectExtent l="0" t="0" r="13970" b="6985"/>
                  <wp:docPr id="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27"/>
                          <a:stretch>
                            <a:fillRect/>
                          </a:stretch>
                        </pic:blipFill>
                        <pic:spPr>
                          <a:xfrm>
                            <a:off x="0" y="0"/>
                            <a:ext cx="4969510" cy="1654175"/>
                          </a:xfrm>
                          <a:prstGeom prst="rect">
                            <a:avLst/>
                          </a:prstGeom>
                          <a:noFill/>
                          <a:ln>
                            <a:noFill/>
                          </a:ln>
                        </pic:spPr>
                      </pic:pic>
                    </a:graphicData>
                  </a:graphic>
                </wp:inline>
              </w:drawing>
            </w:r>
          </w:p>
          <w:p w14:paraId="5ED12747">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eastAsia" w:ascii="Times New Roman" w:eastAsia="宋体"/>
                <w:b/>
                <w:bCs/>
                <w:color w:val="auto"/>
                <w:kern w:val="0"/>
                <w:sz w:val="21"/>
                <w:szCs w:val="21"/>
                <w:u w:val="none"/>
                <w:lang w:val="en-US" w:eastAsia="zh-CN"/>
              </w:rPr>
              <w:t>图2-</w:t>
            </w:r>
            <w:r>
              <w:rPr>
                <w:rFonts w:hint="eastAsia"/>
                <w:b/>
                <w:bCs/>
                <w:color w:val="auto"/>
                <w:kern w:val="0"/>
                <w:sz w:val="21"/>
                <w:szCs w:val="21"/>
                <w:u w:val="none"/>
                <w:lang w:val="en-US" w:eastAsia="zh-CN"/>
              </w:rPr>
              <w:t>7</w:t>
            </w:r>
            <w:r>
              <w:rPr>
                <w:rFonts w:hint="eastAsia" w:ascii="Times New Roman" w:eastAsia="宋体"/>
                <w:b/>
                <w:bCs/>
                <w:color w:val="auto"/>
                <w:kern w:val="0"/>
                <w:sz w:val="21"/>
                <w:szCs w:val="21"/>
                <w:u w:val="none"/>
                <w:lang w:val="en-US" w:eastAsia="zh-CN"/>
              </w:rPr>
              <w:t xml:space="preserve">  南正街、六中南侧内涝点改造工程</w:t>
            </w:r>
          </w:p>
          <w:p w14:paraId="0DB126C8">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default"/>
                <w:b w:val="0"/>
                <w:bCs w:val="0"/>
                <w:color w:val="auto"/>
                <w:kern w:val="0"/>
                <w:sz w:val="24"/>
                <w:u w:val="none"/>
                <w:lang w:val="en-US" w:eastAsia="zh-CN"/>
              </w:rPr>
            </w:pPr>
            <w:r>
              <w:rPr>
                <w:rFonts w:hint="eastAsia"/>
                <w:b w:val="0"/>
                <w:bCs w:val="0"/>
                <w:color w:val="auto"/>
                <w:kern w:val="0"/>
                <w:sz w:val="24"/>
                <w:u w:val="none"/>
                <w:lang w:val="en-US" w:eastAsia="zh-CN"/>
              </w:rPr>
              <w:t>（8）杨田涵洞、长安一品内涝点改造工程</w:t>
            </w:r>
          </w:p>
          <w:p w14:paraId="0B2CEC71">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default"/>
              </w:rPr>
              <w:drawing>
                <wp:inline distT="0" distB="0" distL="114300" distR="114300">
                  <wp:extent cx="2318385" cy="2020570"/>
                  <wp:effectExtent l="0" t="0" r="13335" b="6350"/>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28"/>
                          <a:stretch>
                            <a:fillRect/>
                          </a:stretch>
                        </pic:blipFill>
                        <pic:spPr>
                          <a:xfrm>
                            <a:off x="0" y="0"/>
                            <a:ext cx="2318385" cy="2020570"/>
                          </a:xfrm>
                          <a:prstGeom prst="rect">
                            <a:avLst/>
                          </a:prstGeom>
                          <a:noFill/>
                          <a:ln>
                            <a:noFill/>
                          </a:ln>
                        </pic:spPr>
                      </pic:pic>
                    </a:graphicData>
                  </a:graphic>
                </wp:inline>
              </w:drawing>
            </w:r>
            <w:r>
              <w:rPr>
                <w:rFonts w:hint="default"/>
              </w:rPr>
              <w:drawing>
                <wp:inline distT="0" distB="0" distL="114300" distR="114300">
                  <wp:extent cx="2571750" cy="2023745"/>
                  <wp:effectExtent l="0" t="0" r="3810" b="3175"/>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pic:cNvPicPr>
                            <a:picLocks noChangeAspect="1"/>
                          </pic:cNvPicPr>
                        </pic:nvPicPr>
                        <pic:blipFill>
                          <a:blip r:embed="rId29"/>
                          <a:stretch>
                            <a:fillRect/>
                          </a:stretch>
                        </pic:blipFill>
                        <pic:spPr>
                          <a:xfrm>
                            <a:off x="0" y="0"/>
                            <a:ext cx="2571750" cy="2023745"/>
                          </a:xfrm>
                          <a:prstGeom prst="rect">
                            <a:avLst/>
                          </a:prstGeom>
                          <a:noFill/>
                          <a:ln>
                            <a:noFill/>
                          </a:ln>
                        </pic:spPr>
                      </pic:pic>
                    </a:graphicData>
                  </a:graphic>
                </wp:inline>
              </w:drawing>
            </w:r>
          </w:p>
          <w:p w14:paraId="52DB3490">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eastAsia" w:ascii="Times New Roman" w:eastAsia="宋体"/>
                <w:b/>
                <w:bCs/>
                <w:color w:val="auto"/>
                <w:kern w:val="0"/>
                <w:sz w:val="21"/>
                <w:szCs w:val="21"/>
                <w:u w:val="none"/>
                <w:lang w:val="en-US" w:eastAsia="zh-CN"/>
              </w:rPr>
              <w:t>图2-</w:t>
            </w:r>
            <w:r>
              <w:rPr>
                <w:rFonts w:hint="eastAsia"/>
                <w:b/>
                <w:bCs/>
                <w:color w:val="auto"/>
                <w:kern w:val="0"/>
                <w:sz w:val="21"/>
                <w:szCs w:val="21"/>
                <w:u w:val="none"/>
                <w:lang w:val="en-US" w:eastAsia="zh-CN"/>
              </w:rPr>
              <w:t>8</w:t>
            </w:r>
            <w:r>
              <w:rPr>
                <w:rFonts w:hint="eastAsia" w:ascii="Times New Roman" w:eastAsia="宋体"/>
                <w:b/>
                <w:bCs/>
                <w:color w:val="auto"/>
                <w:kern w:val="0"/>
                <w:sz w:val="21"/>
                <w:szCs w:val="21"/>
                <w:u w:val="none"/>
                <w:lang w:val="en-US" w:eastAsia="zh-CN"/>
              </w:rPr>
              <w:t xml:space="preserve">  </w:t>
            </w:r>
            <w:r>
              <w:rPr>
                <w:rFonts w:hint="eastAsia"/>
                <w:b/>
                <w:bCs/>
                <w:color w:val="auto"/>
                <w:kern w:val="0"/>
                <w:sz w:val="21"/>
                <w:szCs w:val="21"/>
                <w:u w:val="none"/>
                <w:lang w:val="en-US" w:eastAsia="zh-CN"/>
              </w:rPr>
              <w:t>杨田涵洞、长安一品</w:t>
            </w:r>
            <w:r>
              <w:rPr>
                <w:rFonts w:hint="eastAsia" w:ascii="Times New Roman" w:eastAsia="宋体"/>
                <w:b/>
                <w:bCs/>
                <w:color w:val="auto"/>
                <w:kern w:val="0"/>
                <w:sz w:val="21"/>
                <w:szCs w:val="21"/>
                <w:u w:val="none"/>
                <w:lang w:val="en-US" w:eastAsia="zh-CN"/>
              </w:rPr>
              <w:t>内涝点改造工程</w:t>
            </w:r>
          </w:p>
          <w:p w14:paraId="328D8AB9">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default"/>
                <w:b w:val="0"/>
                <w:bCs w:val="0"/>
                <w:color w:val="auto"/>
                <w:kern w:val="0"/>
                <w:sz w:val="24"/>
                <w:u w:val="none"/>
                <w:lang w:val="en-US" w:eastAsia="zh-CN"/>
              </w:rPr>
            </w:pPr>
            <w:r>
              <w:rPr>
                <w:rFonts w:hint="eastAsia"/>
                <w:b w:val="0"/>
                <w:bCs w:val="0"/>
                <w:color w:val="auto"/>
                <w:kern w:val="0"/>
                <w:sz w:val="24"/>
                <w:u w:val="none"/>
                <w:lang w:val="en-US" w:eastAsia="zh-CN"/>
              </w:rPr>
              <w:t>（9）石咀、肖家畈内涝点改造工程</w:t>
            </w:r>
          </w:p>
          <w:p w14:paraId="21C8BC2C">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rPr>
                <w:rFonts w:hint="eastAsia"/>
                <w:b w:val="0"/>
                <w:bCs w:val="0"/>
                <w:color w:val="auto"/>
                <w:kern w:val="0"/>
                <w:sz w:val="24"/>
                <w:u w:val="none"/>
                <w:lang w:val="en-US" w:eastAsia="zh-CN"/>
              </w:rPr>
            </w:pPr>
            <w:r>
              <w:rPr>
                <w:rFonts w:hint="default"/>
              </w:rPr>
              <w:drawing>
                <wp:inline distT="0" distB="0" distL="114300" distR="114300">
                  <wp:extent cx="4963795" cy="1685925"/>
                  <wp:effectExtent l="0" t="0" r="4445" b="5715"/>
                  <wp:docPr id="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pic:cNvPicPr>
                        </pic:nvPicPr>
                        <pic:blipFill>
                          <a:blip r:embed="rId30"/>
                          <a:stretch>
                            <a:fillRect/>
                          </a:stretch>
                        </pic:blipFill>
                        <pic:spPr>
                          <a:xfrm>
                            <a:off x="0" y="0"/>
                            <a:ext cx="4963795" cy="1685925"/>
                          </a:xfrm>
                          <a:prstGeom prst="rect">
                            <a:avLst/>
                          </a:prstGeom>
                          <a:noFill/>
                          <a:ln>
                            <a:noFill/>
                          </a:ln>
                        </pic:spPr>
                      </pic:pic>
                    </a:graphicData>
                  </a:graphic>
                </wp:inline>
              </w:drawing>
            </w:r>
          </w:p>
          <w:p w14:paraId="22596F9A">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eastAsia" w:ascii="Times New Roman" w:eastAsia="宋体"/>
                <w:b/>
                <w:bCs/>
                <w:color w:val="auto"/>
                <w:kern w:val="0"/>
                <w:sz w:val="21"/>
                <w:szCs w:val="21"/>
                <w:u w:val="none"/>
                <w:lang w:val="en-US" w:eastAsia="zh-CN"/>
              </w:rPr>
              <w:t>图2-</w:t>
            </w:r>
            <w:r>
              <w:rPr>
                <w:rFonts w:hint="eastAsia"/>
                <w:b/>
                <w:bCs/>
                <w:color w:val="auto"/>
                <w:kern w:val="0"/>
                <w:sz w:val="21"/>
                <w:szCs w:val="21"/>
                <w:u w:val="none"/>
                <w:lang w:val="en-US" w:eastAsia="zh-CN"/>
              </w:rPr>
              <w:t>9</w:t>
            </w:r>
            <w:r>
              <w:rPr>
                <w:rFonts w:hint="eastAsia" w:ascii="Times New Roman" w:eastAsia="宋体"/>
                <w:b/>
                <w:bCs/>
                <w:color w:val="auto"/>
                <w:kern w:val="0"/>
                <w:sz w:val="21"/>
                <w:szCs w:val="21"/>
                <w:u w:val="none"/>
                <w:lang w:val="en-US" w:eastAsia="zh-CN"/>
              </w:rPr>
              <w:t xml:space="preserve">  石咀、肖家畈内涝点改造工程</w:t>
            </w:r>
          </w:p>
          <w:p w14:paraId="73F754EF">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default"/>
                <w:b w:val="0"/>
                <w:bCs w:val="0"/>
                <w:color w:val="auto"/>
                <w:kern w:val="0"/>
                <w:sz w:val="24"/>
                <w:u w:val="none"/>
                <w:lang w:val="en-US" w:eastAsia="zh-CN"/>
              </w:rPr>
            </w:pPr>
            <w:r>
              <w:rPr>
                <w:rFonts w:hint="eastAsia"/>
                <w:b w:val="0"/>
                <w:bCs w:val="0"/>
                <w:color w:val="auto"/>
                <w:kern w:val="0"/>
                <w:sz w:val="24"/>
                <w:u w:val="none"/>
                <w:lang w:val="en-US" w:eastAsia="zh-CN"/>
              </w:rPr>
              <w:t>（10）工业园内涝点改造工程</w:t>
            </w:r>
          </w:p>
          <w:p w14:paraId="0B508D3B">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rPr>
                <w:rFonts w:hint="eastAsia"/>
                <w:b w:val="0"/>
                <w:bCs w:val="0"/>
                <w:color w:val="auto"/>
                <w:kern w:val="0"/>
                <w:sz w:val="24"/>
                <w:u w:val="none"/>
                <w:lang w:val="en-US" w:eastAsia="zh-CN"/>
              </w:rPr>
            </w:pPr>
            <w:r>
              <w:rPr>
                <w:rFonts w:hint="default"/>
              </w:rPr>
              <w:drawing>
                <wp:inline distT="0" distB="0" distL="114300" distR="114300">
                  <wp:extent cx="5015230" cy="1574800"/>
                  <wp:effectExtent l="0" t="0" r="13970" b="10160"/>
                  <wp:docPr id="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pic:cNvPicPr>
                            <a:picLocks noChangeAspect="1"/>
                          </pic:cNvPicPr>
                        </pic:nvPicPr>
                        <pic:blipFill>
                          <a:blip r:embed="rId31"/>
                          <a:stretch>
                            <a:fillRect/>
                          </a:stretch>
                        </pic:blipFill>
                        <pic:spPr>
                          <a:xfrm>
                            <a:off x="0" y="0"/>
                            <a:ext cx="5015230" cy="1574800"/>
                          </a:xfrm>
                          <a:prstGeom prst="rect">
                            <a:avLst/>
                          </a:prstGeom>
                          <a:noFill/>
                          <a:ln>
                            <a:noFill/>
                          </a:ln>
                        </pic:spPr>
                      </pic:pic>
                    </a:graphicData>
                  </a:graphic>
                </wp:inline>
              </w:drawing>
            </w:r>
          </w:p>
          <w:p w14:paraId="3E97B310">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eastAsia" w:ascii="Times New Roman" w:eastAsia="宋体"/>
                <w:b/>
                <w:bCs/>
                <w:color w:val="auto"/>
                <w:kern w:val="0"/>
                <w:sz w:val="21"/>
                <w:szCs w:val="21"/>
                <w:u w:val="none"/>
                <w:lang w:val="en-US" w:eastAsia="zh-CN"/>
              </w:rPr>
              <w:t>图2-</w:t>
            </w:r>
            <w:r>
              <w:rPr>
                <w:rFonts w:hint="eastAsia"/>
                <w:b/>
                <w:bCs/>
                <w:color w:val="auto"/>
                <w:kern w:val="0"/>
                <w:sz w:val="21"/>
                <w:szCs w:val="21"/>
                <w:u w:val="none"/>
                <w:lang w:val="en-US" w:eastAsia="zh-CN"/>
              </w:rPr>
              <w:t>10</w:t>
            </w:r>
            <w:r>
              <w:rPr>
                <w:rFonts w:hint="eastAsia" w:ascii="Times New Roman" w:eastAsia="宋体"/>
                <w:b/>
                <w:bCs/>
                <w:color w:val="auto"/>
                <w:kern w:val="0"/>
                <w:sz w:val="21"/>
                <w:szCs w:val="21"/>
                <w:u w:val="none"/>
                <w:lang w:val="en-US" w:eastAsia="zh-CN"/>
              </w:rPr>
              <w:t xml:space="preserve">  </w:t>
            </w:r>
            <w:r>
              <w:rPr>
                <w:rFonts w:hint="eastAsia"/>
                <w:b/>
                <w:bCs/>
                <w:color w:val="auto"/>
                <w:kern w:val="0"/>
                <w:sz w:val="21"/>
                <w:szCs w:val="21"/>
                <w:u w:val="none"/>
                <w:lang w:val="en-US" w:eastAsia="zh-CN"/>
              </w:rPr>
              <w:t>工业园</w:t>
            </w:r>
            <w:r>
              <w:rPr>
                <w:rFonts w:hint="eastAsia" w:ascii="Times New Roman" w:eastAsia="宋体"/>
                <w:b/>
                <w:bCs/>
                <w:color w:val="auto"/>
                <w:kern w:val="0"/>
                <w:sz w:val="21"/>
                <w:szCs w:val="21"/>
                <w:u w:val="none"/>
                <w:lang w:val="en-US" w:eastAsia="zh-CN"/>
              </w:rPr>
              <w:t>内涝点改造工程</w:t>
            </w:r>
          </w:p>
          <w:p w14:paraId="4FA046E0">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default"/>
                <w:b w:val="0"/>
                <w:bCs w:val="0"/>
                <w:color w:val="auto"/>
                <w:kern w:val="0"/>
                <w:sz w:val="24"/>
                <w:u w:val="none"/>
                <w:lang w:val="en-US" w:eastAsia="zh-CN"/>
              </w:rPr>
            </w:pPr>
            <w:r>
              <w:rPr>
                <w:rFonts w:hint="eastAsia"/>
                <w:b w:val="0"/>
                <w:bCs w:val="0"/>
                <w:color w:val="auto"/>
                <w:kern w:val="0"/>
                <w:sz w:val="24"/>
                <w:u w:val="none"/>
                <w:lang w:val="en-US" w:eastAsia="zh-CN"/>
              </w:rPr>
              <w:t>（11）荷花路、金桥路内涝点改造工程</w:t>
            </w:r>
          </w:p>
          <w:p w14:paraId="500BD01F">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rPr>
                <w:rFonts w:hint="eastAsia"/>
                <w:b w:val="0"/>
                <w:bCs w:val="0"/>
                <w:color w:val="auto"/>
                <w:kern w:val="0"/>
                <w:sz w:val="24"/>
                <w:u w:val="none"/>
                <w:lang w:val="en-US" w:eastAsia="zh-CN"/>
              </w:rPr>
            </w:pPr>
            <w:r>
              <w:rPr>
                <w:rFonts w:hint="default"/>
              </w:rPr>
              <w:drawing>
                <wp:inline distT="0" distB="0" distL="114300" distR="114300">
                  <wp:extent cx="5041900" cy="1871345"/>
                  <wp:effectExtent l="0" t="0" r="2540" b="3175"/>
                  <wp:docPr id="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pic:cNvPicPr>
                            <a:picLocks noChangeAspect="1"/>
                          </pic:cNvPicPr>
                        </pic:nvPicPr>
                        <pic:blipFill>
                          <a:blip r:embed="rId32"/>
                          <a:stretch>
                            <a:fillRect/>
                          </a:stretch>
                        </pic:blipFill>
                        <pic:spPr>
                          <a:xfrm>
                            <a:off x="0" y="0"/>
                            <a:ext cx="5041900" cy="1871345"/>
                          </a:xfrm>
                          <a:prstGeom prst="rect">
                            <a:avLst/>
                          </a:prstGeom>
                          <a:noFill/>
                          <a:ln>
                            <a:noFill/>
                          </a:ln>
                        </pic:spPr>
                      </pic:pic>
                    </a:graphicData>
                  </a:graphic>
                </wp:inline>
              </w:drawing>
            </w:r>
          </w:p>
          <w:p w14:paraId="40ACAF2D">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eastAsia" w:ascii="Times New Roman" w:eastAsia="宋体"/>
                <w:b/>
                <w:bCs/>
                <w:color w:val="auto"/>
                <w:kern w:val="0"/>
                <w:sz w:val="21"/>
                <w:szCs w:val="21"/>
                <w:u w:val="none"/>
                <w:lang w:val="en-US" w:eastAsia="zh-CN"/>
              </w:rPr>
              <w:t>图2-</w:t>
            </w:r>
            <w:r>
              <w:rPr>
                <w:rFonts w:hint="eastAsia"/>
                <w:b/>
                <w:bCs/>
                <w:color w:val="auto"/>
                <w:kern w:val="0"/>
                <w:sz w:val="21"/>
                <w:szCs w:val="21"/>
                <w:u w:val="none"/>
                <w:lang w:val="en-US" w:eastAsia="zh-CN"/>
              </w:rPr>
              <w:t>11</w:t>
            </w:r>
            <w:r>
              <w:rPr>
                <w:rFonts w:hint="eastAsia" w:ascii="Times New Roman" w:eastAsia="宋体"/>
                <w:b/>
                <w:bCs/>
                <w:color w:val="auto"/>
                <w:kern w:val="0"/>
                <w:sz w:val="21"/>
                <w:szCs w:val="21"/>
                <w:u w:val="none"/>
                <w:lang w:val="en-US" w:eastAsia="zh-CN"/>
              </w:rPr>
              <w:t xml:space="preserve">  </w:t>
            </w:r>
            <w:r>
              <w:rPr>
                <w:rFonts w:hint="eastAsia"/>
                <w:b/>
                <w:bCs/>
                <w:color w:val="auto"/>
                <w:kern w:val="0"/>
                <w:sz w:val="21"/>
                <w:szCs w:val="21"/>
                <w:u w:val="none"/>
                <w:lang w:val="en-US" w:eastAsia="zh-CN"/>
              </w:rPr>
              <w:t>荷花路、金桥路</w:t>
            </w:r>
            <w:r>
              <w:rPr>
                <w:rFonts w:hint="eastAsia" w:ascii="Times New Roman" w:eastAsia="宋体"/>
                <w:b/>
                <w:bCs/>
                <w:color w:val="auto"/>
                <w:kern w:val="0"/>
                <w:sz w:val="21"/>
                <w:szCs w:val="21"/>
                <w:u w:val="none"/>
                <w:lang w:val="en-US" w:eastAsia="zh-CN"/>
              </w:rPr>
              <w:t>内涝点改造工程</w:t>
            </w:r>
          </w:p>
          <w:p w14:paraId="20F2E11F">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default"/>
                <w:b w:val="0"/>
                <w:bCs w:val="0"/>
                <w:color w:val="auto"/>
                <w:kern w:val="0"/>
                <w:sz w:val="24"/>
                <w:u w:val="none"/>
                <w:lang w:val="en-US" w:eastAsia="zh-CN"/>
              </w:rPr>
            </w:pPr>
            <w:r>
              <w:rPr>
                <w:rFonts w:hint="eastAsia"/>
                <w:b w:val="0"/>
                <w:bCs w:val="0"/>
                <w:color w:val="auto"/>
                <w:kern w:val="0"/>
                <w:sz w:val="24"/>
                <w:u w:val="none"/>
                <w:lang w:val="en-US" w:eastAsia="zh-CN"/>
              </w:rPr>
              <w:t>（12）新一中、学院路及护坡内涝点改造工程</w:t>
            </w:r>
          </w:p>
          <w:p w14:paraId="5AB7831A">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rPr>
                <w:rFonts w:hint="eastAsia"/>
                <w:b w:val="0"/>
                <w:bCs w:val="0"/>
                <w:color w:val="auto"/>
                <w:kern w:val="0"/>
                <w:sz w:val="24"/>
                <w:u w:val="none"/>
                <w:lang w:val="en-US" w:eastAsia="zh-CN"/>
              </w:rPr>
            </w:pPr>
            <w:r>
              <w:rPr>
                <w:rFonts w:hint="default"/>
              </w:rPr>
              <w:drawing>
                <wp:inline distT="0" distB="0" distL="114300" distR="114300">
                  <wp:extent cx="4941570" cy="1675130"/>
                  <wp:effectExtent l="0" t="0" r="11430" b="1270"/>
                  <wp:docPr id="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0"/>
                          <pic:cNvPicPr>
                            <a:picLocks noChangeAspect="1"/>
                          </pic:cNvPicPr>
                        </pic:nvPicPr>
                        <pic:blipFill>
                          <a:blip r:embed="rId33"/>
                          <a:srcRect b="9589"/>
                          <a:stretch>
                            <a:fillRect/>
                          </a:stretch>
                        </pic:blipFill>
                        <pic:spPr>
                          <a:xfrm>
                            <a:off x="0" y="0"/>
                            <a:ext cx="4941570" cy="1675130"/>
                          </a:xfrm>
                          <a:prstGeom prst="rect">
                            <a:avLst/>
                          </a:prstGeom>
                          <a:noFill/>
                          <a:ln>
                            <a:noFill/>
                          </a:ln>
                        </pic:spPr>
                      </pic:pic>
                    </a:graphicData>
                  </a:graphic>
                </wp:inline>
              </w:drawing>
            </w:r>
          </w:p>
          <w:p w14:paraId="4C7A932F">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eastAsia" w:ascii="Times New Roman" w:eastAsia="宋体"/>
                <w:b/>
                <w:bCs/>
                <w:color w:val="auto"/>
                <w:kern w:val="0"/>
                <w:sz w:val="21"/>
                <w:szCs w:val="21"/>
                <w:u w:val="none"/>
                <w:lang w:val="en-US" w:eastAsia="zh-CN"/>
              </w:rPr>
              <w:t>图2-</w:t>
            </w:r>
            <w:r>
              <w:rPr>
                <w:rFonts w:hint="eastAsia"/>
                <w:b/>
                <w:bCs/>
                <w:color w:val="auto"/>
                <w:kern w:val="0"/>
                <w:sz w:val="21"/>
                <w:szCs w:val="21"/>
                <w:u w:val="none"/>
                <w:lang w:val="en-US" w:eastAsia="zh-CN"/>
              </w:rPr>
              <w:t>12</w:t>
            </w:r>
            <w:r>
              <w:rPr>
                <w:rFonts w:hint="eastAsia" w:ascii="Times New Roman" w:eastAsia="宋体"/>
                <w:b/>
                <w:bCs/>
                <w:color w:val="auto"/>
                <w:kern w:val="0"/>
                <w:sz w:val="21"/>
                <w:szCs w:val="21"/>
                <w:u w:val="none"/>
                <w:lang w:val="en-US" w:eastAsia="zh-CN"/>
              </w:rPr>
              <w:t xml:space="preserve">  新一中、学院路及护坡内涝点改造工程</w:t>
            </w:r>
          </w:p>
          <w:p w14:paraId="366ED75F">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default"/>
                <w:b w:val="0"/>
                <w:bCs w:val="0"/>
                <w:color w:val="auto"/>
                <w:kern w:val="0"/>
                <w:sz w:val="24"/>
                <w:u w:val="none"/>
                <w:lang w:val="en-US" w:eastAsia="zh-CN"/>
              </w:rPr>
            </w:pPr>
            <w:r>
              <w:rPr>
                <w:rFonts w:hint="eastAsia"/>
                <w:b w:val="0"/>
                <w:bCs w:val="0"/>
                <w:color w:val="auto"/>
                <w:kern w:val="0"/>
                <w:sz w:val="24"/>
                <w:u w:val="none"/>
                <w:lang w:val="en-US" w:eastAsia="zh-CN"/>
              </w:rPr>
              <w:t>（13）三完小及夏家巷内涝点改造工程</w:t>
            </w:r>
          </w:p>
          <w:p w14:paraId="20A8178F">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default"/>
              </w:rPr>
              <w:drawing>
                <wp:inline distT="0" distB="0" distL="114300" distR="114300">
                  <wp:extent cx="2569210" cy="1986915"/>
                  <wp:effectExtent l="0" t="0" r="6350" b="9525"/>
                  <wp:docPr id="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1"/>
                          <pic:cNvPicPr>
                            <a:picLocks noChangeAspect="1"/>
                          </pic:cNvPicPr>
                        </pic:nvPicPr>
                        <pic:blipFill>
                          <a:blip r:embed="rId34"/>
                          <a:srcRect b="51260"/>
                          <a:stretch>
                            <a:fillRect/>
                          </a:stretch>
                        </pic:blipFill>
                        <pic:spPr>
                          <a:xfrm>
                            <a:off x="0" y="0"/>
                            <a:ext cx="2569210" cy="1986915"/>
                          </a:xfrm>
                          <a:prstGeom prst="rect">
                            <a:avLst/>
                          </a:prstGeom>
                          <a:noFill/>
                          <a:ln>
                            <a:noFill/>
                          </a:ln>
                        </pic:spPr>
                      </pic:pic>
                    </a:graphicData>
                  </a:graphic>
                </wp:inline>
              </w:drawing>
            </w:r>
            <w:r>
              <w:rPr>
                <w:rFonts w:hint="default"/>
              </w:rPr>
              <w:drawing>
                <wp:inline distT="0" distB="0" distL="114300" distR="114300">
                  <wp:extent cx="2356485" cy="1994535"/>
                  <wp:effectExtent l="0" t="0" r="5715" b="190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4"/>
                          <a:srcRect t="45891"/>
                          <a:stretch>
                            <a:fillRect/>
                          </a:stretch>
                        </pic:blipFill>
                        <pic:spPr>
                          <a:xfrm>
                            <a:off x="0" y="0"/>
                            <a:ext cx="2356485" cy="1994535"/>
                          </a:xfrm>
                          <a:prstGeom prst="rect">
                            <a:avLst/>
                          </a:prstGeom>
                          <a:noFill/>
                          <a:ln>
                            <a:noFill/>
                          </a:ln>
                        </pic:spPr>
                      </pic:pic>
                    </a:graphicData>
                  </a:graphic>
                </wp:inline>
              </w:drawing>
            </w:r>
          </w:p>
          <w:p w14:paraId="1924A3BA">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val="0"/>
                <w:bCs w:val="0"/>
                <w:color w:val="auto"/>
                <w:kern w:val="0"/>
                <w:sz w:val="24"/>
                <w:u w:val="none"/>
                <w:lang w:val="en-US" w:eastAsia="zh-CN"/>
              </w:rPr>
            </w:pPr>
            <w:r>
              <w:rPr>
                <w:rFonts w:hint="eastAsia" w:ascii="Times New Roman" w:eastAsia="宋体"/>
                <w:b/>
                <w:bCs/>
                <w:color w:val="auto"/>
                <w:kern w:val="0"/>
                <w:sz w:val="21"/>
                <w:szCs w:val="21"/>
                <w:u w:val="none"/>
                <w:lang w:val="en-US" w:eastAsia="zh-CN"/>
              </w:rPr>
              <w:t>图2-</w:t>
            </w:r>
            <w:r>
              <w:rPr>
                <w:rFonts w:hint="eastAsia"/>
                <w:b/>
                <w:bCs/>
                <w:color w:val="auto"/>
                <w:kern w:val="0"/>
                <w:sz w:val="21"/>
                <w:szCs w:val="21"/>
                <w:u w:val="none"/>
                <w:lang w:val="en-US" w:eastAsia="zh-CN"/>
              </w:rPr>
              <w:t>13</w:t>
            </w:r>
            <w:r>
              <w:rPr>
                <w:rFonts w:hint="eastAsia" w:ascii="Times New Roman" w:eastAsia="宋体"/>
                <w:b/>
                <w:bCs/>
                <w:color w:val="auto"/>
                <w:kern w:val="0"/>
                <w:sz w:val="21"/>
                <w:szCs w:val="21"/>
                <w:u w:val="none"/>
                <w:lang w:val="en-US" w:eastAsia="zh-CN"/>
              </w:rPr>
              <w:t xml:space="preserve">  三完小</w:t>
            </w:r>
            <w:r>
              <w:rPr>
                <w:rFonts w:hint="eastAsia"/>
                <w:b/>
                <w:bCs/>
                <w:color w:val="auto"/>
                <w:kern w:val="0"/>
                <w:sz w:val="21"/>
                <w:szCs w:val="21"/>
                <w:u w:val="none"/>
                <w:lang w:val="en-US" w:eastAsia="zh-CN"/>
              </w:rPr>
              <w:t>（左）</w:t>
            </w:r>
            <w:r>
              <w:rPr>
                <w:rFonts w:hint="eastAsia" w:ascii="Times New Roman" w:eastAsia="宋体"/>
                <w:b/>
                <w:bCs/>
                <w:color w:val="auto"/>
                <w:kern w:val="0"/>
                <w:sz w:val="21"/>
                <w:szCs w:val="21"/>
                <w:u w:val="none"/>
                <w:lang w:val="en-US" w:eastAsia="zh-CN"/>
              </w:rPr>
              <w:t>及夏家巷</w:t>
            </w:r>
            <w:r>
              <w:rPr>
                <w:rFonts w:hint="eastAsia"/>
                <w:b/>
                <w:bCs/>
                <w:color w:val="auto"/>
                <w:kern w:val="0"/>
                <w:sz w:val="21"/>
                <w:szCs w:val="21"/>
                <w:u w:val="none"/>
                <w:lang w:val="en-US" w:eastAsia="zh-CN"/>
              </w:rPr>
              <w:t>（右）</w:t>
            </w:r>
            <w:r>
              <w:rPr>
                <w:rFonts w:hint="eastAsia" w:ascii="Times New Roman" w:eastAsia="宋体"/>
                <w:b/>
                <w:bCs/>
                <w:color w:val="auto"/>
                <w:kern w:val="0"/>
                <w:sz w:val="21"/>
                <w:szCs w:val="21"/>
                <w:u w:val="none"/>
                <w:lang w:val="en-US" w:eastAsia="zh-CN"/>
              </w:rPr>
              <w:t>内涝点改造工程</w:t>
            </w:r>
          </w:p>
          <w:p w14:paraId="7C8A0CBD">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default"/>
                <w:b w:val="0"/>
                <w:bCs w:val="0"/>
                <w:color w:val="auto"/>
                <w:kern w:val="0"/>
                <w:sz w:val="24"/>
                <w:u w:val="none"/>
                <w:lang w:val="en-US" w:eastAsia="zh-CN"/>
              </w:rPr>
            </w:pPr>
            <w:r>
              <w:rPr>
                <w:rFonts w:hint="eastAsia"/>
                <w:b w:val="0"/>
                <w:bCs w:val="0"/>
                <w:color w:val="auto"/>
                <w:kern w:val="0"/>
                <w:sz w:val="24"/>
                <w:u w:val="none"/>
                <w:lang w:val="en-US" w:eastAsia="zh-CN"/>
              </w:rPr>
              <w:t>通过本次工程，可提高临湘市城区的防洪排涝的能力，改善了河道水环境以及城区环境，同时提升了居民的生活质量。</w:t>
            </w:r>
          </w:p>
          <w:p w14:paraId="0E194C03">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b/>
                <w:bCs/>
                <w:color w:val="auto"/>
                <w:spacing w:val="-2"/>
                <w:sz w:val="24"/>
                <w:highlight w:val="yellow"/>
                <w:u w:val="none"/>
              </w:rPr>
            </w:pPr>
            <w:r>
              <w:rPr>
                <w:rFonts w:hint="eastAsia"/>
                <w:b/>
                <w:bCs/>
                <w:color w:val="auto"/>
                <w:spacing w:val="-2"/>
                <w:sz w:val="24"/>
                <w:highlight w:val="none"/>
                <w:u w:val="none"/>
                <w:lang w:val="en-US" w:eastAsia="zh-CN"/>
              </w:rPr>
              <w:t>2</w:t>
            </w:r>
            <w:r>
              <w:rPr>
                <w:rFonts w:hint="eastAsia"/>
                <w:b/>
                <w:bCs/>
                <w:color w:val="auto"/>
                <w:spacing w:val="-2"/>
                <w:sz w:val="24"/>
                <w:highlight w:val="none"/>
                <w:u w:val="none"/>
              </w:rPr>
              <w:t>、</w:t>
            </w:r>
            <w:r>
              <w:rPr>
                <w:rFonts w:hint="eastAsia"/>
                <w:b/>
                <w:bCs/>
                <w:color w:val="auto"/>
                <w:spacing w:val="-2"/>
                <w:sz w:val="24"/>
                <w:highlight w:val="none"/>
                <w:u w:val="none"/>
                <w:lang w:val="en-US" w:eastAsia="zh-CN"/>
              </w:rPr>
              <w:t>现场</w:t>
            </w:r>
            <w:r>
              <w:rPr>
                <w:rFonts w:hint="eastAsia"/>
                <w:b/>
                <w:bCs/>
                <w:color w:val="auto"/>
                <w:spacing w:val="-2"/>
                <w:sz w:val="24"/>
                <w:highlight w:val="none"/>
                <w:u w:val="none"/>
              </w:rPr>
              <w:t>布置</w:t>
            </w:r>
          </w:p>
          <w:p w14:paraId="39BD30D2">
            <w:pPr>
              <w:keepNext w:val="0"/>
              <w:keepLines w:val="0"/>
              <w:widowControl/>
              <w:suppressLineNumbers w:val="0"/>
              <w:spacing w:before="0" w:beforeAutospacing="0" w:after="0" w:afterAutospacing="0" w:line="360" w:lineRule="auto"/>
              <w:ind w:left="0" w:right="0" w:firstLine="482" w:firstLineChars="200"/>
              <w:jc w:val="left"/>
              <w:rPr>
                <w:rFonts w:hint="default"/>
                <w:lang w:val="en-US"/>
              </w:rPr>
            </w:pPr>
            <w:r>
              <w:rPr>
                <w:rFonts w:hint="eastAsia"/>
                <w:b/>
                <w:bCs/>
                <w:color w:val="auto"/>
                <w:kern w:val="0"/>
                <w:sz w:val="24"/>
                <w:u w:val="none"/>
                <w:lang w:val="en-US" w:eastAsia="zh-CN"/>
              </w:rPr>
              <w:t>2.1 水、电及照明布置</w:t>
            </w:r>
          </w:p>
          <w:p w14:paraId="481A40D4">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none"/>
              </w:rPr>
            </w:pPr>
            <w:r>
              <w:rPr>
                <w:rFonts w:hint="eastAsia"/>
                <w:color w:val="auto"/>
                <w:sz w:val="24"/>
                <w:u w:val="none"/>
                <w:lang w:val="en-US" w:eastAsia="zh-CN"/>
              </w:rPr>
              <w:t>①</w:t>
            </w:r>
            <w:r>
              <w:rPr>
                <w:rFonts w:hint="eastAsia"/>
                <w:color w:val="auto"/>
                <w:sz w:val="24"/>
                <w:u w:val="none"/>
              </w:rPr>
              <w:t>施工用水：施工用水主要为生产和生活用水</w:t>
            </w:r>
            <w:r>
              <w:rPr>
                <w:rFonts w:hint="eastAsia"/>
                <w:color w:val="auto"/>
                <w:sz w:val="24"/>
                <w:u w:val="none"/>
                <w:lang w:eastAsia="zh-CN"/>
              </w:rPr>
              <w:t>，</w:t>
            </w:r>
            <w:r>
              <w:rPr>
                <w:rFonts w:hint="eastAsia"/>
                <w:color w:val="auto"/>
                <w:sz w:val="24"/>
                <w:u w:val="none"/>
                <w:lang w:val="en-US" w:eastAsia="zh-CN"/>
              </w:rPr>
              <w:t>均</w:t>
            </w:r>
            <w:r>
              <w:rPr>
                <w:rFonts w:hint="eastAsia"/>
                <w:color w:val="auto"/>
                <w:sz w:val="24"/>
                <w:u w:val="none"/>
              </w:rPr>
              <w:t>采用市政供水。</w:t>
            </w:r>
          </w:p>
          <w:p w14:paraId="45491E5E">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none"/>
              </w:rPr>
            </w:pPr>
            <w:r>
              <w:rPr>
                <w:rFonts w:hint="eastAsia"/>
                <w:color w:val="auto"/>
                <w:sz w:val="24"/>
                <w:u w:val="none"/>
                <w:lang w:val="en-US" w:eastAsia="zh-CN"/>
              </w:rPr>
              <w:t>②</w:t>
            </w:r>
            <w:r>
              <w:rPr>
                <w:rFonts w:hint="eastAsia"/>
                <w:color w:val="auto"/>
                <w:sz w:val="24"/>
                <w:u w:val="none"/>
              </w:rPr>
              <w:t>施工用电：现场附近有电源接入的采取独立装表接入电源；现场无电源接入采用发电机发电解决。</w:t>
            </w:r>
          </w:p>
          <w:p w14:paraId="5A8F0FDF">
            <w:pPr>
              <w:keepNext w:val="0"/>
              <w:keepLines w:val="0"/>
              <w:widowControl/>
              <w:suppressLineNumbers w:val="0"/>
              <w:spacing w:before="0" w:beforeAutospacing="0" w:after="0" w:afterAutospacing="0" w:line="360" w:lineRule="auto"/>
              <w:ind w:left="0" w:right="0" w:firstLine="482" w:firstLineChars="200"/>
              <w:jc w:val="left"/>
              <w:rPr>
                <w:rFonts w:hint="default"/>
                <w:u w:val="single"/>
                <w:lang w:val="en-US"/>
              </w:rPr>
            </w:pPr>
            <w:r>
              <w:rPr>
                <w:rFonts w:hint="eastAsia"/>
                <w:b/>
                <w:bCs/>
                <w:color w:val="auto"/>
                <w:kern w:val="0"/>
                <w:sz w:val="24"/>
                <w:u w:val="single"/>
                <w:lang w:val="en-US" w:eastAsia="zh-CN"/>
              </w:rPr>
              <w:t>2.2 施工场地排水布置</w:t>
            </w:r>
          </w:p>
          <w:p w14:paraId="312CB99B">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highlight w:val="none"/>
                <w:u w:val="single"/>
              </w:rPr>
            </w:pPr>
            <w:r>
              <w:rPr>
                <w:rFonts w:hint="eastAsia"/>
                <w:color w:val="auto"/>
                <w:sz w:val="24"/>
                <w:highlight w:val="none"/>
                <w:u w:val="single"/>
              </w:rPr>
              <w:t>本次环评要求建设方在施工地两侧修建雨水导流渠，施工期尽量选在少雨季节及枯水季节进行施工，施工期设置的临时堆场，要加雨棚，堆场应远离河流，避免施工期地面径流冲刷污染。施工期如遇到下雨天气，工地建材堆场应用雨布覆盖，防止被雨水冲刷而流失。另</w:t>
            </w:r>
            <w:r>
              <w:rPr>
                <w:rFonts w:hint="eastAsia"/>
                <w:color w:val="auto"/>
                <w:sz w:val="24"/>
                <w:highlight w:val="none"/>
                <w:u w:val="single"/>
                <w:lang w:val="en-US" w:eastAsia="zh-CN"/>
              </w:rPr>
              <w:t>外</w:t>
            </w:r>
            <w:r>
              <w:rPr>
                <w:rFonts w:hint="eastAsia"/>
                <w:color w:val="auto"/>
                <w:sz w:val="24"/>
                <w:highlight w:val="none"/>
                <w:u w:val="single"/>
              </w:rPr>
              <w:t>建设方在施工期应及时做好水土保持设施，对开挖的地块及时夯实、铺膜覆土、快速绿化，防止暴雨时造成较大的水土流失，污染附近水体。加强教育，严禁施工人员往水体中丢垃圾。施工期间淤泥脱水废水经三级沉淀池→混凝沉淀（PAC+PAM）→活性炭吸附→清水池回用/达标排放，</w:t>
            </w:r>
            <w:r>
              <w:rPr>
                <w:rFonts w:hint="eastAsia"/>
                <w:color w:val="auto"/>
                <w:sz w:val="24"/>
                <w:highlight w:val="none"/>
                <w:u w:val="single"/>
                <w:lang w:val="en-US" w:eastAsia="zh-CN"/>
              </w:rPr>
              <w:t>员工生活</w:t>
            </w:r>
            <w:r>
              <w:rPr>
                <w:rFonts w:hint="eastAsia"/>
                <w:color w:val="auto"/>
                <w:sz w:val="24"/>
                <w:highlight w:val="none"/>
                <w:u w:val="single"/>
              </w:rPr>
              <w:t>依托租赁民房</w:t>
            </w:r>
            <w:r>
              <w:rPr>
                <w:rFonts w:hint="eastAsia"/>
                <w:color w:val="auto"/>
                <w:sz w:val="24"/>
                <w:highlight w:val="none"/>
                <w:u w:val="single"/>
                <w:lang w:eastAsia="zh-CN"/>
              </w:rPr>
              <w:t>，</w:t>
            </w:r>
            <w:r>
              <w:rPr>
                <w:rFonts w:hint="eastAsia"/>
                <w:color w:val="auto"/>
                <w:sz w:val="24"/>
                <w:highlight w:val="none"/>
                <w:u w:val="single"/>
                <w:lang w:val="en-US" w:eastAsia="zh-CN"/>
              </w:rPr>
              <w:t>产生的废水经市政污水管网排放处理</w:t>
            </w:r>
            <w:r>
              <w:rPr>
                <w:rFonts w:hint="eastAsia"/>
                <w:color w:val="auto"/>
                <w:sz w:val="24"/>
                <w:highlight w:val="none"/>
                <w:u w:val="single"/>
              </w:rPr>
              <w:t>。营运期间无外排废水。</w:t>
            </w:r>
          </w:p>
          <w:p w14:paraId="6A023BA3">
            <w:pPr>
              <w:keepNext w:val="0"/>
              <w:keepLines w:val="0"/>
              <w:widowControl/>
              <w:suppressLineNumbers w:val="0"/>
              <w:spacing w:before="0" w:beforeAutospacing="0" w:after="0" w:afterAutospacing="0" w:line="360" w:lineRule="auto"/>
              <w:ind w:left="0" w:right="0" w:firstLine="482" w:firstLineChars="200"/>
              <w:jc w:val="left"/>
              <w:rPr>
                <w:rFonts w:hint="eastAsia"/>
                <w:color w:val="auto"/>
                <w:sz w:val="24"/>
                <w:highlight w:val="none"/>
                <w:u w:val="single"/>
              </w:rPr>
            </w:pPr>
            <w:r>
              <w:rPr>
                <w:rFonts w:hint="eastAsia"/>
                <w:b/>
                <w:bCs/>
                <w:color w:val="auto"/>
                <w:kern w:val="0"/>
                <w:sz w:val="24"/>
                <w:highlight w:val="none"/>
                <w:u w:val="single"/>
                <w:lang w:val="en-US" w:eastAsia="zh-CN"/>
              </w:rPr>
              <w:t>2.3 施工临建设施布置</w:t>
            </w:r>
          </w:p>
          <w:p w14:paraId="74888ED2">
            <w:pPr>
              <w:keepNext w:val="0"/>
              <w:keepLines w:val="0"/>
              <w:widowControl/>
              <w:suppressLineNumbers w:val="0"/>
              <w:spacing w:before="0" w:beforeAutospacing="0" w:after="0" w:afterAutospacing="0" w:line="360" w:lineRule="auto"/>
              <w:ind w:left="0" w:right="0" w:firstLine="480" w:firstLineChars="200"/>
              <w:jc w:val="left"/>
              <w:rPr>
                <w:rFonts w:hint="eastAsia"/>
                <w:color w:val="auto"/>
                <w:sz w:val="24"/>
                <w:highlight w:val="none"/>
                <w:u w:val="single"/>
                <w:lang w:val="en-US" w:eastAsia="zh-CN"/>
              </w:rPr>
            </w:pPr>
            <w:r>
              <w:rPr>
                <w:rFonts w:hint="eastAsia"/>
                <w:color w:val="auto"/>
                <w:sz w:val="24"/>
                <w:highlight w:val="none"/>
                <w:u w:val="single"/>
              </w:rPr>
              <w:t>本工程施工堤线较长，施工较分散。根据现场踏勘，部分居民沿工程堤线居住，为尽量不打扰周围居民生活且便于项目施工，施工临建设施应尽量布置在远离周围居民且靠近</w:t>
            </w:r>
            <w:r>
              <w:rPr>
                <w:rFonts w:hint="eastAsia"/>
                <w:color w:val="auto"/>
                <w:sz w:val="24"/>
                <w:highlight w:val="none"/>
                <w:u w:val="single"/>
                <w:lang w:val="en-US" w:eastAsia="zh-CN"/>
              </w:rPr>
              <w:t>建设点位</w:t>
            </w:r>
            <w:r>
              <w:rPr>
                <w:rFonts w:hint="eastAsia"/>
                <w:color w:val="auto"/>
                <w:sz w:val="24"/>
                <w:highlight w:val="none"/>
                <w:u w:val="single"/>
              </w:rPr>
              <w:t>的开敞地带</w:t>
            </w:r>
            <w:r>
              <w:rPr>
                <w:rFonts w:hint="eastAsia"/>
                <w:color w:val="auto"/>
                <w:sz w:val="24"/>
                <w:highlight w:val="none"/>
                <w:u w:val="single"/>
                <w:lang w:eastAsia="zh-CN"/>
              </w:rPr>
              <w:t>，</w:t>
            </w:r>
            <w:r>
              <w:rPr>
                <w:rFonts w:hint="eastAsia"/>
                <w:color w:val="auto"/>
                <w:sz w:val="24"/>
                <w:highlight w:val="none"/>
                <w:u w:val="single"/>
                <w:lang w:val="en-US" w:eastAsia="zh-CN"/>
              </w:rPr>
              <w:t>且本项目</w:t>
            </w:r>
            <w:r>
              <w:rPr>
                <w:rFonts w:hint="eastAsia"/>
                <w:color w:val="auto"/>
                <w:sz w:val="24"/>
                <w:highlight w:val="none"/>
                <w:u w:val="single"/>
              </w:rPr>
              <w:t>施工人员主要为当地居民。综上原因，本项目</w:t>
            </w:r>
            <w:r>
              <w:rPr>
                <w:rFonts w:hint="eastAsia"/>
                <w:color w:val="auto"/>
                <w:sz w:val="24"/>
                <w:highlight w:val="none"/>
                <w:u w:val="single"/>
                <w:lang w:val="en-US" w:eastAsia="zh-CN"/>
              </w:rPr>
              <w:t>现场不建设施工营地，拟租赁附近居民用房用作临时休息，可减少修建施工营地对环境的负面影响，具有良好的经济环境效益。</w:t>
            </w:r>
          </w:p>
          <w:p w14:paraId="7E855128">
            <w:pPr>
              <w:keepNext w:val="0"/>
              <w:keepLines w:val="0"/>
              <w:widowControl/>
              <w:suppressLineNumbers w:val="0"/>
              <w:spacing w:before="0" w:beforeAutospacing="0" w:after="0" w:afterAutospacing="0" w:line="360" w:lineRule="auto"/>
              <w:ind w:left="0" w:right="0" w:firstLine="480" w:firstLineChars="200"/>
              <w:jc w:val="left"/>
              <w:rPr>
                <w:rFonts w:hint="eastAsia"/>
                <w:color w:val="auto"/>
                <w:sz w:val="24"/>
                <w:szCs w:val="24"/>
                <w:highlight w:val="none"/>
                <w:u w:val="single"/>
                <w:lang w:val="en-US" w:eastAsia="zh-CN"/>
              </w:rPr>
            </w:pPr>
            <w:r>
              <w:rPr>
                <w:rFonts w:hint="eastAsia"/>
                <w:color w:val="auto"/>
                <w:sz w:val="24"/>
                <w:szCs w:val="24"/>
                <w:highlight w:val="none"/>
                <w:u w:val="single"/>
                <w:lang w:val="en-US" w:eastAsia="zh-CN"/>
              </w:rPr>
              <w:t>本工程总占地14.14hm</w:t>
            </w:r>
            <w:r>
              <w:rPr>
                <w:rFonts w:hint="eastAsia"/>
                <w:color w:val="auto"/>
                <w:sz w:val="24"/>
                <w:szCs w:val="24"/>
                <w:highlight w:val="none"/>
                <w:u w:val="single"/>
                <w:vertAlign w:val="superscript"/>
                <w:lang w:val="en-US" w:eastAsia="zh-CN"/>
              </w:rPr>
              <w:t>2</w:t>
            </w:r>
            <w:r>
              <w:rPr>
                <w:rFonts w:hint="eastAsia"/>
                <w:color w:val="auto"/>
                <w:sz w:val="24"/>
                <w:szCs w:val="24"/>
                <w:highlight w:val="none"/>
                <w:u w:val="single"/>
                <w:lang w:val="en-US" w:eastAsia="zh-CN"/>
              </w:rPr>
              <w:t>，永久占地2.51hm</w:t>
            </w:r>
            <w:r>
              <w:rPr>
                <w:rFonts w:hint="eastAsia"/>
                <w:color w:val="auto"/>
                <w:sz w:val="24"/>
                <w:szCs w:val="24"/>
                <w:highlight w:val="none"/>
                <w:u w:val="single"/>
                <w:vertAlign w:val="superscript"/>
                <w:lang w:val="en-US" w:eastAsia="zh-CN"/>
              </w:rPr>
              <w:t>2</w:t>
            </w:r>
            <w:r>
              <w:rPr>
                <w:rFonts w:hint="eastAsia"/>
                <w:color w:val="auto"/>
                <w:sz w:val="24"/>
                <w:szCs w:val="24"/>
                <w:highlight w:val="none"/>
                <w:u w:val="single"/>
                <w:lang w:val="en-US" w:eastAsia="zh-CN"/>
              </w:rPr>
              <w:t>，临时占地11.63hm</w:t>
            </w:r>
            <w:r>
              <w:rPr>
                <w:rFonts w:hint="eastAsia"/>
                <w:color w:val="auto"/>
                <w:sz w:val="24"/>
                <w:szCs w:val="24"/>
                <w:highlight w:val="none"/>
                <w:u w:val="single"/>
                <w:vertAlign w:val="superscript"/>
                <w:lang w:val="en-US" w:eastAsia="zh-CN"/>
              </w:rPr>
              <w:t>2</w:t>
            </w:r>
            <w:r>
              <w:rPr>
                <w:rFonts w:hint="eastAsia"/>
                <w:color w:val="auto"/>
                <w:sz w:val="24"/>
                <w:szCs w:val="24"/>
                <w:highlight w:val="none"/>
                <w:u w:val="single"/>
                <w:lang w:val="en-US" w:eastAsia="zh-CN"/>
              </w:rPr>
              <w:t>，根据《土地利用现状分类》（GB/T2010-2017）的标准划分，本项目占地类型为公园绿地、林地、水域及水利设施用地和城市道路用地，占地位于临湘市。项目占地区域在城市建设规划范围内，没有明显的水土保持制约性因素。项目所处区域现有硬化道路直接与周边道路相连，施工出入交通便利，项目用地红线外无需专设施工通道，可减少施工临时占地面积。</w:t>
            </w:r>
          </w:p>
          <w:p w14:paraId="32C8DFBF">
            <w:pPr>
              <w:keepNext w:val="0"/>
              <w:keepLines w:val="0"/>
              <w:widowControl/>
              <w:numPr>
                <w:ilvl w:val="0"/>
                <w:numId w:val="4"/>
              </w:numPr>
              <w:suppressLineNumbers w:val="0"/>
              <w:spacing w:before="0" w:beforeAutospacing="0" w:after="0" w:afterAutospacing="0" w:line="360" w:lineRule="auto"/>
              <w:ind w:left="0" w:right="0" w:firstLine="480" w:firstLineChars="200"/>
              <w:jc w:val="left"/>
              <w:rPr>
                <w:rFonts w:hint="eastAsia"/>
                <w:color w:val="auto"/>
                <w:sz w:val="24"/>
                <w:szCs w:val="24"/>
                <w:highlight w:val="none"/>
                <w:u w:val="single"/>
                <w:lang w:val="en-US" w:eastAsia="zh-CN"/>
              </w:rPr>
            </w:pPr>
            <w:r>
              <w:rPr>
                <w:rFonts w:hint="eastAsia"/>
                <w:color w:val="auto"/>
                <w:sz w:val="24"/>
                <w:szCs w:val="24"/>
                <w:highlight w:val="none"/>
                <w:u w:val="single"/>
                <w:lang w:val="en-US" w:eastAsia="zh-CN"/>
              </w:rPr>
              <w:t>建设单位于项目区围墙内四周布设了临时排水沟，于施工临建区内布设了部分临时排水沟，排导该区域内的汇流。临时排水措施有利于迅速疏导基坑周边地表的汇流，避免汇流夹带泥沙漫溢，便于机械设备与人员施工，属于水土保持工程。</w:t>
            </w:r>
          </w:p>
          <w:p w14:paraId="3B021C72">
            <w:pPr>
              <w:keepNext w:val="0"/>
              <w:keepLines w:val="0"/>
              <w:widowControl/>
              <w:numPr>
                <w:ilvl w:val="0"/>
                <w:numId w:val="4"/>
              </w:numPr>
              <w:suppressLineNumbers w:val="0"/>
              <w:spacing w:before="0" w:beforeAutospacing="0" w:after="0" w:afterAutospacing="0" w:line="360" w:lineRule="auto"/>
              <w:ind w:left="0" w:right="0" w:firstLine="480" w:firstLineChars="200"/>
              <w:jc w:val="left"/>
              <w:rPr>
                <w:rFonts w:hint="eastAsia"/>
                <w:color w:val="auto"/>
                <w:sz w:val="24"/>
                <w:szCs w:val="24"/>
                <w:highlight w:val="none"/>
                <w:u w:val="single"/>
                <w:lang w:val="en-US" w:eastAsia="zh-CN"/>
              </w:rPr>
            </w:pPr>
            <w:r>
              <w:rPr>
                <w:rFonts w:hint="eastAsia"/>
                <w:color w:val="auto"/>
                <w:sz w:val="24"/>
                <w:szCs w:val="24"/>
                <w:highlight w:val="none"/>
                <w:u w:val="single"/>
                <w:lang w:val="en-US" w:eastAsia="zh-CN"/>
              </w:rPr>
              <w:t>建设单位于排水出口处布设了临时沉砂池过滤泥沙。沉砂池可有效过滤汇流中的泥沙，避免汇流夹带泥沙直接排入周边市政管网，属于水土保持工程。</w:t>
            </w:r>
          </w:p>
          <w:p w14:paraId="0A63AE97">
            <w:pPr>
              <w:keepNext w:val="0"/>
              <w:keepLines w:val="0"/>
              <w:widowControl/>
              <w:numPr>
                <w:ilvl w:val="0"/>
                <w:numId w:val="4"/>
              </w:numPr>
              <w:suppressLineNumbers w:val="0"/>
              <w:spacing w:before="0" w:beforeAutospacing="0" w:after="0" w:afterAutospacing="0" w:line="360" w:lineRule="auto"/>
              <w:ind w:left="0" w:right="0" w:firstLine="480" w:firstLineChars="200"/>
              <w:jc w:val="left"/>
              <w:rPr>
                <w:rFonts w:hint="eastAsia"/>
                <w:color w:val="auto"/>
                <w:sz w:val="24"/>
                <w:szCs w:val="24"/>
                <w:highlight w:val="none"/>
                <w:u w:val="single"/>
                <w:lang w:val="en-US" w:eastAsia="zh-CN"/>
              </w:rPr>
            </w:pPr>
            <w:r>
              <w:rPr>
                <w:rFonts w:hint="eastAsia"/>
                <w:color w:val="auto"/>
                <w:sz w:val="24"/>
                <w:szCs w:val="24"/>
                <w:highlight w:val="none"/>
                <w:u w:val="single"/>
                <w:lang w:val="en-US" w:eastAsia="zh-CN"/>
              </w:rPr>
              <w:t>建设单位于部分裸露区域布设了防尘网，防尘网能有效防止雨水对裸露区域、堆土表面的冲刷，具有水土保持功能。</w:t>
            </w:r>
          </w:p>
          <w:p w14:paraId="471E89C2">
            <w:pPr>
              <w:keepNext w:val="0"/>
              <w:keepLines w:val="0"/>
              <w:widowControl/>
              <w:suppressLineNumbers w:val="0"/>
              <w:spacing w:before="0" w:beforeAutospacing="0" w:after="0" w:afterAutospacing="0" w:line="360" w:lineRule="auto"/>
              <w:ind w:left="0" w:right="0" w:firstLine="480" w:firstLineChars="200"/>
              <w:jc w:val="left"/>
              <w:rPr>
                <w:rFonts w:hint="default"/>
                <w:color w:val="auto"/>
                <w:sz w:val="24"/>
                <w:szCs w:val="24"/>
                <w:highlight w:val="none"/>
                <w:u w:val="single"/>
                <w:lang w:val="en-US" w:eastAsia="zh-CN"/>
              </w:rPr>
            </w:pPr>
            <w:r>
              <w:rPr>
                <w:rFonts w:hint="eastAsia"/>
                <w:color w:val="auto"/>
                <w:sz w:val="24"/>
                <w:szCs w:val="24"/>
                <w:highlight w:val="none"/>
                <w:u w:val="single"/>
                <w:lang w:val="en-US" w:eastAsia="zh-CN"/>
              </w:rPr>
              <w:t>4）淤泥临时堆放场</w:t>
            </w:r>
          </w:p>
          <w:p w14:paraId="45181915">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default" w:ascii="Times New Roman" w:hAnsi="Times New Roman" w:eastAsia="宋体" w:cs="Times New Roman"/>
                <w:color w:val="auto"/>
                <w:spacing w:val="-2"/>
                <w:sz w:val="24"/>
                <w:szCs w:val="24"/>
                <w:highlight w:val="none"/>
                <w:u w:val="single"/>
                <w:lang w:val="en-US" w:eastAsia="zh-CN"/>
              </w:rPr>
            </w:pPr>
            <w:r>
              <w:rPr>
                <w:rFonts w:hint="default" w:ascii="Times New Roman" w:hAnsi="Times New Roman" w:eastAsia="宋体" w:cs="Times New Roman"/>
                <w:color w:val="auto"/>
                <w:spacing w:val="-2"/>
                <w:sz w:val="24"/>
                <w:szCs w:val="24"/>
                <w:highlight w:val="none"/>
                <w:u w:val="single"/>
                <w:lang w:val="en-US" w:eastAsia="zh-CN"/>
              </w:rPr>
              <w:t>本次环评河道清淤淤泥量为39414m³，</w:t>
            </w:r>
          </w:p>
          <w:p w14:paraId="66C52B8C">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default" w:ascii="Times New Roman" w:hAnsi="Times New Roman" w:eastAsia="宋体" w:cs="Times New Roman"/>
                <w:color w:val="auto"/>
                <w:spacing w:val="-2"/>
                <w:sz w:val="24"/>
                <w:szCs w:val="24"/>
                <w:highlight w:val="none"/>
                <w:u w:val="single"/>
                <w:lang w:val="en-US" w:eastAsia="zh-CN"/>
              </w:rPr>
            </w:pPr>
            <w:r>
              <w:rPr>
                <w:rFonts w:hint="default" w:ascii="Times New Roman" w:hAnsi="Times New Roman" w:eastAsia="宋体" w:cs="Times New Roman"/>
                <w:color w:val="auto"/>
                <w:spacing w:val="-2"/>
                <w:sz w:val="24"/>
                <w:szCs w:val="24"/>
                <w:highlight w:val="none"/>
                <w:u w:val="single"/>
                <w:lang w:val="en-US" w:eastAsia="zh-CN"/>
              </w:rPr>
              <w:t>为了避免坍塌风险堆放高度需要≤3m，</w:t>
            </w:r>
          </w:p>
          <w:p w14:paraId="6FB343E5">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default" w:ascii="Times New Roman" w:hAnsi="Times New Roman" w:eastAsia="宋体" w:cs="Times New Roman"/>
                <w:color w:val="auto"/>
                <w:spacing w:val="-2"/>
                <w:sz w:val="24"/>
                <w:szCs w:val="24"/>
                <w:highlight w:val="none"/>
                <w:u w:val="single"/>
                <w:lang w:val="en-US" w:eastAsia="zh-CN"/>
              </w:rPr>
            </w:pPr>
            <w:r>
              <w:rPr>
                <w:rFonts w:hint="default" w:ascii="Times New Roman" w:hAnsi="Times New Roman" w:eastAsia="宋体" w:cs="Times New Roman"/>
                <w:color w:val="auto"/>
                <w:spacing w:val="-2"/>
                <w:sz w:val="24"/>
                <w:szCs w:val="24"/>
                <w:highlight w:val="none"/>
                <w:u w:val="single"/>
                <w:lang w:val="en-US" w:eastAsia="zh-CN"/>
              </w:rPr>
              <w:t>堆放密度：1.3t/m³</w:t>
            </w:r>
          </w:p>
          <w:p w14:paraId="320AFDFA">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default" w:ascii="Times New Roman" w:hAnsi="Times New Roman" w:eastAsia="宋体" w:cs="Times New Roman"/>
                <w:color w:val="auto"/>
                <w:spacing w:val="-2"/>
                <w:sz w:val="24"/>
                <w:szCs w:val="24"/>
                <w:highlight w:val="none"/>
                <w:u w:val="single"/>
                <w:lang w:val="en-US" w:eastAsia="zh-CN"/>
              </w:rPr>
            </w:pPr>
            <w:r>
              <w:rPr>
                <w:rFonts w:hint="default" w:ascii="Times New Roman" w:hAnsi="Times New Roman" w:eastAsia="宋体" w:cs="Times New Roman"/>
                <w:color w:val="auto"/>
                <w:spacing w:val="-2"/>
                <w:sz w:val="24"/>
                <w:szCs w:val="24"/>
                <w:highlight w:val="none"/>
                <w:u w:val="single"/>
                <w:lang w:val="en-US" w:eastAsia="zh-CN"/>
              </w:rPr>
              <w:t>安全系数：1.2（考虑坡度、作业空间等）</w:t>
            </w:r>
          </w:p>
          <w:p w14:paraId="47E8E966">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default" w:ascii="Times New Roman" w:hAnsi="Times New Roman" w:eastAsia="宋体" w:cs="Times New Roman"/>
                <w:color w:val="auto"/>
                <w:spacing w:val="-2"/>
                <w:sz w:val="24"/>
                <w:szCs w:val="24"/>
                <w:highlight w:val="none"/>
                <w:u w:val="single"/>
                <w:lang w:val="en-US" w:eastAsia="zh-CN"/>
              </w:rPr>
            </w:pPr>
            <w:r>
              <w:rPr>
                <w:rFonts w:hint="eastAsia" w:ascii="Times New Roman" w:hAnsi="Times New Roman" w:eastAsia="宋体" w:cs="Times New Roman"/>
                <w:color w:val="auto"/>
                <w:spacing w:val="-2"/>
                <w:sz w:val="24"/>
                <w:szCs w:val="24"/>
                <w:highlight w:val="none"/>
                <w:u w:val="single"/>
                <w:lang w:val="en-US" w:eastAsia="zh-CN"/>
              </w:rPr>
              <w:t>面积计算</w:t>
            </w:r>
            <w:r>
              <w:rPr>
                <w:rFonts w:hint="default" w:ascii="Times New Roman" w:hAnsi="Times New Roman" w:eastAsia="宋体" w:cs="Times New Roman"/>
                <w:color w:val="auto"/>
                <w:spacing w:val="-2"/>
                <w:sz w:val="24"/>
                <w:szCs w:val="24"/>
                <w:highlight w:val="none"/>
                <w:u w:val="single"/>
                <w:lang w:val="en-US" w:eastAsia="zh-CN"/>
              </w:rPr>
              <w:t>：</w:t>
            </w:r>
          </w:p>
          <w:p w14:paraId="5002C2AB">
            <w:pPr>
              <w:keepNext w:val="0"/>
              <w:keepLines w:val="0"/>
              <w:numPr>
                <w:ilvl w:val="0"/>
                <w:numId w:val="0"/>
              </w:numPr>
              <w:suppressLineNumbers w:val="0"/>
              <w:spacing w:before="0" w:beforeAutospacing="0" w:after="0" w:afterAutospacing="0" w:line="360" w:lineRule="auto"/>
              <w:ind w:left="0" w:right="0" w:rightChars="0"/>
              <w:jc w:val="center"/>
              <w:rPr>
                <w:rFonts w:hint="default" w:ascii="Times New Roman" w:hAnsi="Times New Roman" w:eastAsia="宋体" w:cs="Times New Roman"/>
                <w:i w:val="0"/>
                <w:iCs w:val="0"/>
                <w:color w:val="auto"/>
                <w:spacing w:val="-2"/>
                <w:sz w:val="24"/>
                <w:szCs w:val="24"/>
                <w:highlight w:val="none"/>
                <w:u w:val="single"/>
                <w:lang w:val="en-US" w:eastAsia="zh-CN"/>
              </w:rPr>
            </w:pPr>
            <w:r>
              <w:rPr>
                <w:rFonts w:hint="default" w:ascii="Times New Roman" w:hAnsi="Times New Roman" w:eastAsia="宋体" w:cs="Times New Roman"/>
                <w:i w:val="0"/>
                <w:iCs w:val="0"/>
                <w:caps w:val="0"/>
                <w:color w:val="auto"/>
                <w:spacing w:val="0"/>
                <w:sz w:val="24"/>
                <w:szCs w:val="24"/>
                <w:u w:val="single"/>
              </w:rPr>
              <w:t>堆放场面积=堆放高度淤泥总量×安全系数=339414×1.2≈15,766</w:t>
            </w:r>
            <w:r>
              <w:rPr>
                <w:rFonts w:hint="default" w:ascii="Times New Roman" w:hAnsi="Times New Roman" w:eastAsia="宋体" w:cs="Times New Roman"/>
                <w:i w:val="0"/>
                <w:iCs w:val="0"/>
                <w:caps w:val="0"/>
                <w:color w:val="auto"/>
                <w:spacing w:val="0"/>
                <w:sz w:val="24"/>
                <w:szCs w:val="24"/>
                <w:u w:val="single"/>
                <w:lang w:val="en-US" w:eastAsia="zh-CN"/>
              </w:rPr>
              <w:t>㎡</w:t>
            </w:r>
          </w:p>
          <w:p w14:paraId="7C405A73">
            <w:pPr>
              <w:keepNext w:val="0"/>
              <w:keepLines w:val="0"/>
              <w:widowControl/>
              <w:suppressLineNumbers w:val="0"/>
              <w:spacing w:before="0" w:beforeAutospacing="0" w:after="0" w:afterAutospacing="0" w:line="360" w:lineRule="auto"/>
              <w:ind w:left="0" w:right="0" w:firstLine="472" w:firstLineChars="200"/>
              <w:jc w:val="left"/>
              <w:rPr>
                <w:rFonts w:hint="default" w:ascii="Times New Roman" w:hAnsi="Times New Roman" w:eastAsia="宋体" w:cs="Times New Roman"/>
                <w:color w:val="auto"/>
                <w:sz w:val="24"/>
                <w:szCs w:val="24"/>
                <w:highlight w:val="none"/>
                <w:u w:val="single"/>
                <w:lang w:val="en-US" w:eastAsia="zh-CN"/>
              </w:rPr>
            </w:pPr>
            <w:r>
              <w:rPr>
                <w:rFonts w:hint="default" w:ascii="Times New Roman" w:hAnsi="Times New Roman" w:eastAsia="宋体" w:cs="Times New Roman"/>
                <w:color w:val="auto"/>
                <w:spacing w:val="-2"/>
                <w:sz w:val="24"/>
                <w:szCs w:val="24"/>
                <w:highlight w:val="none"/>
                <w:u w:val="single"/>
                <w:lang w:val="en-US" w:eastAsia="zh-CN"/>
              </w:rPr>
              <w:t>由此计算出堆放场面积约等于15766㎡。结合项目实际情况可分2处设置，考虑含截水沟、防渗层边缘预留</w:t>
            </w:r>
            <w:r>
              <w:rPr>
                <w:rFonts w:hint="eastAsia" w:ascii="Times New Roman" w:hAnsi="Times New Roman" w:eastAsia="宋体" w:cs="Times New Roman"/>
                <w:color w:val="auto"/>
                <w:spacing w:val="-2"/>
                <w:sz w:val="24"/>
                <w:szCs w:val="24"/>
                <w:highlight w:val="none"/>
                <w:u w:val="single"/>
                <w:lang w:val="en-US" w:eastAsia="zh-CN"/>
              </w:rPr>
              <w:t>，</w:t>
            </w:r>
            <w:r>
              <w:rPr>
                <w:rFonts w:hint="default" w:ascii="Times New Roman" w:hAnsi="Times New Roman" w:eastAsia="宋体" w:cs="Times New Roman"/>
                <w:color w:val="auto"/>
                <w:spacing w:val="-2"/>
                <w:sz w:val="24"/>
                <w:szCs w:val="24"/>
                <w:highlight w:val="none"/>
                <w:u w:val="single"/>
                <w:lang w:val="en-US" w:eastAsia="zh-CN"/>
              </w:rPr>
              <w:t>调整为</w:t>
            </w:r>
            <w:r>
              <w:rPr>
                <w:rFonts w:hint="default" w:ascii="Times New Roman" w:hAnsi="Times New Roman" w:eastAsia="宋体" w:cs="Times New Roman"/>
                <w:b/>
                <w:bCs/>
                <w:color w:val="auto"/>
                <w:spacing w:val="-2"/>
                <w:sz w:val="24"/>
                <w:szCs w:val="24"/>
                <w:highlight w:val="none"/>
                <w:u w:val="single"/>
                <w:lang w:val="en-US" w:eastAsia="zh-CN"/>
              </w:rPr>
              <w:t>8000m²/处</w:t>
            </w:r>
            <w:r>
              <w:rPr>
                <w:rFonts w:hint="eastAsia" w:ascii="Times New Roman" w:hAnsi="Times New Roman" w:eastAsia="宋体" w:cs="Times New Roman"/>
                <w:b/>
                <w:bCs/>
                <w:color w:val="auto"/>
                <w:spacing w:val="-2"/>
                <w:sz w:val="24"/>
                <w:szCs w:val="24"/>
                <w:highlight w:val="none"/>
                <w:u w:val="single"/>
                <w:lang w:val="en-US" w:eastAsia="zh-CN"/>
              </w:rPr>
              <w:t>。</w:t>
            </w:r>
          </w:p>
          <w:p w14:paraId="4A98C03E">
            <w:pPr>
              <w:keepNext w:val="0"/>
              <w:keepLines w:val="0"/>
              <w:widowControl/>
              <w:suppressLineNumbers w:val="0"/>
              <w:spacing w:before="0" w:beforeAutospacing="0" w:after="0" w:afterAutospacing="0" w:line="360" w:lineRule="auto"/>
              <w:ind w:left="0" w:right="0" w:firstLine="480" w:firstLineChars="200"/>
              <w:jc w:val="left"/>
              <w:rPr>
                <w:rFonts w:hint="default"/>
                <w:color w:val="auto"/>
                <w:sz w:val="24"/>
                <w:highlight w:val="none"/>
                <w:u w:val="single"/>
                <w:lang w:val="en-US" w:eastAsia="zh-CN"/>
              </w:rPr>
            </w:pPr>
            <w:r>
              <w:rPr>
                <w:rFonts w:hint="eastAsia"/>
                <w:color w:val="auto"/>
                <w:sz w:val="24"/>
                <w:highlight w:val="none"/>
                <w:u w:val="single"/>
                <w:lang w:val="en-US" w:eastAsia="zh-CN"/>
              </w:rPr>
              <w:t>5）施工便道</w:t>
            </w:r>
          </w:p>
          <w:p w14:paraId="009A9CB7">
            <w:pPr>
              <w:keepNext w:val="0"/>
              <w:keepLines w:val="0"/>
              <w:widowControl/>
              <w:suppressLineNumbers w:val="0"/>
              <w:spacing w:before="0" w:beforeAutospacing="0" w:after="0" w:afterAutospacing="0" w:line="360" w:lineRule="auto"/>
              <w:ind w:left="0" w:right="0" w:firstLine="480" w:firstLineChars="200"/>
              <w:jc w:val="left"/>
              <w:rPr>
                <w:rFonts w:hint="eastAsia"/>
                <w:color w:val="auto"/>
                <w:sz w:val="24"/>
                <w:highlight w:val="none"/>
                <w:u w:val="single"/>
                <w:lang w:val="en-US" w:eastAsia="zh-CN"/>
              </w:rPr>
            </w:pPr>
            <w:r>
              <w:rPr>
                <w:rFonts w:hint="eastAsia"/>
                <w:color w:val="auto"/>
                <w:sz w:val="24"/>
                <w:highlight w:val="none"/>
                <w:u w:val="single"/>
                <w:lang w:val="en-US" w:eastAsia="zh-CN"/>
              </w:rPr>
              <w:t>新增临时便道长度：500m（连接河道与堆放场）</w:t>
            </w:r>
          </w:p>
          <w:p w14:paraId="67F6F4A5">
            <w:pPr>
              <w:keepNext w:val="0"/>
              <w:keepLines w:val="0"/>
              <w:widowControl/>
              <w:suppressLineNumbers w:val="0"/>
              <w:spacing w:before="0" w:beforeAutospacing="0" w:after="0" w:afterAutospacing="0" w:line="360" w:lineRule="auto"/>
              <w:ind w:left="0" w:right="0" w:firstLine="480" w:firstLineChars="200"/>
              <w:jc w:val="left"/>
              <w:rPr>
                <w:rFonts w:hint="eastAsia"/>
                <w:color w:val="auto"/>
                <w:sz w:val="24"/>
                <w:highlight w:val="none"/>
                <w:u w:val="single"/>
                <w:lang w:val="en-US" w:eastAsia="zh-CN"/>
              </w:rPr>
            </w:pPr>
            <w:r>
              <w:rPr>
                <w:rFonts w:hint="eastAsia"/>
                <w:color w:val="auto"/>
                <w:sz w:val="24"/>
                <w:highlight w:val="none"/>
                <w:u w:val="single"/>
                <w:lang w:val="en-US" w:eastAsia="zh-CN"/>
              </w:rPr>
              <w:t>便道宽度：4m（满足渣土车双向通行）</w:t>
            </w:r>
          </w:p>
          <w:p w14:paraId="2B49FC15">
            <w:pPr>
              <w:keepNext w:val="0"/>
              <w:keepLines w:val="0"/>
              <w:widowControl/>
              <w:suppressLineNumbers w:val="0"/>
              <w:spacing w:before="0" w:beforeAutospacing="0" w:after="0" w:afterAutospacing="0" w:line="360" w:lineRule="auto"/>
              <w:ind w:left="0" w:right="0" w:firstLine="480" w:firstLineChars="200"/>
              <w:jc w:val="left"/>
              <w:rPr>
                <w:rFonts w:hint="eastAsia"/>
                <w:color w:val="auto"/>
                <w:sz w:val="24"/>
                <w:highlight w:val="none"/>
                <w:u w:val="single"/>
                <w:lang w:val="en-US" w:eastAsia="zh-CN"/>
              </w:rPr>
            </w:pPr>
            <w:r>
              <w:rPr>
                <w:rFonts w:hint="eastAsia"/>
                <w:color w:val="auto"/>
                <w:sz w:val="24"/>
                <w:highlight w:val="none"/>
                <w:u w:val="single"/>
                <w:lang w:val="en-US" w:eastAsia="zh-CN"/>
              </w:rPr>
              <w:t>硬化方式：砾石铺设（厚度0.3m）</w:t>
            </w:r>
          </w:p>
          <w:p w14:paraId="5CFB3C55">
            <w:pPr>
              <w:keepNext w:val="0"/>
              <w:keepLines w:val="0"/>
              <w:widowControl/>
              <w:suppressLineNumbers w:val="0"/>
              <w:spacing w:before="0" w:beforeAutospacing="0" w:after="0" w:afterAutospacing="0" w:line="360" w:lineRule="auto"/>
              <w:ind w:left="0" w:right="0" w:firstLine="480" w:firstLineChars="200"/>
              <w:jc w:val="left"/>
              <w:rPr>
                <w:rFonts w:hint="eastAsia"/>
                <w:color w:val="auto"/>
                <w:sz w:val="24"/>
                <w:highlight w:val="none"/>
                <w:u w:val="single"/>
                <w:lang w:val="en-US" w:eastAsia="zh-CN"/>
              </w:rPr>
            </w:pPr>
            <w:r>
              <w:rPr>
                <w:rFonts w:hint="eastAsia"/>
                <w:color w:val="auto"/>
                <w:sz w:val="24"/>
                <w:highlight w:val="none"/>
                <w:u w:val="single"/>
                <w:lang w:val="en-US" w:eastAsia="zh-CN"/>
              </w:rPr>
              <w:t>面积计算：</w:t>
            </w:r>
          </w:p>
          <w:p w14:paraId="74C7A5D1">
            <w:pPr>
              <w:keepNext w:val="0"/>
              <w:keepLines w:val="0"/>
              <w:widowControl/>
              <w:suppressLineNumbers w:val="0"/>
              <w:spacing w:before="0" w:beforeAutospacing="0" w:after="0" w:afterAutospacing="0" w:line="360" w:lineRule="auto"/>
              <w:ind w:left="0" w:right="0"/>
              <w:jc w:val="center"/>
              <w:rPr>
                <w:rFonts w:hint="eastAsia"/>
                <w:b/>
                <w:bCs/>
                <w:color w:val="auto"/>
                <w:sz w:val="24"/>
                <w:highlight w:val="none"/>
                <w:u w:val="single"/>
                <w:vertAlign w:val="superscript"/>
                <w:lang w:val="en-US" w:eastAsia="zh-CN"/>
              </w:rPr>
            </w:pPr>
            <w:r>
              <w:rPr>
                <w:rFonts w:hint="eastAsia"/>
                <w:color w:val="auto"/>
                <w:sz w:val="24"/>
                <w:highlight w:val="none"/>
                <w:u w:val="single"/>
                <w:lang w:val="en-US" w:eastAsia="zh-CN"/>
              </w:rPr>
              <w:t>便道面积=长度×宽度=500×4=</w:t>
            </w:r>
            <w:r>
              <w:rPr>
                <w:rFonts w:hint="eastAsia"/>
                <w:b/>
                <w:bCs/>
                <w:color w:val="auto"/>
                <w:sz w:val="24"/>
                <w:highlight w:val="none"/>
                <w:u w:val="single"/>
                <w:lang w:val="en-US" w:eastAsia="zh-CN"/>
              </w:rPr>
              <w:t>2000m</w:t>
            </w:r>
            <w:r>
              <w:rPr>
                <w:rFonts w:hint="eastAsia"/>
                <w:b/>
                <w:bCs/>
                <w:color w:val="auto"/>
                <w:sz w:val="24"/>
                <w:highlight w:val="none"/>
                <w:u w:val="single"/>
                <w:vertAlign w:val="superscript"/>
                <w:lang w:val="en-US" w:eastAsia="zh-CN"/>
              </w:rPr>
              <w:t>2</w:t>
            </w:r>
          </w:p>
          <w:p w14:paraId="02C04590">
            <w:pPr>
              <w:keepNext w:val="0"/>
              <w:keepLines w:val="0"/>
              <w:widowControl/>
              <w:suppressLineNumbers w:val="0"/>
              <w:spacing w:before="0" w:beforeAutospacing="0" w:after="0" w:afterAutospacing="0" w:line="360" w:lineRule="auto"/>
              <w:ind w:left="0" w:right="0" w:firstLine="480" w:firstLineChars="200"/>
              <w:jc w:val="left"/>
              <w:rPr>
                <w:rFonts w:hint="eastAsia"/>
                <w:color w:val="auto"/>
                <w:sz w:val="24"/>
                <w:highlight w:val="none"/>
                <w:u w:val="single"/>
                <w:lang w:val="en-US" w:eastAsia="zh-CN"/>
              </w:rPr>
            </w:pPr>
            <w:r>
              <w:rPr>
                <w:rFonts w:hint="eastAsia"/>
                <w:color w:val="auto"/>
                <w:sz w:val="24"/>
                <w:highlight w:val="none"/>
                <w:u w:val="single"/>
                <w:lang w:val="en-US" w:eastAsia="zh-CN"/>
              </w:rPr>
              <w:t>6）临时施工材料、设备堆放场</w:t>
            </w:r>
          </w:p>
          <w:p w14:paraId="5E5986B5">
            <w:pPr>
              <w:keepNext w:val="0"/>
              <w:keepLines w:val="0"/>
              <w:widowControl/>
              <w:suppressLineNumbers w:val="0"/>
              <w:spacing w:before="0" w:beforeAutospacing="0" w:after="0" w:afterAutospacing="0" w:line="360" w:lineRule="auto"/>
              <w:ind w:left="0" w:right="0" w:firstLine="480" w:firstLineChars="200"/>
              <w:jc w:val="left"/>
              <w:rPr>
                <w:rFonts w:hint="eastAsia"/>
                <w:color w:val="auto"/>
                <w:sz w:val="24"/>
                <w:highlight w:val="none"/>
                <w:u w:val="single"/>
                <w:lang w:val="en-US" w:eastAsia="zh-CN"/>
              </w:rPr>
            </w:pPr>
            <w:r>
              <w:rPr>
                <w:rFonts w:hint="eastAsia"/>
                <w:color w:val="auto"/>
                <w:sz w:val="24"/>
                <w:highlight w:val="none"/>
                <w:u w:val="single"/>
                <w:lang w:val="en-US" w:eastAsia="zh-CN"/>
              </w:rPr>
              <w:t>临时施工材料、设备堆放场设置时占地类型考虑为荒地、草地，植被主要以杂草为主，不涉及占用基本农田、生态公益林，场地临近城市道路，交通便利，有利于施工，</w:t>
            </w:r>
            <w:r>
              <w:rPr>
                <w:rFonts w:hint="eastAsia"/>
                <w:b/>
                <w:bCs/>
                <w:color w:val="auto"/>
                <w:sz w:val="24"/>
                <w:highlight w:val="none"/>
                <w:u w:val="single"/>
                <w:lang w:val="en-US" w:eastAsia="zh-CN"/>
              </w:rPr>
              <w:t>占地约1200m²</w:t>
            </w:r>
            <w:r>
              <w:rPr>
                <w:rFonts w:hint="eastAsia"/>
                <w:color w:val="auto"/>
                <w:sz w:val="24"/>
                <w:highlight w:val="none"/>
                <w:u w:val="single"/>
                <w:lang w:val="en-US" w:eastAsia="zh-CN"/>
              </w:rPr>
              <w:t>，施工结束后均可很快恢复成当前地貌总。</w:t>
            </w:r>
          </w:p>
          <w:p w14:paraId="2D4CC056">
            <w:pPr>
              <w:keepNext w:val="0"/>
              <w:keepLines w:val="0"/>
              <w:widowControl/>
              <w:suppressLineNumbers w:val="0"/>
              <w:spacing w:before="0" w:beforeAutospacing="0" w:after="0" w:afterAutospacing="0" w:line="360" w:lineRule="auto"/>
              <w:ind w:left="0" w:right="0" w:firstLine="480" w:firstLineChars="200"/>
              <w:jc w:val="left"/>
              <w:rPr>
                <w:rFonts w:hint="default"/>
                <w:color w:val="auto"/>
                <w:sz w:val="24"/>
                <w:highlight w:val="none"/>
                <w:u w:val="single"/>
                <w:lang w:val="en-US" w:eastAsia="zh-CN"/>
              </w:rPr>
            </w:pPr>
            <w:r>
              <w:rPr>
                <w:rFonts w:hint="eastAsia"/>
                <w:color w:val="auto"/>
                <w:sz w:val="24"/>
                <w:highlight w:val="none"/>
                <w:u w:val="single"/>
                <w:lang w:val="en-US" w:eastAsia="zh-CN"/>
              </w:rPr>
              <w:t>7）沉淀池与污水处理区</w:t>
            </w:r>
          </w:p>
          <w:p w14:paraId="4B9E5E9D">
            <w:pPr>
              <w:keepNext w:val="0"/>
              <w:keepLines w:val="0"/>
              <w:widowControl/>
              <w:suppressLineNumbers w:val="0"/>
              <w:spacing w:before="0" w:beforeAutospacing="0" w:after="0" w:afterAutospacing="0" w:line="360" w:lineRule="auto"/>
              <w:ind w:left="0" w:right="0" w:firstLine="480" w:firstLineChars="200"/>
              <w:jc w:val="left"/>
              <w:rPr>
                <w:rFonts w:hint="eastAsia"/>
                <w:color w:val="auto"/>
                <w:sz w:val="24"/>
                <w:highlight w:val="none"/>
                <w:u w:val="single"/>
                <w:lang w:val="en-US" w:eastAsia="zh-CN"/>
              </w:rPr>
            </w:pPr>
            <w:r>
              <w:rPr>
                <w:rFonts w:hint="eastAsia"/>
                <w:color w:val="auto"/>
                <w:sz w:val="24"/>
                <w:highlight w:val="none"/>
                <w:u w:val="single"/>
                <w:lang w:val="en-US" w:eastAsia="zh-CN"/>
              </w:rPr>
              <w:t>三级沉淀池容积：200m³（单级尺寸10m×5m×1.5m）</w:t>
            </w:r>
          </w:p>
          <w:p w14:paraId="3EE51F90">
            <w:pPr>
              <w:keepNext w:val="0"/>
              <w:keepLines w:val="0"/>
              <w:widowControl/>
              <w:suppressLineNumbers w:val="0"/>
              <w:spacing w:before="0" w:beforeAutospacing="0" w:after="0" w:afterAutospacing="0" w:line="360" w:lineRule="auto"/>
              <w:ind w:left="0" w:right="0" w:firstLine="480" w:firstLineChars="200"/>
              <w:jc w:val="left"/>
              <w:rPr>
                <w:rFonts w:hint="eastAsia"/>
                <w:color w:val="auto"/>
                <w:sz w:val="24"/>
                <w:highlight w:val="none"/>
                <w:u w:val="single"/>
                <w:lang w:val="en-US" w:eastAsia="zh-CN"/>
              </w:rPr>
            </w:pPr>
            <w:r>
              <w:rPr>
                <w:rFonts w:hint="eastAsia"/>
                <w:color w:val="auto"/>
                <w:sz w:val="24"/>
                <w:highlight w:val="none"/>
                <w:u w:val="single"/>
                <w:lang w:val="en-US" w:eastAsia="zh-CN"/>
              </w:rPr>
              <w:t>活性炭过滤区：5m×5m=25m²</w:t>
            </w:r>
          </w:p>
          <w:p w14:paraId="5C57BC27">
            <w:pPr>
              <w:keepNext w:val="0"/>
              <w:keepLines w:val="0"/>
              <w:widowControl/>
              <w:suppressLineNumbers w:val="0"/>
              <w:spacing w:before="0" w:beforeAutospacing="0" w:after="0" w:afterAutospacing="0" w:line="360" w:lineRule="auto"/>
              <w:ind w:left="0" w:right="0"/>
              <w:jc w:val="center"/>
              <w:rPr>
                <w:rFonts w:hint="eastAsia"/>
                <w:b/>
                <w:bCs/>
                <w:color w:val="auto"/>
                <w:sz w:val="24"/>
                <w:highlight w:val="none"/>
                <w:u w:val="single"/>
                <w:vertAlign w:val="superscript"/>
                <w:lang w:val="en-US" w:eastAsia="zh-CN"/>
              </w:rPr>
            </w:pPr>
            <w:r>
              <w:rPr>
                <w:rFonts w:hint="eastAsia"/>
                <w:color w:val="auto"/>
                <w:sz w:val="24"/>
                <w:highlight w:val="none"/>
                <w:u w:val="single"/>
                <w:lang w:val="en-US" w:eastAsia="zh-CN"/>
              </w:rPr>
              <w:t>沉淀池面积=3×(10×5)+25=150+25=</w:t>
            </w:r>
            <w:r>
              <w:rPr>
                <w:rFonts w:hint="eastAsia"/>
                <w:b/>
                <w:bCs/>
                <w:color w:val="auto"/>
                <w:sz w:val="24"/>
                <w:highlight w:val="none"/>
                <w:u w:val="single"/>
                <w:lang w:val="en-US" w:eastAsia="zh-CN"/>
              </w:rPr>
              <w:t>175m</w:t>
            </w:r>
            <w:r>
              <w:rPr>
                <w:rFonts w:hint="eastAsia"/>
                <w:b/>
                <w:bCs/>
                <w:color w:val="auto"/>
                <w:sz w:val="24"/>
                <w:highlight w:val="none"/>
                <w:u w:val="single"/>
                <w:vertAlign w:val="superscript"/>
                <w:lang w:val="en-US" w:eastAsia="zh-CN"/>
              </w:rPr>
              <w:t>2</w:t>
            </w:r>
          </w:p>
          <w:p w14:paraId="69153D8A">
            <w:pPr>
              <w:keepNext w:val="0"/>
              <w:keepLines w:val="0"/>
              <w:widowControl/>
              <w:numPr>
                <w:ilvl w:val="0"/>
                <w:numId w:val="0"/>
              </w:numPr>
              <w:suppressLineNumbers w:val="0"/>
              <w:spacing w:before="0" w:beforeAutospacing="0" w:after="0" w:afterAutospacing="0" w:line="360" w:lineRule="auto"/>
              <w:ind w:left="0" w:right="0" w:rightChars="0" w:firstLine="480" w:firstLineChars="200"/>
              <w:jc w:val="left"/>
              <w:rPr>
                <w:rFonts w:hint="eastAsia"/>
                <w:color w:val="auto"/>
                <w:sz w:val="24"/>
                <w:highlight w:val="none"/>
                <w:u w:val="single"/>
                <w:vertAlign w:val="baseline"/>
                <w:lang w:val="en-US" w:eastAsia="zh-CN"/>
              </w:rPr>
            </w:pPr>
            <w:r>
              <w:rPr>
                <w:rFonts w:hint="eastAsia"/>
                <w:color w:val="auto"/>
                <w:sz w:val="24"/>
                <w:highlight w:val="none"/>
                <w:u w:val="single"/>
                <w:vertAlign w:val="baseline"/>
                <w:lang w:val="en-US" w:eastAsia="zh-CN"/>
              </w:rPr>
              <w:t>8）应急设施</w:t>
            </w:r>
          </w:p>
          <w:p w14:paraId="6D1A3077">
            <w:pPr>
              <w:keepNext w:val="0"/>
              <w:keepLines w:val="0"/>
              <w:widowControl/>
              <w:numPr>
                <w:ilvl w:val="0"/>
                <w:numId w:val="0"/>
              </w:numPr>
              <w:suppressLineNumbers w:val="0"/>
              <w:spacing w:before="0" w:beforeAutospacing="0" w:after="0" w:afterAutospacing="0" w:line="360" w:lineRule="auto"/>
              <w:ind w:left="0" w:right="0" w:rightChars="0" w:firstLine="480" w:firstLineChars="200"/>
              <w:jc w:val="left"/>
              <w:rPr>
                <w:rFonts w:hint="eastAsia"/>
                <w:b/>
                <w:bCs/>
                <w:color w:val="auto"/>
                <w:sz w:val="24"/>
                <w:highlight w:val="none"/>
                <w:u w:val="single"/>
                <w:vertAlign w:val="baseline"/>
                <w:lang w:val="en-US" w:eastAsia="zh-CN"/>
              </w:rPr>
            </w:pPr>
            <w:r>
              <w:rPr>
                <w:rFonts w:hint="default"/>
                <w:color w:val="auto"/>
                <w:sz w:val="24"/>
                <w:highlight w:val="none"/>
                <w:u w:val="single"/>
                <w:vertAlign w:val="baseline"/>
                <w:lang w:val="en-US" w:eastAsia="zh-CN"/>
              </w:rPr>
              <w:t>应急设施（拦污坝、抽水泵站）：</w:t>
            </w:r>
            <w:r>
              <w:rPr>
                <w:rFonts w:hint="default"/>
                <w:b/>
                <w:bCs/>
                <w:color w:val="auto"/>
                <w:sz w:val="24"/>
                <w:highlight w:val="none"/>
                <w:u w:val="single"/>
                <w:vertAlign w:val="baseline"/>
                <w:lang w:val="en-US" w:eastAsia="zh-CN"/>
              </w:rPr>
              <w:t>150m²</w:t>
            </w:r>
            <w:r>
              <w:rPr>
                <w:rFonts w:hint="eastAsia"/>
                <w:b/>
                <w:bCs/>
                <w:color w:val="auto"/>
                <w:sz w:val="24"/>
                <w:highlight w:val="none"/>
                <w:u w:val="single"/>
                <w:vertAlign w:val="baseline"/>
                <w:lang w:val="en-US" w:eastAsia="zh-CN"/>
              </w:rPr>
              <w:t>。</w:t>
            </w:r>
          </w:p>
          <w:p w14:paraId="191562EC">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b/>
                <w:bCs/>
                <w:color w:val="auto"/>
                <w:spacing w:val="-2"/>
                <w:sz w:val="24"/>
                <w:highlight w:val="yellow"/>
                <w:u w:val="single"/>
                <w:lang w:val="en-US"/>
              </w:rPr>
            </w:pPr>
            <w:r>
              <w:rPr>
                <w:rFonts w:hint="eastAsia"/>
                <w:b/>
                <w:bCs/>
                <w:color w:val="auto"/>
                <w:spacing w:val="-2"/>
                <w:sz w:val="24"/>
                <w:highlight w:val="none"/>
                <w:u w:val="single"/>
                <w:lang w:val="en-US" w:eastAsia="zh-CN"/>
              </w:rPr>
              <w:t>3</w:t>
            </w:r>
            <w:r>
              <w:rPr>
                <w:rFonts w:hint="eastAsia"/>
                <w:b/>
                <w:bCs/>
                <w:color w:val="auto"/>
                <w:spacing w:val="-2"/>
                <w:sz w:val="24"/>
                <w:highlight w:val="none"/>
                <w:u w:val="single"/>
              </w:rPr>
              <w:t>、</w:t>
            </w:r>
            <w:r>
              <w:rPr>
                <w:rFonts w:hint="eastAsia"/>
                <w:b/>
                <w:bCs/>
                <w:color w:val="auto"/>
                <w:spacing w:val="-2"/>
                <w:sz w:val="24"/>
                <w:highlight w:val="none"/>
                <w:u w:val="single"/>
                <w:lang w:val="en-US" w:eastAsia="zh-CN"/>
              </w:rPr>
              <w:t>项目土石方平衡</w:t>
            </w:r>
          </w:p>
          <w:p w14:paraId="1C5BE633">
            <w:pPr>
              <w:keepNext w:val="0"/>
              <w:keepLines w:val="0"/>
              <w:widowControl/>
              <w:suppressLineNumbers w:val="0"/>
              <w:spacing w:before="0" w:beforeAutospacing="0" w:after="0" w:afterAutospacing="0" w:line="360" w:lineRule="auto"/>
              <w:ind w:left="0" w:right="0" w:firstLine="482" w:firstLineChars="200"/>
              <w:jc w:val="left"/>
              <w:rPr>
                <w:rFonts w:hint="default"/>
                <w:u w:val="single"/>
                <w:lang w:val="en-US"/>
              </w:rPr>
            </w:pPr>
            <w:r>
              <w:rPr>
                <w:rFonts w:hint="eastAsia"/>
                <w:b/>
                <w:bCs/>
                <w:color w:val="auto"/>
                <w:kern w:val="0"/>
                <w:sz w:val="24"/>
                <w:u w:val="single"/>
                <w:lang w:val="en-US" w:eastAsia="zh-CN"/>
              </w:rPr>
              <w:t>3.1 表土平衡</w:t>
            </w:r>
          </w:p>
          <w:p w14:paraId="5D7B092A">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single"/>
              </w:rPr>
            </w:pPr>
            <w:r>
              <w:rPr>
                <w:rFonts w:hint="eastAsia"/>
                <w:color w:val="auto"/>
                <w:sz w:val="24"/>
                <w:u w:val="single"/>
              </w:rPr>
              <w:t>目前项目已全面开工，目前地表已全部扰动，根据主体工程资料结合现场勘查施工前对工程区进行了表土剥离,项目区可剥离面积9.02hm</w:t>
            </w:r>
            <w:r>
              <w:rPr>
                <w:rFonts w:hint="eastAsia"/>
                <w:color w:val="auto"/>
                <w:sz w:val="24"/>
                <w:u w:val="single"/>
                <w:vertAlign w:val="superscript"/>
                <w:lang w:val="en-US" w:eastAsia="zh-CN"/>
              </w:rPr>
              <w:t>2</w:t>
            </w:r>
            <w:r>
              <w:rPr>
                <w:rFonts w:hint="eastAsia"/>
                <w:color w:val="auto"/>
                <w:sz w:val="24"/>
                <w:u w:val="single"/>
                <w:lang w:val="en-US" w:eastAsia="zh-CN"/>
              </w:rPr>
              <w:t>，</w:t>
            </w:r>
            <w:r>
              <w:rPr>
                <w:rFonts w:hint="eastAsia"/>
                <w:color w:val="auto"/>
                <w:sz w:val="24"/>
                <w:u w:val="single"/>
              </w:rPr>
              <w:t>剥离厚度为30cm，剥离量为2.71万m</w:t>
            </w:r>
            <w:r>
              <w:rPr>
                <w:rFonts w:hint="eastAsia"/>
                <w:color w:val="auto"/>
                <w:sz w:val="24"/>
                <w:u w:val="single"/>
                <w:vertAlign w:val="superscript"/>
                <w:lang w:val="en-US" w:eastAsia="zh-CN"/>
              </w:rPr>
              <w:t>2</w:t>
            </w:r>
            <w:r>
              <w:rPr>
                <w:rFonts w:hint="eastAsia"/>
                <w:color w:val="auto"/>
                <w:sz w:val="24"/>
                <w:u w:val="single"/>
                <w:lang w:val="en-US" w:eastAsia="zh-CN"/>
              </w:rPr>
              <w:t>；</w:t>
            </w:r>
            <w:r>
              <w:rPr>
                <w:rFonts w:hint="eastAsia"/>
                <w:color w:val="auto"/>
                <w:sz w:val="24"/>
                <w:u w:val="single"/>
              </w:rPr>
              <w:t>回填面积7.61hmm</w:t>
            </w:r>
            <w:r>
              <w:rPr>
                <w:rFonts w:hint="eastAsia"/>
                <w:color w:val="auto"/>
                <w:sz w:val="24"/>
                <w:u w:val="single"/>
                <w:vertAlign w:val="superscript"/>
                <w:lang w:val="en-US" w:eastAsia="zh-CN"/>
              </w:rPr>
              <w:t>2</w:t>
            </w:r>
            <w:r>
              <w:rPr>
                <w:rFonts w:hint="eastAsia"/>
                <w:color w:val="auto"/>
                <w:sz w:val="24"/>
                <w:u w:val="single"/>
              </w:rPr>
              <w:t>，回填厚度为30~40cm</w:t>
            </w:r>
            <w:r>
              <w:rPr>
                <w:rFonts w:hint="eastAsia"/>
                <w:color w:val="auto"/>
                <w:sz w:val="24"/>
                <w:u w:val="single"/>
                <w:lang w:eastAsia="zh-CN"/>
              </w:rPr>
              <w:t>，</w:t>
            </w:r>
            <w:r>
              <w:rPr>
                <w:rFonts w:hint="eastAsia"/>
                <w:color w:val="auto"/>
                <w:sz w:val="24"/>
                <w:u w:val="single"/>
              </w:rPr>
              <w:t>回填量为2.71万m</w:t>
            </w:r>
            <w:r>
              <w:rPr>
                <w:rFonts w:hint="eastAsia"/>
                <w:color w:val="auto"/>
                <w:sz w:val="24"/>
                <w:u w:val="single"/>
                <w:vertAlign w:val="superscript"/>
                <w:lang w:val="en-US" w:eastAsia="zh-CN"/>
              </w:rPr>
              <w:t>3</w:t>
            </w:r>
            <w:r>
              <w:rPr>
                <w:rFonts w:hint="eastAsia"/>
                <w:color w:val="auto"/>
                <w:sz w:val="24"/>
                <w:u w:val="single"/>
                <w:vertAlign w:val="baseline"/>
                <w:lang w:val="en-US" w:eastAsia="zh-CN"/>
              </w:rPr>
              <w:t>，</w:t>
            </w:r>
            <w:r>
              <w:rPr>
                <w:rFonts w:hint="eastAsia"/>
                <w:color w:val="auto"/>
                <w:sz w:val="24"/>
                <w:u w:val="single"/>
              </w:rPr>
              <w:t>表土将全部利用。</w:t>
            </w:r>
          </w:p>
          <w:p w14:paraId="17FDF587">
            <w:pPr>
              <w:keepNext w:val="0"/>
              <w:keepLines w:val="0"/>
              <w:widowControl/>
              <w:suppressLineNumbers w:val="0"/>
              <w:spacing w:before="0" w:beforeAutospacing="0" w:after="0" w:afterAutospacing="0" w:line="360" w:lineRule="auto"/>
              <w:ind w:left="0" w:right="0" w:firstLine="482" w:firstLineChars="200"/>
              <w:jc w:val="left"/>
              <w:rPr>
                <w:rFonts w:hint="default"/>
                <w:u w:val="single"/>
                <w:lang w:val="en-US"/>
              </w:rPr>
            </w:pPr>
            <w:r>
              <w:rPr>
                <w:rFonts w:hint="eastAsia"/>
                <w:b/>
                <w:bCs/>
                <w:color w:val="auto"/>
                <w:kern w:val="0"/>
                <w:sz w:val="24"/>
                <w:u w:val="single"/>
                <w:lang w:val="en-US" w:eastAsia="zh-CN"/>
              </w:rPr>
              <w:t>3.2 一般土石方</w:t>
            </w:r>
          </w:p>
          <w:p w14:paraId="36051817">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olor w:val="auto"/>
                <w:sz w:val="24"/>
                <w:u w:val="single"/>
                <w:lang w:val="en-US" w:eastAsia="zh-CN"/>
              </w:rPr>
            </w:pPr>
            <w:r>
              <w:rPr>
                <w:rFonts w:hint="eastAsia"/>
                <w:color w:val="auto"/>
                <w:sz w:val="24"/>
                <w:u w:val="single"/>
                <w:lang w:val="en-US" w:eastAsia="zh-CN"/>
              </w:rPr>
              <w:t>①行泄通道工程土石方</w:t>
            </w:r>
          </w:p>
          <w:p w14:paraId="174F21A9">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single"/>
                <w:lang w:val="en-US" w:eastAsia="zh-CN"/>
              </w:rPr>
            </w:pPr>
            <w:r>
              <w:rPr>
                <w:rFonts w:hint="eastAsia"/>
                <w:color w:val="auto"/>
                <w:sz w:val="24"/>
                <w:u w:val="single"/>
                <w:lang w:val="en-US" w:eastAsia="zh-CN"/>
              </w:rPr>
              <w:t>土方开挖87202m</w:t>
            </w:r>
            <w:r>
              <w:rPr>
                <w:rFonts w:hint="eastAsia"/>
                <w:color w:val="auto"/>
                <w:sz w:val="24"/>
                <w:u w:val="single"/>
                <w:vertAlign w:val="superscript"/>
                <w:lang w:val="en-US" w:eastAsia="zh-CN"/>
              </w:rPr>
              <w:t>3</w:t>
            </w:r>
            <w:r>
              <w:rPr>
                <w:rFonts w:hint="eastAsia"/>
                <w:color w:val="auto"/>
                <w:sz w:val="24"/>
                <w:u w:val="single"/>
                <w:lang w:val="en-US" w:eastAsia="zh-CN"/>
              </w:rPr>
              <w:t>，回填47006m</w:t>
            </w:r>
            <w:r>
              <w:rPr>
                <w:rFonts w:hint="eastAsia"/>
                <w:color w:val="auto"/>
                <w:sz w:val="24"/>
                <w:u w:val="single"/>
                <w:vertAlign w:val="superscript"/>
                <w:lang w:val="en-US" w:eastAsia="zh-CN"/>
              </w:rPr>
              <w:t>3</w:t>
            </w:r>
            <w:r>
              <w:rPr>
                <w:rFonts w:hint="eastAsia"/>
                <w:color w:val="auto"/>
                <w:sz w:val="24"/>
                <w:u w:val="single"/>
                <w:lang w:val="en-US" w:eastAsia="zh-CN"/>
              </w:rPr>
              <w:t>，弃方40196m</w:t>
            </w:r>
            <w:r>
              <w:rPr>
                <w:rFonts w:hint="eastAsia"/>
                <w:color w:val="auto"/>
                <w:sz w:val="24"/>
                <w:u w:val="single"/>
                <w:vertAlign w:val="superscript"/>
                <w:lang w:val="en-US" w:eastAsia="zh-CN"/>
              </w:rPr>
              <w:t>3</w:t>
            </w:r>
            <w:r>
              <w:rPr>
                <w:rFonts w:hint="eastAsia"/>
                <w:color w:val="auto"/>
                <w:sz w:val="24"/>
                <w:u w:val="single"/>
                <w:lang w:val="en-US" w:eastAsia="zh-CN"/>
              </w:rPr>
              <w:t>。</w:t>
            </w:r>
          </w:p>
          <w:p w14:paraId="5F22E58D">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single"/>
                <w:lang w:val="en-US" w:eastAsia="zh-CN"/>
              </w:rPr>
            </w:pPr>
            <w:r>
              <w:rPr>
                <w:rFonts w:hint="eastAsia"/>
                <w:color w:val="auto"/>
                <w:sz w:val="24"/>
                <w:u w:val="single"/>
                <w:lang w:val="en-US" w:eastAsia="zh-CN"/>
              </w:rPr>
              <w:t>②城区内涝点改造工程土石方</w:t>
            </w:r>
          </w:p>
          <w:p w14:paraId="03F15A67">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single"/>
                <w:lang w:val="en-US" w:eastAsia="zh-CN"/>
              </w:rPr>
            </w:pPr>
            <w:r>
              <w:rPr>
                <w:rFonts w:hint="eastAsia"/>
                <w:color w:val="auto"/>
                <w:sz w:val="24"/>
                <w:u w:val="single"/>
                <w:lang w:val="en-US" w:eastAsia="zh-CN"/>
              </w:rPr>
              <w:t>放坡开挖段：路面拆除998m</w:t>
            </w:r>
            <w:r>
              <w:rPr>
                <w:rFonts w:hint="eastAsia"/>
                <w:color w:val="auto"/>
                <w:sz w:val="24"/>
                <w:u w:val="single"/>
                <w:vertAlign w:val="superscript"/>
                <w:lang w:val="en-US" w:eastAsia="zh-CN"/>
              </w:rPr>
              <w:t>3</w:t>
            </w:r>
            <w:r>
              <w:rPr>
                <w:rFonts w:hint="eastAsia"/>
                <w:color w:val="auto"/>
                <w:sz w:val="24"/>
                <w:u w:val="single"/>
                <w:lang w:val="en-US" w:eastAsia="zh-CN"/>
              </w:rPr>
              <w:t>，土方开挖11120m</w:t>
            </w:r>
            <w:r>
              <w:rPr>
                <w:rFonts w:hint="eastAsia"/>
                <w:color w:val="auto"/>
                <w:sz w:val="24"/>
                <w:u w:val="single"/>
                <w:vertAlign w:val="superscript"/>
                <w:lang w:val="en-US" w:eastAsia="zh-CN"/>
              </w:rPr>
              <w:t>3</w:t>
            </w:r>
            <w:r>
              <w:rPr>
                <w:rFonts w:hint="eastAsia"/>
                <w:color w:val="auto"/>
                <w:sz w:val="24"/>
                <w:u w:val="single"/>
                <w:lang w:val="en-US" w:eastAsia="zh-CN"/>
              </w:rPr>
              <w:t>，回填3336m</w:t>
            </w:r>
            <w:r>
              <w:rPr>
                <w:rFonts w:hint="eastAsia"/>
                <w:color w:val="auto"/>
                <w:sz w:val="24"/>
                <w:u w:val="single"/>
                <w:vertAlign w:val="superscript"/>
                <w:lang w:val="en-US" w:eastAsia="zh-CN"/>
              </w:rPr>
              <w:t>3</w:t>
            </w:r>
            <w:r>
              <w:rPr>
                <w:rFonts w:hint="eastAsia"/>
                <w:color w:val="auto"/>
                <w:sz w:val="24"/>
                <w:u w:val="single"/>
                <w:lang w:val="en-US" w:eastAsia="zh-CN"/>
              </w:rPr>
              <w:t>，弃方8782m</w:t>
            </w:r>
            <w:r>
              <w:rPr>
                <w:rFonts w:hint="eastAsia"/>
                <w:color w:val="auto"/>
                <w:sz w:val="24"/>
                <w:u w:val="single"/>
                <w:vertAlign w:val="superscript"/>
                <w:lang w:val="en-US" w:eastAsia="zh-CN"/>
              </w:rPr>
              <w:t>3</w:t>
            </w:r>
          </w:p>
          <w:p w14:paraId="219891F1">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single"/>
                <w:lang w:val="en-US" w:eastAsia="zh-CN"/>
              </w:rPr>
            </w:pPr>
            <w:r>
              <w:rPr>
                <w:rFonts w:hint="eastAsia"/>
                <w:color w:val="auto"/>
                <w:sz w:val="24"/>
                <w:u w:val="single"/>
                <w:lang w:val="en-US" w:eastAsia="zh-CN"/>
              </w:rPr>
              <w:t>钢板桩支护段：路面拆除337m</w:t>
            </w:r>
            <w:r>
              <w:rPr>
                <w:rFonts w:hint="eastAsia"/>
                <w:color w:val="auto"/>
                <w:sz w:val="24"/>
                <w:u w:val="single"/>
                <w:vertAlign w:val="superscript"/>
                <w:lang w:val="en-US" w:eastAsia="zh-CN"/>
              </w:rPr>
              <w:t>3</w:t>
            </w:r>
            <w:r>
              <w:rPr>
                <w:rFonts w:hint="eastAsia"/>
                <w:color w:val="auto"/>
                <w:sz w:val="24"/>
                <w:u w:val="single"/>
                <w:lang w:val="en-US" w:eastAsia="zh-CN"/>
              </w:rPr>
              <w:t>，土方开挖10116m</w:t>
            </w:r>
            <w:r>
              <w:rPr>
                <w:rFonts w:hint="eastAsia"/>
                <w:color w:val="auto"/>
                <w:sz w:val="24"/>
                <w:u w:val="single"/>
                <w:vertAlign w:val="superscript"/>
                <w:lang w:val="en-US" w:eastAsia="zh-CN"/>
              </w:rPr>
              <w:t>3</w:t>
            </w:r>
            <w:r>
              <w:rPr>
                <w:rFonts w:hint="eastAsia"/>
                <w:color w:val="auto"/>
                <w:sz w:val="24"/>
                <w:u w:val="single"/>
                <w:lang w:val="en-US" w:eastAsia="zh-CN"/>
              </w:rPr>
              <w:t>，回填3035m</w:t>
            </w:r>
            <w:r>
              <w:rPr>
                <w:rFonts w:hint="eastAsia"/>
                <w:color w:val="auto"/>
                <w:sz w:val="24"/>
                <w:u w:val="single"/>
                <w:vertAlign w:val="superscript"/>
                <w:lang w:val="en-US" w:eastAsia="zh-CN"/>
              </w:rPr>
              <w:t>3</w:t>
            </w:r>
            <w:r>
              <w:rPr>
                <w:rFonts w:hint="eastAsia"/>
                <w:color w:val="auto"/>
                <w:sz w:val="24"/>
                <w:u w:val="single"/>
                <w:lang w:val="en-US" w:eastAsia="zh-CN"/>
              </w:rPr>
              <w:t>，弃方7418m</w:t>
            </w:r>
            <w:r>
              <w:rPr>
                <w:rFonts w:hint="eastAsia"/>
                <w:color w:val="auto"/>
                <w:sz w:val="24"/>
                <w:u w:val="single"/>
                <w:vertAlign w:val="superscript"/>
                <w:lang w:val="en-US" w:eastAsia="zh-CN"/>
              </w:rPr>
              <w:t>3</w:t>
            </w:r>
          </w:p>
          <w:p w14:paraId="17FEE8FA">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single"/>
                <w:lang w:val="en-US" w:eastAsia="zh-CN"/>
              </w:rPr>
            </w:pPr>
            <w:r>
              <w:rPr>
                <w:rFonts w:hint="eastAsia"/>
                <w:color w:val="auto"/>
                <w:sz w:val="24"/>
                <w:u w:val="single"/>
                <w:lang w:val="en-US" w:eastAsia="zh-CN"/>
              </w:rPr>
              <w:t>箱涵段：路面拆除781m</w:t>
            </w:r>
            <w:r>
              <w:rPr>
                <w:rFonts w:hint="eastAsia"/>
                <w:color w:val="auto"/>
                <w:sz w:val="24"/>
                <w:u w:val="single"/>
                <w:vertAlign w:val="superscript"/>
                <w:lang w:val="en-US" w:eastAsia="zh-CN"/>
              </w:rPr>
              <w:t>3</w:t>
            </w:r>
            <w:r>
              <w:rPr>
                <w:rFonts w:hint="eastAsia"/>
                <w:color w:val="auto"/>
                <w:sz w:val="24"/>
                <w:u w:val="single"/>
                <w:lang w:val="en-US" w:eastAsia="zh-CN"/>
              </w:rPr>
              <w:t>,土方开挖58560m</w:t>
            </w:r>
            <w:r>
              <w:rPr>
                <w:rFonts w:hint="eastAsia"/>
                <w:color w:val="auto"/>
                <w:sz w:val="24"/>
                <w:u w:val="single"/>
                <w:vertAlign w:val="superscript"/>
                <w:lang w:val="en-US" w:eastAsia="zh-CN"/>
              </w:rPr>
              <w:t>3</w:t>
            </w:r>
            <w:r>
              <w:rPr>
                <w:rFonts w:hint="eastAsia"/>
                <w:color w:val="auto"/>
                <w:sz w:val="24"/>
                <w:u w:val="single"/>
                <w:lang w:val="en-US" w:eastAsia="zh-CN"/>
              </w:rPr>
              <w:t>,回填17568m</w:t>
            </w:r>
            <w:r>
              <w:rPr>
                <w:rFonts w:hint="eastAsia"/>
                <w:color w:val="auto"/>
                <w:sz w:val="24"/>
                <w:u w:val="single"/>
                <w:vertAlign w:val="superscript"/>
                <w:lang w:val="en-US" w:eastAsia="zh-CN"/>
              </w:rPr>
              <w:t>3</w:t>
            </w:r>
            <w:r>
              <w:rPr>
                <w:rFonts w:hint="eastAsia"/>
                <w:color w:val="auto"/>
                <w:sz w:val="24"/>
                <w:u w:val="single"/>
                <w:lang w:val="en-US" w:eastAsia="zh-CN"/>
              </w:rPr>
              <w:t>，弃方41773m</w:t>
            </w:r>
            <w:r>
              <w:rPr>
                <w:rFonts w:hint="eastAsia"/>
                <w:color w:val="auto"/>
                <w:sz w:val="24"/>
                <w:u w:val="single"/>
                <w:vertAlign w:val="superscript"/>
                <w:lang w:val="en-US" w:eastAsia="zh-CN"/>
              </w:rPr>
              <w:t>3</w:t>
            </w:r>
            <w:r>
              <w:rPr>
                <w:rFonts w:hint="eastAsia"/>
                <w:color w:val="auto"/>
                <w:sz w:val="24"/>
                <w:u w:val="single"/>
                <w:vertAlign w:val="baseline"/>
                <w:lang w:val="en-US" w:eastAsia="zh-CN"/>
              </w:rPr>
              <w:t>。</w:t>
            </w:r>
          </w:p>
          <w:p w14:paraId="43686795">
            <w:pPr>
              <w:keepNext w:val="0"/>
              <w:keepLines w:val="0"/>
              <w:widowControl/>
              <w:suppressLineNumbers w:val="0"/>
              <w:spacing w:before="0" w:beforeAutospacing="0" w:after="0" w:afterAutospacing="0" w:line="360" w:lineRule="auto"/>
              <w:ind w:left="0" w:right="0" w:firstLine="482" w:firstLineChars="200"/>
              <w:jc w:val="left"/>
              <w:rPr>
                <w:rFonts w:hint="default"/>
                <w:u w:val="single"/>
                <w:lang w:val="en-US"/>
              </w:rPr>
            </w:pPr>
            <w:r>
              <w:rPr>
                <w:rFonts w:hint="eastAsia"/>
                <w:b/>
                <w:bCs/>
                <w:color w:val="auto"/>
                <w:kern w:val="0"/>
                <w:sz w:val="24"/>
                <w:u w:val="single"/>
                <w:lang w:val="en-US" w:eastAsia="zh-CN"/>
              </w:rPr>
              <w:t>3.3 平衡方案</w:t>
            </w:r>
          </w:p>
          <w:p w14:paraId="56E94ACD">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single"/>
                <w:lang w:val="en-US" w:eastAsia="zh-CN"/>
              </w:rPr>
            </w:pPr>
            <w:r>
              <w:rPr>
                <w:rFonts w:hint="eastAsia"/>
                <w:color w:val="auto"/>
                <w:sz w:val="24"/>
                <w:u w:val="single"/>
                <w:lang w:val="en-US" w:eastAsia="zh-CN"/>
              </w:rPr>
              <w:t>由于所处城市区域，场地狭小，无条件长期堆放开挖土方，开挖土方随挖随运，环保渣土车运至渣土中心指定消纳场。</w:t>
            </w:r>
          </w:p>
          <w:p w14:paraId="446A1994">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single"/>
                <w:lang w:val="en-US" w:eastAsia="zh-CN"/>
              </w:rPr>
            </w:pPr>
            <w:r>
              <w:rPr>
                <w:rFonts w:hint="eastAsia"/>
                <w:color w:val="auto"/>
                <w:sz w:val="24"/>
                <w:u w:val="single"/>
                <w:lang w:val="en-US" w:eastAsia="zh-CN"/>
              </w:rPr>
              <w:t>主要土方来源于沟槽开挖，部分留存用于后期回填，其余环保渣土车清运至消纳场。余方堆放在沟槽作业面一侧，梯形砌筑，防尘网覆盖，堆高不超过2m。本项目回填方均来自于自身的挖方，无需借方。</w:t>
            </w:r>
          </w:p>
          <w:p w14:paraId="0C7129ED">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single"/>
                <w:lang w:val="en-US" w:eastAsia="zh-CN"/>
              </w:rPr>
            </w:pPr>
            <w:r>
              <w:rPr>
                <w:rFonts w:hint="eastAsia"/>
                <w:color w:val="auto"/>
                <w:sz w:val="24"/>
                <w:u w:val="single"/>
                <w:lang w:val="en-US" w:eastAsia="zh-CN"/>
              </w:rPr>
              <w:t>经平衡后，需外弃土9.48万m</w:t>
            </w:r>
            <w:r>
              <w:rPr>
                <w:rFonts w:hint="eastAsia"/>
                <w:color w:val="auto"/>
                <w:sz w:val="24"/>
                <w:u w:val="single"/>
                <w:vertAlign w:val="superscript"/>
                <w:lang w:val="en-US" w:eastAsia="zh-CN"/>
              </w:rPr>
              <w:t>3</w:t>
            </w:r>
            <w:r>
              <w:rPr>
                <w:rFonts w:hint="eastAsia"/>
                <w:color w:val="auto"/>
                <w:sz w:val="24"/>
                <w:u w:val="single"/>
                <w:lang w:val="en-US" w:eastAsia="zh-CN"/>
              </w:rPr>
              <w:t>，弃方运至指定渣土消纳场。</w:t>
            </w:r>
          </w:p>
          <w:p w14:paraId="5110FD2E">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eastAsia"/>
                <w:color w:val="auto"/>
                <w:sz w:val="24"/>
                <w:u w:val="single"/>
                <w:lang w:val="en-US" w:eastAsia="zh-CN"/>
              </w:rPr>
            </w:pPr>
            <w:r>
              <w:rPr>
                <w:rFonts w:hint="default"/>
              </w:rPr>
              <w:drawing>
                <wp:inline distT="0" distB="0" distL="114300" distR="114300">
                  <wp:extent cx="4792980" cy="1703070"/>
                  <wp:effectExtent l="0" t="0" r="7620" b="381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35"/>
                          <a:stretch>
                            <a:fillRect/>
                          </a:stretch>
                        </pic:blipFill>
                        <pic:spPr>
                          <a:xfrm>
                            <a:off x="0" y="0"/>
                            <a:ext cx="4792980" cy="1703070"/>
                          </a:xfrm>
                          <a:prstGeom prst="rect">
                            <a:avLst/>
                          </a:prstGeom>
                          <a:noFill/>
                          <a:ln>
                            <a:noFill/>
                          </a:ln>
                        </pic:spPr>
                      </pic:pic>
                    </a:graphicData>
                  </a:graphic>
                </wp:inline>
              </w:drawing>
            </w:r>
          </w:p>
          <w:p w14:paraId="081D6796">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color w:val="auto"/>
                <w:sz w:val="24"/>
                <w:u w:val="none"/>
                <w:lang w:val="en-US" w:eastAsia="zh-CN"/>
              </w:rPr>
            </w:pPr>
            <w:r>
              <w:rPr>
                <w:rFonts w:hint="eastAsia" w:ascii="Times New Roman" w:eastAsia="宋体"/>
                <w:b/>
                <w:bCs/>
                <w:color w:val="auto"/>
                <w:kern w:val="0"/>
                <w:sz w:val="21"/>
                <w:szCs w:val="21"/>
                <w:u w:val="single"/>
                <w:lang w:val="en-US" w:eastAsia="zh-CN"/>
              </w:rPr>
              <w:t>图2-</w:t>
            </w:r>
            <w:r>
              <w:rPr>
                <w:rFonts w:hint="eastAsia"/>
                <w:b/>
                <w:bCs/>
                <w:color w:val="auto"/>
                <w:kern w:val="0"/>
                <w:sz w:val="21"/>
                <w:szCs w:val="21"/>
                <w:u w:val="single"/>
                <w:lang w:val="en-US" w:eastAsia="zh-CN"/>
              </w:rPr>
              <w:t>14</w:t>
            </w:r>
            <w:r>
              <w:rPr>
                <w:rFonts w:hint="eastAsia" w:ascii="Times New Roman" w:eastAsia="宋体"/>
                <w:b/>
                <w:bCs/>
                <w:color w:val="auto"/>
                <w:kern w:val="0"/>
                <w:sz w:val="21"/>
                <w:szCs w:val="21"/>
                <w:u w:val="single"/>
                <w:lang w:val="en-US" w:eastAsia="zh-CN"/>
              </w:rPr>
              <w:t xml:space="preserve">  </w:t>
            </w:r>
            <w:r>
              <w:rPr>
                <w:rFonts w:hint="eastAsia"/>
                <w:b/>
                <w:bCs/>
                <w:color w:val="auto"/>
                <w:kern w:val="0"/>
                <w:sz w:val="21"/>
                <w:szCs w:val="21"/>
                <w:u w:val="single"/>
                <w:lang w:val="en-US" w:eastAsia="zh-CN"/>
              </w:rPr>
              <w:t>项目土石方平衡</w:t>
            </w:r>
          </w:p>
        </w:tc>
      </w:tr>
      <w:tr w14:paraId="096E99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65" w:type="pct"/>
            <w:vAlign w:val="center"/>
          </w:tcPr>
          <w:p w14:paraId="45BA5AA6">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auto"/>
                <w:kern w:val="0"/>
                <w:sz w:val="24"/>
                <w:u w:val="none"/>
              </w:rPr>
            </w:pPr>
            <w:r>
              <w:rPr>
                <w:rFonts w:hint="eastAsia" w:ascii="宋体" w:hAnsi="宋体" w:cs="宋体"/>
                <w:b/>
                <w:bCs/>
                <w:color w:val="auto"/>
                <w:kern w:val="0"/>
                <w:sz w:val="24"/>
                <w:u w:val="none"/>
              </w:rPr>
              <w:t>施工</w:t>
            </w:r>
          </w:p>
          <w:p w14:paraId="49702F71">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auto"/>
                <w:kern w:val="0"/>
                <w:sz w:val="24"/>
                <w:u w:val="none"/>
              </w:rPr>
            </w:pPr>
            <w:r>
              <w:rPr>
                <w:rFonts w:hint="eastAsia" w:ascii="宋体" w:hAnsi="宋体" w:cs="宋体"/>
                <w:b/>
                <w:bCs/>
                <w:color w:val="auto"/>
                <w:kern w:val="0"/>
                <w:sz w:val="24"/>
                <w:u w:val="none"/>
              </w:rPr>
              <w:t>方案</w:t>
            </w:r>
          </w:p>
        </w:tc>
        <w:tc>
          <w:tcPr>
            <w:tcW w:w="4734" w:type="pct"/>
            <w:vAlign w:val="center"/>
          </w:tcPr>
          <w:p w14:paraId="07F43FAD">
            <w:pPr>
              <w:keepNext w:val="0"/>
              <w:keepLines w:val="0"/>
              <w:numPr>
                <w:ilvl w:val="0"/>
                <w:numId w:val="5"/>
              </w:numPr>
              <w:suppressLineNumbers w:val="0"/>
              <w:spacing w:before="0" w:beforeAutospacing="0" w:after="0" w:afterAutospacing="0" w:line="360" w:lineRule="auto"/>
              <w:ind w:left="0" w:right="0" w:firstLine="482" w:firstLineChars="200"/>
              <w:jc w:val="left"/>
              <w:rPr>
                <w:rFonts w:hint="eastAsia" w:cs="Times New Roman"/>
                <w:b/>
                <w:bCs/>
                <w:color w:val="auto"/>
                <w:sz w:val="24"/>
                <w:szCs w:val="24"/>
                <w:highlight w:val="none"/>
                <w:u w:val="single"/>
                <w:lang w:val="en-US" w:eastAsia="zh-CN"/>
              </w:rPr>
            </w:pPr>
            <w:r>
              <w:rPr>
                <w:rFonts w:hint="default" w:ascii="Times New Roman" w:hAnsi="Times New Roman" w:eastAsia="宋体" w:cs="Times New Roman"/>
                <w:b/>
                <w:bCs/>
                <w:color w:val="auto"/>
                <w:sz w:val="24"/>
                <w:szCs w:val="24"/>
                <w:highlight w:val="none"/>
                <w:u w:val="single"/>
                <w:lang w:val="en-US" w:eastAsia="zh-CN"/>
              </w:rPr>
              <w:t>河道清淤疏浚</w:t>
            </w:r>
            <w:r>
              <w:rPr>
                <w:rFonts w:hint="eastAsia" w:cs="Times New Roman"/>
                <w:b/>
                <w:bCs/>
                <w:color w:val="auto"/>
                <w:sz w:val="24"/>
                <w:szCs w:val="24"/>
                <w:highlight w:val="none"/>
                <w:u w:val="single"/>
                <w:lang w:val="en-US" w:eastAsia="zh-CN"/>
              </w:rPr>
              <w:t>工程</w:t>
            </w:r>
          </w:p>
          <w:p w14:paraId="2CA043C7">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u w:val="single"/>
                <w:lang w:val="en-US" w:eastAsia="zh-CN"/>
              </w:rPr>
            </w:pPr>
            <w:r>
              <w:rPr>
                <w:rFonts w:hint="eastAsia"/>
                <w:b w:val="0"/>
                <w:bCs w:val="0"/>
                <w:color w:val="auto"/>
                <w:kern w:val="0"/>
                <w:sz w:val="24"/>
                <w:u w:val="single"/>
                <w:lang w:val="en-US" w:eastAsia="zh-CN"/>
              </w:rPr>
              <w:t>本项目采用打捞船负责漂浮物拦截设施的垃圾打捞和河流水面的保洁工作，采用两栖式多功能环保挖泥船进行河道清淤挖泥施工。</w:t>
            </w:r>
          </w:p>
          <w:p w14:paraId="37138980">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eastAsia"/>
                <w:b w:val="0"/>
                <w:bCs w:val="0"/>
                <w:color w:val="auto"/>
                <w:kern w:val="0"/>
                <w:sz w:val="24"/>
                <w:u w:val="single"/>
                <w:lang w:val="en-US" w:eastAsia="zh-CN"/>
              </w:rPr>
            </w:pPr>
            <w:r>
              <w:rPr>
                <w:rFonts w:hint="eastAsia"/>
                <w:b w:val="0"/>
                <w:bCs w:val="0"/>
                <w:color w:val="auto"/>
                <w:kern w:val="0"/>
                <w:sz w:val="24"/>
                <w:u w:val="single"/>
                <w:lang w:val="en-US" w:eastAsia="zh-CN"/>
              </w:rPr>
              <w:t>项目清淤深度的确定需综合考虑多种因素，确保工程效果、生态保护及经济可行性的平衡，采用层次分析法权衡防洪、生态、经济权重，推荐清淤深度范围（如1.5-2.5m）。施工中实时监测清挖效果，利用声呐或测深仪复核断面，允许±10%深度浮动。</w:t>
            </w:r>
          </w:p>
          <w:p w14:paraId="2887B2E5">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eastAsia"/>
                <w:b w:val="0"/>
                <w:bCs w:val="0"/>
                <w:color w:val="auto"/>
                <w:kern w:val="0"/>
                <w:sz w:val="24"/>
                <w:u w:val="single"/>
                <w:lang w:val="en-US" w:eastAsia="zh-CN"/>
              </w:rPr>
            </w:pPr>
            <w:r>
              <w:rPr>
                <w:rFonts w:hint="eastAsia"/>
                <w:b w:val="0"/>
                <w:bCs w:val="0"/>
                <w:color w:val="auto"/>
                <w:kern w:val="0"/>
                <w:sz w:val="24"/>
                <w:u w:val="single"/>
                <w:lang w:val="en-US" w:eastAsia="zh-CN"/>
              </w:rPr>
              <w:drawing>
                <wp:inline distT="0" distB="0" distL="114300" distR="114300">
                  <wp:extent cx="4932680" cy="2486660"/>
                  <wp:effectExtent l="0" t="0" r="0" b="0"/>
                  <wp:docPr id="6" name="ECB019B1-382A-4266-B25C-5B523AA43C14-1" descr="C:/Users/lucc9/AppData/Local/Temp/wps.UBVzY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B019B1-382A-4266-B25C-5B523AA43C14-1" descr="C:/Users/lucc9/AppData/Local/Temp/wps.UBVzYrwps"/>
                          <pic:cNvPicPr>
                            <a:picLocks noChangeAspect="1"/>
                          </pic:cNvPicPr>
                        </pic:nvPicPr>
                        <pic:blipFill>
                          <a:blip r:embed="rId36">
                            <a:lum bright="-18000" contrast="48000"/>
                          </a:blip>
                          <a:stretch>
                            <a:fillRect/>
                          </a:stretch>
                        </pic:blipFill>
                        <pic:spPr>
                          <a:xfrm>
                            <a:off x="0" y="0"/>
                            <a:ext cx="4932680" cy="2486660"/>
                          </a:xfrm>
                          <a:prstGeom prst="rect">
                            <a:avLst/>
                          </a:prstGeom>
                        </pic:spPr>
                      </pic:pic>
                    </a:graphicData>
                  </a:graphic>
                </wp:inline>
              </w:drawing>
            </w:r>
          </w:p>
          <w:p w14:paraId="0F078885">
            <w:pPr>
              <w:keepNext w:val="0"/>
              <w:keepLines w:val="0"/>
              <w:numPr>
                <w:ilvl w:val="0"/>
                <w:numId w:val="0"/>
              </w:numPr>
              <w:suppressLineNumbers w:val="0"/>
              <w:spacing w:before="0" w:beforeAutospacing="0" w:after="0" w:afterAutospacing="0" w:line="360" w:lineRule="auto"/>
              <w:ind w:left="0" w:right="0" w:rightChars="0"/>
              <w:jc w:val="center"/>
              <w:rPr>
                <w:rFonts w:hint="eastAsia" w:cs="Times New Roman"/>
                <w:color w:val="auto"/>
                <w:sz w:val="24"/>
                <w:szCs w:val="24"/>
                <w:u w:val="single"/>
                <w:lang w:val="en-US" w:eastAsia="zh-CN"/>
              </w:rPr>
            </w:pPr>
            <w:r>
              <w:rPr>
                <w:rFonts w:hint="eastAsia"/>
                <w:b/>
                <w:bCs/>
                <w:color w:val="auto"/>
                <w:u w:val="single"/>
              </w:rPr>
              <w:t>图2</w:t>
            </w:r>
            <w:r>
              <w:rPr>
                <w:rFonts w:hint="eastAsia"/>
                <w:b/>
                <w:bCs/>
                <w:color w:val="auto"/>
                <w:u w:val="single"/>
                <w:lang w:val="en-US" w:eastAsia="zh-CN"/>
              </w:rPr>
              <w:t xml:space="preserve">-14 </w:t>
            </w:r>
            <w:r>
              <w:rPr>
                <w:rFonts w:hint="eastAsia"/>
                <w:b/>
                <w:bCs/>
                <w:color w:val="auto"/>
                <w:u w:val="single"/>
              </w:rPr>
              <w:t xml:space="preserve"> </w:t>
            </w:r>
            <w:r>
              <w:rPr>
                <w:rFonts w:hint="eastAsia"/>
                <w:b/>
                <w:bCs/>
                <w:color w:val="auto"/>
                <w:u w:val="single"/>
                <w:lang w:val="en-US" w:eastAsia="zh-CN"/>
              </w:rPr>
              <w:t>河道</w:t>
            </w:r>
            <w:r>
              <w:rPr>
                <w:rFonts w:hint="eastAsia"/>
                <w:b/>
                <w:bCs/>
                <w:color w:val="auto"/>
                <w:u w:val="single"/>
              </w:rPr>
              <w:t>清淤</w:t>
            </w:r>
            <w:r>
              <w:rPr>
                <w:rFonts w:hint="eastAsia"/>
                <w:b/>
                <w:bCs/>
                <w:color w:val="auto"/>
                <w:u w:val="single"/>
                <w:lang w:eastAsia="zh-CN"/>
              </w:rPr>
              <w:t>、</w:t>
            </w:r>
            <w:r>
              <w:rPr>
                <w:rFonts w:hint="eastAsia"/>
                <w:b/>
                <w:bCs/>
                <w:color w:val="auto"/>
                <w:u w:val="single"/>
                <w:lang w:val="en-US" w:eastAsia="zh-CN"/>
              </w:rPr>
              <w:t>清障</w:t>
            </w:r>
            <w:r>
              <w:rPr>
                <w:rFonts w:hint="eastAsia"/>
                <w:b/>
                <w:bCs/>
                <w:color w:val="auto"/>
                <w:u w:val="single"/>
              </w:rPr>
              <w:t>工艺</w:t>
            </w:r>
            <w:r>
              <w:rPr>
                <w:rFonts w:hint="eastAsia"/>
                <w:b/>
                <w:bCs/>
                <w:color w:val="auto"/>
                <w:u w:val="single"/>
                <w:lang w:val="en-US" w:eastAsia="zh-CN"/>
              </w:rPr>
              <w:t>流程</w:t>
            </w:r>
            <w:r>
              <w:rPr>
                <w:rFonts w:hint="eastAsia"/>
                <w:b/>
                <w:bCs/>
                <w:color w:val="auto"/>
                <w:u w:val="single"/>
              </w:rPr>
              <w:t>图</w:t>
            </w:r>
          </w:p>
          <w:p w14:paraId="53B0C5A3">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eastAsia"/>
                <w:b/>
                <w:bCs/>
                <w:color w:val="auto"/>
                <w:kern w:val="0"/>
                <w:sz w:val="24"/>
                <w:u w:val="single"/>
                <w:lang w:val="en-US" w:eastAsia="zh-CN"/>
              </w:rPr>
            </w:pPr>
            <w:r>
              <w:rPr>
                <w:rFonts w:hint="eastAsia"/>
                <w:b/>
                <w:bCs/>
                <w:color w:val="auto"/>
                <w:kern w:val="0"/>
                <w:sz w:val="24"/>
                <w:u w:val="single"/>
                <w:lang w:val="en-US" w:eastAsia="zh-CN"/>
              </w:rPr>
              <w:t>工艺简述：</w:t>
            </w:r>
          </w:p>
          <w:p w14:paraId="5B2EEEEF">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single"/>
                <w:lang w:eastAsia="zh-CN"/>
              </w:rPr>
            </w:pPr>
            <w:r>
              <w:rPr>
                <w:rFonts w:hint="eastAsia" w:ascii="Times New Roman" w:hAnsi="Times New Roman" w:eastAsia="宋体" w:cs="Times New Roman"/>
                <w:color w:val="auto"/>
                <w:sz w:val="24"/>
                <w:szCs w:val="24"/>
                <w:u w:val="single"/>
                <w:lang w:eastAsia="zh-CN"/>
              </w:rPr>
              <w:t>正式清淤前先对管线进行清水压力试验：利用水泵注水，使其沉放至河底。起浮时将两端分别与水上与陆地管拆开，用盲板将两端管口封堵，陆地一端采用空压机注气，水上一端留有出水调节阀。随着管内水的排出，管线靠浮力逐渐起浮。确保全线密封无泄漏后，方可正式开始清淤生产。绞吸挖泥船施工前，采用船上的定位桩进行定位下线，随后在开挖断面的边线处进刀，利用绞刀切削挖泥。</w:t>
            </w:r>
          </w:p>
          <w:p w14:paraId="5180A20C">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single"/>
                <w:lang w:eastAsia="zh-CN"/>
              </w:rPr>
            </w:pPr>
            <w:r>
              <w:rPr>
                <w:rFonts w:hint="eastAsia" w:ascii="Times New Roman" w:hAnsi="Times New Roman" w:eastAsia="宋体" w:cs="Times New Roman"/>
                <w:color w:val="auto"/>
                <w:sz w:val="24"/>
                <w:szCs w:val="24"/>
                <w:u w:val="single"/>
                <w:lang w:eastAsia="zh-CN"/>
              </w:rPr>
              <w:t>1）分条开挖</w:t>
            </w:r>
          </w:p>
          <w:p w14:paraId="336B68B8">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single"/>
                <w:lang w:eastAsia="zh-CN"/>
              </w:rPr>
            </w:pPr>
            <w:r>
              <w:rPr>
                <w:rFonts w:hint="eastAsia" w:ascii="Times New Roman" w:hAnsi="Times New Roman" w:eastAsia="宋体" w:cs="Times New Roman"/>
                <w:color w:val="auto"/>
                <w:sz w:val="24"/>
                <w:szCs w:val="24"/>
                <w:u w:val="single"/>
                <w:lang w:eastAsia="zh-CN"/>
              </w:rPr>
              <w:t>绞吸挖泥船额定开挖条幅宽度在42cm以内，超出绞吸船额定开挖条幅的采用分条开挖，条与条之间搭接2m以上，防止漏挖。</w:t>
            </w:r>
          </w:p>
          <w:p w14:paraId="3BED6E04">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single"/>
                <w:lang w:eastAsia="zh-CN"/>
              </w:rPr>
            </w:pPr>
            <w:r>
              <w:rPr>
                <w:rFonts w:hint="eastAsia" w:ascii="Times New Roman" w:hAnsi="Times New Roman" w:eastAsia="宋体" w:cs="Times New Roman"/>
                <w:color w:val="auto"/>
                <w:sz w:val="24"/>
                <w:szCs w:val="24"/>
                <w:u w:val="single"/>
                <w:lang w:eastAsia="zh-CN"/>
              </w:rPr>
              <w:t>2）分层开挖</w:t>
            </w:r>
          </w:p>
          <w:p w14:paraId="47996A29">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single"/>
                <w:lang w:eastAsia="zh-CN"/>
              </w:rPr>
            </w:pPr>
            <w:r>
              <w:rPr>
                <w:rFonts w:hint="eastAsia" w:ascii="Times New Roman" w:hAnsi="Times New Roman" w:eastAsia="宋体" w:cs="Times New Roman"/>
                <w:color w:val="auto"/>
                <w:sz w:val="24"/>
                <w:szCs w:val="24"/>
                <w:u w:val="single"/>
                <w:lang w:eastAsia="zh-CN"/>
              </w:rPr>
              <w:t>根据专用环保绞刀头技术参数，分层开挖厚度在30cm左右，开挖图层超出开挖厚度时，进行分层开挖。</w:t>
            </w:r>
          </w:p>
          <w:p w14:paraId="38711702">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single"/>
                <w:lang w:eastAsia="zh-CN"/>
              </w:rPr>
            </w:pPr>
            <w:r>
              <w:rPr>
                <w:rFonts w:hint="eastAsia" w:ascii="Times New Roman" w:hAnsi="Times New Roman" w:eastAsia="宋体" w:cs="Times New Roman"/>
                <w:color w:val="auto"/>
                <w:sz w:val="24"/>
                <w:szCs w:val="24"/>
                <w:u w:val="single"/>
                <w:lang w:eastAsia="zh-CN"/>
              </w:rPr>
              <w:t>3）分段开挖</w:t>
            </w:r>
          </w:p>
          <w:p w14:paraId="557A2EFE">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single"/>
                <w:lang w:eastAsia="zh-CN"/>
              </w:rPr>
            </w:pPr>
            <w:r>
              <w:rPr>
                <w:rFonts w:hint="eastAsia" w:ascii="Times New Roman" w:hAnsi="Times New Roman" w:eastAsia="宋体" w:cs="Times New Roman"/>
                <w:color w:val="auto"/>
                <w:sz w:val="24"/>
                <w:szCs w:val="24"/>
                <w:u w:val="single"/>
                <w:lang w:eastAsia="zh-CN"/>
              </w:rPr>
              <w:t>采用扇形横挖法施工，分段开挖，利用定位桩为摆动中心，左右边锚配合绞刀横移摆动挖泥，完成一刀的开挖断面后，船体前移，重复上述开挖过程，循环推进。</w:t>
            </w:r>
          </w:p>
          <w:p w14:paraId="0F08D8DD">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single"/>
                <w:lang w:eastAsia="zh-CN"/>
              </w:rPr>
            </w:pPr>
            <w:r>
              <w:rPr>
                <w:rFonts w:hint="eastAsia" w:ascii="Times New Roman" w:hAnsi="Times New Roman" w:eastAsia="宋体" w:cs="Times New Roman"/>
                <w:color w:val="auto"/>
                <w:sz w:val="24"/>
                <w:szCs w:val="24"/>
                <w:u w:val="single"/>
                <w:lang w:eastAsia="zh-CN"/>
              </w:rPr>
              <w:t>4）边坡开挖</w:t>
            </w:r>
          </w:p>
          <w:p w14:paraId="623079EE">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single"/>
                <w:lang w:eastAsia="zh-CN"/>
              </w:rPr>
            </w:pPr>
            <w:r>
              <w:rPr>
                <w:rFonts w:hint="eastAsia" w:ascii="Times New Roman" w:hAnsi="Times New Roman" w:eastAsia="宋体" w:cs="Times New Roman"/>
                <w:color w:val="auto"/>
                <w:sz w:val="24"/>
                <w:szCs w:val="24"/>
                <w:u w:val="single"/>
                <w:lang w:eastAsia="zh-CN"/>
              </w:rPr>
              <w:t>施工时距离岸边一定距离清淤，保证岸坡稳定，边坡开挖采用顺坡开挖，一次开挖成型，以确保岸坡稳定。</w:t>
            </w:r>
          </w:p>
          <w:p w14:paraId="32BF5B71">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single"/>
                <w:lang w:eastAsia="zh-CN"/>
              </w:rPr>
            </w:pPr>
            <w:r>
              <w:rPr>
                <w:rFonts w:hint="eastAsia" w:ascii="Times New Roman" w:hAnsi="Times New Roman" w:eastAsia="宋体" w:cs="Times New Roman"/>
                <w:color w:val="auto"/>
                <w:sz w:val="24"/>
                <w:szCs w:val="24"/>
                <w:u w:val="single"/>
                <w:lang w:eastAsia="zh-CN"/>
              </w:rPr>
              <w:t>5）低转速开挖</w:t>
            </w:r>
          </w:p>
          <w:p w14:paraId="256069C3">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single"/>
                <w:lang w:eastAsia="zh-CN"/>
              </w:rPr>
            </w:pPr>
            <w:r>
              <w:rPr>
                <w:rFonts w:hint="eastAsia" w:ascii="Times New Roman" w:hAnsi="Times New Roman" w:eastAsia="宋体" w:cs="Times New Roman"/>
                <w:color w:val="auto"/>
                <w:sz w:val="24"/>
                <w:szCs w:val="24"/>
                <w:u w:val="single"/>
                <w:lang w:eastAsia="zh-CN"/>
              </w:rPr>
              <w:t>采用低转速开挖，以确保底泥清淤影响范围达到环保施工要求，降低水质影响。绞吸式清淤是一个挖、运、吹一体化施工的过程，采用全封闭管道输泥，不会产生泥浆散落或泄漏；在清淤过程中不会对河道通航产生影响，施工不受天气影响，同时采用GPS和回声探测仪进行施工控制，可提高施工精度。</w:t>
            </w:r>
          </w:p>
          <w:p w14:paraId="22D6A512">
            <w:pPr>
              <w:keepNext w:val="0"/>
              <w:keepLines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b/>
                <w:bCs/>
                <w:color w:val="auto"/>
                <w:sz w:val="24"/>
                <w:szCs w:val="24"/>
                <w:u w:val="none"/>
                <w:lang w:val="en-US" w:eastAsia="zh-CN"/>
              </w:rPr>
              <w:t>2</w:t>
            </w:r>
            <w:r>
              <w:rPr>
                <w:rFonts w:hint="default" w:ascii="Times New Roman" w:hAnsi="Times New Roman" w:eastAsia="宋体" w:cs="Times New Roman"/>
                <w:b/>
                <w:bCs/>
                <w:color w:val="auto"/>
                <w:sz w:val="24"/>
                <w:szCs w:val="24"/>
                <w:u w:val="none"/>
                <w:lang w:val="en-US" w:eastAsia="zh-CN"/>
              </w:rPr>
              <w:t>、</w:t>
            </w:r>
            <w:r>
              <w:rPr>
                <w:rFonts w:hint="eastAsia" w:ascii="Times New Roman" w:hAnsi="Times New Roman" w:eastAsia="宋体" w:cs="Times New Roman"/>
                <w:b/>
                <w:bCs/>
                <w:color w:val="auto"/>
                <w:sz w:val="24"/>
                <w:szCs w:val="24"/>
                <w:u w:val="none"/>
                <w:lang w:val="en-US" w:eastAsia="zh-CN"/>
              </w:rPr>
              <w:t>护岸工程</w:t>
            </w:r>
          </w:p>
          <w:p w14:paraId="70E7B765">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default"/>
                <w:b w:val="0"/>
                <w:bCs w:val="0"/>
                <w:color w:val="auto"/>
                <w:kern w:val="0"/>
                <w:sz w:val="24"/>
                <w:u w:val="none"/>
                <w:lang w:val="en-US" w:eastAsia="zh-CN"/>
              </w:rPr>
            </w:pPr>
            <w:r>
              <w:rPr>
                <w:rFonts w:hint="eastAsia"/>
                <w:b w:val="0"/>
                <w:bCs w:val="0"/>
                <w:color w:val="auto"/>
                <w:kern w:val="0"/>
                <w:sz w:val="24"/>
                <w:u w:val="none"/>
                <w:lang w:val="en-US" w:eastAsia="zh-CN"/>
              </w:rPr>
              <w:t>本项目根据河道、内涝点实际情况分别选择浆砌片石挡土墙护坡、镀高尔凡雷诺护坡或悬臂式挡土墙及围墙。</w:t>
            </w:r>
          </w:p>
          <w:p w14:paraId="1A66D3E4">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bCs/>
                <w:color w:val="auto"/>
                <w:kern w:val="0"/>
                <w:sz w:val="21"/>
                <w:szCs w:val="21"/>
                <w:u w:val="none"/>
                <w:lang w:val="en-US" w:eastAsia="zh-CN"/>
              </w:rPr>
            </w:pPr>
            <w:r>
              <w:rPr>
                <w:rFonts w:hint="eastAsia" w:ascii="Times New Roman" w:hAnsi="Times New Roman"/>
                <w:b/>
                <w:bCs/>
                <w:color w:val="auto"/>
                <w:sz w:val="21"/>
                <w:szCs w:val="21"/>
                <w:u w:val="none"/>
              </w:rPr>
              <w:t>表2-</w:t>
            </w:r>
            <w:r>
              <w:rPr>
                <w:rFonts w:hint="eastAsia"/>
                <w:b/>
                <w:bCs/>
                <w:color w:val="auto"/>
                <w:sz w:val="21"/>
                <w:szCs w:val="21"/>
                <w:u w:val="none"/>
                <w:lang w:val="en-US" w:eastAsia="zh-CN"/>
              </w:rPr>
              <w:t>4</w:t>
            </w:r>
            <w:r>
              <w:rPr>
                <w:rFonts w:hint="eastAsia" w:ascii="Times New Roman" w:hAnsi="Times New Roman"/>
                <w:b/>
                <w:bCs/>
                <w:color w:val="auto"/>
                <w:sz w:val="21"/>
                <w:szCs w:val="21"/>
                <w:u w:val="none"/>
                <w:lang w:val="en-US" w:eastAsia="zh-CN"/>
              </w:rPr>
              <w:t xml:space="preserve"> 河道护岸</w:t>
            </w:r>
            <w:r>
              <w:rPr>
                <w:rFonts w:hint="eastAsia"/>
                <w:b/>
                <w:bCs/>
                <w:color w:val="auto"/>
                <w:sz w:val="21"/>
                <w:szCs w:val="21"/>
                <w:u w:val="none"/>
                <w:lang w:val="en-US" w:eastAsia="zh-CN"/>
              </w:rPr>
              <w:t>类型</w:t>
            </w:r>
            <w:r>
              <w:rPr>
                <w:rFonts w:hint="eastAsia" w:ascii="Times New Roman" w:hAnsi="Times New Roman"/>
                <w:b/>
                <w:bCs/>
                <w:color w:val="auto"/>
                <w:sz w:val="21"/>
                <w:szCs w:val="21"/>
                <w:u w:val="none"/>
              </w:rPr>
              <w:t>一览表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
              <w:gridCol w:w="876"/>
              <w:gridCol w:w="950"/>
              <w:gridCol w:w="887"/>
              <w:gridCol w:w="4682"/>
            </w:tblGrid>
            <w:tr w14:paraId="39BF9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1" w:hRule="atLeast"/>
              </w:trPr>
              <w:tc>
                <w:tcPr>
                  <w:tcW w:w="288" w:type="pct"/>
                  <w:vAlign w:val="center"/>
                </w:tcPr>
                <w:p w14:paraId="28949892">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1163" w:type="pct"/>
                  <w:gridSpan w:val="2"/>
                  <w:vAlign w:val="center"/>
                </w:tcPr>
                <w:p w14:paraId="433FC916">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名称</w:t>
                  </w:r>
                </w:p>
              </w:tc>
              <w:tc>
                <w:tcPr>
                  <w:tcW w:w="565" w:type="pct"/>
                  <w:vAlign w:val="center"/>
                </w:tcPr>
                <w:p w14:paraId="08B29765">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挡墙</w:t>
                  </w:r>
                </w:p>
                <w:p w14:paraId="0E4DECFC">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长度</w:t>
                  </w:r>
                </w:p>
              </w:tc>
              <w:tc>
                <w:tcPr>
                  <w:tcW w:w="2982" w:type="pct"/>
                  <w:vAlign w:val="center"/>
                </w:tcPr>
                <w:p w14:paraId="084976B4">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护岸工程</w:t>
                  </w:r>
                  <w:r>
                    <w:rPr>
                      <w:rFonts w:hint="eastAsia" w:cs="Times New Roman"/>
                      <w:b/>
                      <w:bCs/>
                      <w:color w:val="auto"/>
                      <w:sz w:val="21"/>
                      <w:szCs w:val="21"/>
                      <w:vertAlign w:val="baseline"/>
                      <w:lang w:val="en-US" w:eastAsia="zh-CN"/>
                    </w:rPr>
                    <w:t>类型</w:t>
                  </w:r>
                </w:p>
              </w:tc>
            </w:tr>
            <w:tr w14:paraId="5F223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88" w:type="pct"/>
                  <w:vAlign w:val="center"/>
                </w:tcPr>
                <w:p w14:paraId="227A22BC">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w:t>
                  </w:r>
                </w:p>
              </w:tc>
              <w:tc>
                <w:tcPr>
                  <w:tcW w:w="558" w:type="pct"/>
                  <w:vMerge w:val="restart"/>
                  <w:vAlign w:val="center"/>
                </w:tcPr>
                <w:p w14:paraId="41040044">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eastAsia="zh-CN"/>
                    </w:rPr>
                  </w:pPr>
                  <w:r>
                    <w:rPr>
                      <w:rFonts w:hint="eastAsia" w:ascii="Times New Roman" w:hAnsi="Times New Roman" w:eastAsia="宋体" w:cs="Times New Roman"/>
                      <w:b w:val="0"/>
                      <w:bCs w:val="0"/>
                      <w:sz w:val="21"/>
                      <w:szCs w:val="21"/>
                      <w:vertAlign w:val="baseline"/>
                      <w:lang w:val="en-US" w:eastAsia="zh-CN"/>
                    </w:rPr>
                    <w:t>长安河上游</w:t>
                  </w:r>
                </w:p>
              </w:tc>
              <w:tc>
                <w:tcPr>
                  <w:tcW w:w="605" w:type="pct"/>
                  <w:vAlign w:val="center"/>
                </w:tcPr>
                <w:p w14:paraId="4284DDF7">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河段一</w:t>
                  </w:r>
                </w:p>
              </w:tc>
              <w:tc>
                <w:tcPr>
                  <w:tcW w:w="565" w:type="pct"/>
                  <w:vAlign w:val="center"/>
                </w:tcPr>
                <w:p w14:paraId="6F770E1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kern w:val="2"/>
                      <w:sz w:val="21"/>
                      <w:szCs w:val="21"/>
                      <w:vertAlign w:val="baseline"/>
                      <w:lang w:val="en-US" w:eastAsia="zh-CN" w:bidi="ar-SA"/>
                    </w:rPr>
                  </w:pPr>
                  <w:r>
                    <w:rPr>
                      <w:rFonts w:hint="eastAsia" w:ascii="Times New Roman" w:hAnsi="Times New Roman" w:cs="Times New Roman" w:eastAsiaTheme="minorEastAsia"/>
                      <w:kern w:val="2"/>
                      <w:sz w:val="21"/>
                      <w:szCs w:val="21"/>
                      <w:vertAlign w:val="baseline"/>
                      <w:lang w:val="en-US" w:eastAsia="zh-CN" w:bidi="ar-SA"/>
                    </w:rPr>
                    <w:t>840m</w:t>
                  </w:r>
                </w:p>
              </w:tc>
              <w:tc>
                <w:tcPr>
                  <w:tcW w:w="2982" w:type="pct"/>
                  <w:vAlign w:val="top"/>
                </w:tcPr>
                <w:p w14:paraId="1123C089">
                  <w:pPr>
                    <w:keepNext w:val="0"/>
                    <w:keepLines w:val="0"/>
                    <w:suppressLineNumbers w:val="0"/>
                    <w:spacing w:before="0" w:beforeAutospacing="0" w:after="0" w:afterAutospacing="0" w:line="240" w:lineRule="auto"/>
                    <w:ind w:left="0" w:right="0"/>
                    <w:rPr>
                      <w:rFonts w:hint="default" w:ascii="Times New Roman" w:hAnsi="Times New Roman" w:cs="Times New Roman" w:eastAsiaTheme="minorEastAsia"/>
                      <w:kern w:val="2"/>
                      <w:sz w:val="21"/>
                      <w:szCs w:val="21"/>
                      <w:vertAlign w:val="baseline"/>
                      <w:lang w:val="en-US" w:eastAsia="zh-CN" w:bidi="ar-SA"/>
                    </w:rPr>
                  </w:pPr>
                  <w:r>
                    <w:rPr>
                      <w:rFonts w:hint="default" w:ascii="Times New Roman" w:hAnsi="Times New Roman" w:cs="Times New Roman" w:eastAsiaTheme="minorEastAsia"/>
                      <w:kern w:val="2"/>
                      <w:sz w:val="21"/>
                      <w:szCs w:val="21"/>
                      <w:vertAlign w:val="baseline"/>
                      <w:lang w:val="en-US" w:eastAsia="zh-CN" w:bidi="ar-SA"/>
                    </w:rPr>
                    <w:t>东侧浆砌片石挡土墙护坡</w:t>
                  </w:r>
                </w:p>
                <w:p w14:paraId="03B9BC56">
                  <w:pPr>
                    <w:keepNext w:val="0"/>
                    <w:keepLines w:val="0"/>
                    <w:suppressLineNumbers w:val="0"/>
                    <w:spacing w:before="0" w:beforeAutospacing="0" w:after="0" w:afterAutospacing="0" w:line="240" w:lineRule="auto"/>
                    <w:ind w:left="0" w:right="0"/>
                    <w:rPr>
                      <w:rFonts w:hint="default" w:ascii="Times New Roman" w:hAnsi="Times New Roman" w:cs="Times New Roman" w:eastAsiaTheme="minorEastAsia"/>
                      <w:kern w:val="2"/>
                      <w:sz w:val="21"/>
                      <w:szCs w:val="21"/>
                      <w:vertAlign w:val="baseline"/>
                      <w:lang w:val="en-US" w:eastAsia="zh-CN" w:bidi="ar-SA"/>
                    </w:rPr>
                  </w:pPr>
                  <w:r>
                    <w:rPr>
                      <w:rFonts w:hint="default" w:ascii="Times New Roman" w:hAnsi="Times New Roman" w:cs="Times New Roman" w:eastAsiaTheme="minorEastAsia"/>
                      <w:kern w:val="2"/>
                      <w:sz w:val="21"/>
                      <w:szCs w:val="21"/>
                      <w:vertAlign w:val="baseline"/>
                      <w:lang w:val="en-US" w:eastAsia="zh-CN" w:bidi="ar-SA"/>
                    </w:rPr>
                    <w:t>西侧镀高尔凡雷诺护坡</w:t>
                  </w:r>
                </w:p>
              </w:tc>
            </w:tr>
            <w:tr w14:paraId="67585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88" w:type="pct"/>
                  <w:vAlign w:val="center"/>
                </w:tcPr>
                <w:p w14:paraId="5954273C">
                  <w:pPr>
                    <w:keepNext w:val="0"/>
                    <w:keepLines w:val="0"/>
                    <w:numPr>
                      <w:ilvl w:val="0"/>
                      <w:numId w:val="0"/>
                    </w:numPr>
                    <w:suppressLineNumbers w:val="0"/>
                    <w:spacing w:before="0" w:beforeAutospacing="0" w:after="0" w:afterAutospacing="0" w:line="240" w:lineRule="auto"/>
                    <w:ind w:left="0" w:right="0"/>
                    <w:jc w:val="center"/>
                    <w:rPr>
                      <w:rFonts w:hint="eastAsia" w:eastAsia="宋体"/>
                      <w:sz w:val="21"/>
                      <w:szCs w:val="21"/>
                      <w:lang w:val="en-US" w:eastAsia="zh-CN"/>
                    </w:rPr>
                  </w:pPr>
                  <w:r>
                    <w:rPr>
                      <w:rFonts w:hint="eastAsia"/>
                      <w:sz w:val="21"/>
                      <w:szCs w:val="21"/>
                      <w:lang w:val="en-US" w:eastAsia="zh-CN"/>
                    </w:rPr>
                    <w:t>2</w:t>
                  </w:r>
                </w:p>
              </w:tc>
              <w:tc>
                <w:tcPr>
                  <w:tcW w:w="558" w:type="pct"/>
                  <w:vMerge w:val="continue"/>
                  <w:vAlign w:val="center"/>
                </w:tcPr>
                <w:p w14:paraId="6B90E3BD">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vertAlign w:val="baseline"/>
                      <w:lang w:val="en-US" w:eastAsia="zh-CN"/>
                    </w:rPr>
                  </w:pPr>
                </w:p>
              </w:tc>
              <w:tc>
                <w:tcPr>
                  <w:tcW w:w="605" w:type="pct"/>
                  <w:vAlign w:val="center"/>
                </w:tcPr>
                <w:p w14:paraId="01E77582">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河段二</w:t>
                  </w:r>
                </w:p>
              </w:tc>
              <w:tc>
                <w:tcPr>
                  <w:tcW w:w="565" w:type="pct"/>
                  <w:vAlign w:val="center"/>
                </w:tcPr>
                <w:p w14:paraId="09A68A1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kern w:val="2"/>
                      <w:sz w:val="21"/>
                      <w:szCs w:val="21"/>
                      <w:vertAlign w:val="baseline"/>
                      <w:lang w:val="en-US" w:eastAsia="zh-CN" w:bidi="ar-SA"/>
                    </w:rPr>
                  </w:pPr>
                  <w:r>
                    <w:rPr>
                      <w:rFonts w:hint="eastAsia" w:ascii="Times New Roman" w:hAnsi="Times New Roman" w:cs="Times New Roman" w:eastAsiaTheme="minorEastAsia"/>
                      <w:kern w:val="2"/>
                      <w:sz w:val="21"/>
                      <w:szCs w:val="21"/>
                      <w:vertAlign w:val="baseline"/>
                      <w:lang w:val="en-US" w:eastAsia="zh-CN" w:bidi="ar-SA"/>
                    </w:rPr>
                    <w:t>1550m</w:t>
                  </w:r>
                </w:p>
              </w:tc>
              <w:tc>
                <w:tcPr>
                  <w:tcW w:w="2982" w:type="pct"/>
                  <w:vAlign w:val="top"/>
                </w:tcPr>
                <w:p w14:paraId="6114D166">
                  <w:pPr>
                    <w:keepNext w:val="0"/>
                    <w:keepLines w:val="0"/>
                    <w:suppressLineNumbers w:val="0"/>
                    <w:spacing w:before="0" w:beforeAutospacing="0" w:after="0" w:afterAutospacing="0" w:line="240" w:lineRule="auto"/>
                    <w:ind w:left="0" w:right="0"/>
                    <w:rPr>
                      <w:rFonts w:hint="default" w:ascii="Times New Roman" w:hAnsi="Times New Roman" w:cs="Times New Roman" w:eastAsiaTheme="minorEastAsia"/>
                      <w:kern w:val="2"/>
                      <w:sz w:val="21"/>
                      <w:szCs w:val="21"/>
                      <w:vertAlign w:val="baseline"/>
                      <w:lang w:val="en-US" w:eastAsia="zh-CN" w:bidi="ar-SA"/>
                    </w:rPr>
                  </w:pPr>
                  <w:r>
                    <w:rPr>
                      <w:rFonts w:hint="default" w:ascii="Times New Roman" w:hAnsi="Times New Roman" w:cs="Times New Roman" w:eastAsiaTheme="minorEastAsia"/>
                      <w:kern w:val="2"/>
                      <w:sz w:val="21"/>
                      <w:szCs w:val="21"/>
                      <w:vertAlign w:val="baseline"/>
                      <w:lang w:val="en-US" w:eastAsia="zh-CN" w:bidi="ar-SA"/>
                    </w:rPr>
                    <w:t>镀高尔凡雷诺护坡</w:t>
                  </w:r>
                </w:p>
              </w:tc>
            </w:tr>
            <w:tr w14:paraId="3B636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88" w:type="pct"/>
                  <w:vAlign w:val="center"/>
                </w:tcPr>
                <w:p w14:paraId="6C1F08B9">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3</w:t>
                  </w:r>
                </w:p>
              </w:tc>
              <w:tc>
                <w:tcPr>
                  <w:tcW w:w="1163" w:type="pct"/>
                  <w:gridSpan w:val="2"/>
                  <w:vAlign w:val="center"/>
                </w:tcPr>
                <w:p w14:paraId="099F4DE0">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长安河下游</w:t>
                  </w:r>
                </w:p>
              </w:tc>
              <w:tc>
                <w:tcPr>
                  <w:tcW w:w="565" w:type="pct"/>
                  <w:vAlign w:val="center"/>
                </w:tcPr>
                <w:p w14:paraId="3519AE6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kern w:val="2"/>
                      <w:sz w:val="21"/>
                      <w:szCs w:val="21"/>
                      <w:vertAlign w:val="baseline"/>
                      <w:lang w:val="en-US" w:eastAsia="zh-CN" w:bidi="ar-SA"/>
                    </w:rPr>
                    <w:t>1060m</w:t>
                  </w:r>
                </w:p>
              </w:tc>
              <w:tc>
                <w:tcPr>
                  <w:tcW w:w="2982" w:type="pct"/>
                  <w:vAlign w:val="top"/>
                </w:tcPr>
                <w:p w14:paraId="5D333A17">
                  <w:pPr>
                    <w:keepNext w:val="0"/>
                    <w:keepLines w:val="0"/>
                    <w:suppressLineNumbers w:val="0"/>
                    <w:spacing w:before="0" w:beforeAutospacing="0" w:after="0" w:afterAutospacing="0" w:line="240" w:lineRule="auto"/>
                    <w:ind w:left="0" w:right="0"/>
                    <w:rPr>
                      <w:rFonts w:hint="eastAsia"/>
                      <w:sz w:val="21"/>
                      <w:szCs w:val="21"/>
                      <w:vertAlign w:val="baseline"/>
                    </w:rPr>
                  </w:pPr>
                  <w:r>
                    <w:rPr>
                      <w:rFonts w:hint="eastAsia"/>
                      <w:sz w:val="21"/>
                      <w:szCs w:val="21"/>
                      <w:vertAlign w:val="baseline"/>
                    </w:rPr>
                    <w:t>东侧根据现有地形局部设置浆砌片石挡土墙护坡</w:t>
                  </w:r>
                </w:p>
                <w:p w14:paraId="130A4407">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rPr>
                    <w:t>西侧浆砌片石挡土墙护坡</w:t>
                  </w:r>
                </w:p>
              </w:tc>
            </w:tr>
            <w:tr w14:paraId="429B8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88" w:type="pct"/>
                  <w:vMerge w:val="restart"/>
                  <w:vAlign w:val="center"/>
                </w:tcPr>
                <w:p w14:paraId="6AE00601">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4</w:t>
                  </w:r>
                </w:p>
              </w:tc>
              <w:tc>
                <w:tcPr>
                  <w:tcW w:w="558" w:type="pct"/>
                  <w:vMerge w:val="restart"/>
                  <w:vAlign w:val="center"/>
                </w:tcPr>
                <w:p w14:paraId="297FC963">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师家河</w:t>
                  </w:r>
                </w:p>
              </w:tc>
              <w:tc>
                <w:tcPr>
                  <w:tcW w:w="605" w:type="pct"/>
                  <w:vAlign w:val="center"/>
                </w:tcPr>
                <w:p w14:paraId="3F38E01B">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sz w:val="21"/>
                      <w:szCs w:val="21"/>
                      <w:vertAlign w:val="baseline"/>
                    </w:rPr>
                    <w:t>河道</w:t>
                  </w:r>
                  <w:r>
                    <w:rPr>
                      <w:rFonts w:hint="eastAsia"/>
                      <w:sz w:val="21"/>
                      <w:szCs w:val="21"/>
                      <w:vertAlign w:val="baseline"/>
                      <w:lang w:val="en-US" w:eastAsia="zh-CN"/>
                    </w:rPr>
                    <w:t>一</w:t>
                  </w:r>
                </w:p>
              </w:tc>
              <w:tc>
                <w:tcPr>
                  <w:tcW w:w="565" w:type="pct"/>
                  <w:vAlign w:val="center"/>
                </w:tcPr>
                <w:p w14:paraId="6D4C44C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2080m</w:t>
                  </w:r>
                </w:p>
              </w:tc>
              <w:tc>
                <w:tcPr>
                  <w:tcW w:w="2982" w:type="pct"/>
                  <w:vAlign w:val="top"/>
                </w:tcPr>
                <w:p w14:paraId="61760206">
                  <w:pPr>
                    <w:keepNext w:val="0"/>
                    <w:keepLines w:val="0"/>
                    <w:suppressLineNumbers w:val="0"/>
                    <w:spacing w:before="0" w:beforeAutospacing="0" w:after="0" w:afterAutospacing="0" w:line="240" w:lineRule="auto"/>
                    <w:ind w:left="0" w:right="0" w:rightChars="0"/>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rPr>
                    <w:t>两侧采用浆砌片石挡土墙护坡</w:t>
                  </w:r>
                </w:p>
              </w:tc>
            </w:tr>
            <w:tr w14:paraId="680A5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88" w:type="pct"/>
                  <w:vMerge w:val="continue"/>
                  <w:vAlign w:val="center"/>
                </w:tcPr>
                <w:p w14:paraId="315B458C">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eastAsia="zh-CN"/>
                    </w:rPr>
                  </w:pPr>
                </w:p>
              </w:tc>
              <w:tc>
                <w:tcPr>
                  <w:tcW w:w="558" w:type="pct"/>
                  <w:vMerge w:val="continue"/>
                  <w:vAlign w:val="center"/>
                </w:tcPr>
                <w:p w14:paraId="0219D648">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vertAlign w:val="baseline"/>
                      <w:lang w:val="en-US" w:eastAsia="zh-CN"/>
                    </w:rPr>
                  </w:pPr>
                </w:p>
              </w:tc>
              <w:tc>
                <w:tcPr>
                  <w:tcW w:w="605" w:type="pct"/>
                  <w:vAlign w:val="center"/>
                </w:tcPr>
                <w:p w14:paraId="0E49F3CC">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highlight w:val="none"/>
                      <w:vertAlign w:val="baseline"/>
                      <w:lang w:val="en-US" w:eastAsia="zh-CN"/>
                    </w:rPr>
                  </w:pPr>
                  <w:r>
                    <w:rPr>
                      <w:rFonts w:hint="eastAsia"/>
                      <w:sz w:val="21"/>
                      <w:szCs w:val="21"/>
                      <w:highlight w:val="none"/>
                      <w:vertAlign w:val="baseline"/>
                      <w:lang w:val="en-US" w:eastAsia="zh-CN"/>
                    </w:rPr>
                    <w:t>河段二</w:t>
                  </w:r>
                </w:p>
              </w:tc>
              <w:tc>
                <w:tcPr>
                  <w:tcW w:w="565" w:type="pct"/>
                  <w:vAlign w:val="center"/>
                </w:tcPr>
                <w:p w14:paraId="6D00E73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kern w:val="2"/>
                      <w:sz w:val="21"/>
                      <w:szCs w:val="21"/>
                      <w:highlight w:val="none"/>
                      <w:vertAlign w:val="baseline"/>
                      <w:lang w:val="en-US" w:eastAsia="zh-CN" w:bidi="ar-SA"/>
                    </w:rPr>
                  </w:pPr>
                  <w:r>
                    <w:rPr>
                      <w:rFonts w:hint="eastAsia"/>
                      <w:sz w:val="21"/>
                      <w:szCs w:val="21"/>
                      <w:highlight w:val="none"/>
                      <w:vertAlign w:val="baseline"/>
                      <w:lang w:val="en-US" w:eastAsia="zh-CN"/>
                    </w:rPr>
                    <w:t>1940m</w:t>
                  </w:r>
                </w:p>
              </w:tc>
              <w:tc>
                <w:tcPr>
                  <w:tcW w:w="2982" w:type="pct"/>
                  <w:vAlign w:val="top"/>
                </w:tcPr>
                <w:p w14:paraId="1F40C2F0">
                  <w:pPr>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eastAsiaTheme="minorEastAsia"/>
                      <w:kern w:val="2"/>
                      <w:sz w:val="21"/>
                      <w:szCs w:val="21"/>
                      <w:highlight w:val="none"/>
                      <w:vertAlign w:val="baseline"/>
                      <w:lang w:val="en-US" w:eastAsia="zh-CN" w:bidi="ar-SA"/>
                    </w:rPr>
                  </w:pPr>
                  <w:r>
                    <w:rPr>
                      <w:rFonts w:hint="eastAsia"/>
                      <w:sz w:val="21"/>
                      <w:szCs w:val="21"/>
                      <w:highlight w:val="none"/>
                      <w:vertAlign w:val="baseline"/>
                      <w:lang w:val="en-US" w:eastAsia="zh-CN"/>
                    </w:rPr>
                    <w:t>边坡修整</w:t>
                  </w:r>
                </w:p>
              </w:tc>
            </w:tr>
            <w:tr w14:paraId="22D29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2" w:hRule="atLeast"/>
              </w:trPr>
              <w:tc>
                <w:tcPr>
                  <w:tcW w:w="288" w:type="pct"/>
                  <w:vMerge w:val="restart"/>
                  <w:vAlign w:val="center"/>
                </w:tcPr>
                <w:p w14:paraId="53BBB3D0">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5</w:t>
                  </w:r>
                </w:p>
              </w:tc>
              <w:tc>
                <w:tcPr>
                  <w:tcW w:w="558" w:type="pct"/>
                  <w:vMerge w:val="restart"/>
                  <w:vAlign w:val="center"/>
                </w:tcPr>
                <w:p w14:paraId="508D31AB">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肖家堰</w:t>
                  </w:r>
                </w:p>
              </w:tc>
              <w:tc>
                <w:tcPr>
                  <w:tcW w:w="605" w:type="pct"/>
                  <w:vAlign w:val="center"/>
                </w:tcPr>
                <w:p w14:paraId="1B46146D">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sz w:val="21"/>
                      <w:szCs w:val="21"/>
                      <w:vertAlign w:val="baseline"/>
                    </w:rPr>
                    <w:t>河道</w:t>
                  </w:r>
                  <w:r>
                    <w:rPr>
                      <w:rFonts w:hint="eastAsia"/>
                      <w:sz w:val="21"/>
                      <w:szCs w:val="21"/>
                      <w:vertAlign w:val="baseline"/>
                      <w:lang w:val="en-US" w:eastAsia="zh-CN"/>
                    </w:rPr>
                    <w:t>一</w:t>
                  </w:r>
                </w:p>
              </w:tc>
              <w:tc>
                <w:tcPr>
                  <w:tcW w:w="565" w:type="pct"/>
                  <w:vAlign w:val="center"/>
                </w:tcPr>
                <w:p w14:paraId="70C6885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265m</w:t>
                  </w:r>
                </w:p>
              </w:tc>
              <w:tc>
                <w:tcPr>
                  <w:tcW w:w="2982" w:type="pct"/>
                  <w:vAlign w:val="top"/>
                </w:tcPr>
                <w:p w14:paraId="3A6ED0BB">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rPr>
                    <w:t>两侧镀高尔凡雷诺护坡</w:t>
                  </w:r>
                </w:p>
              </w:tc>
            </w:tr>
            <w:tr w14:paraId="333E8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88" w:type="pct"/>
                  <w:vMerge w:val="continue"/>
                  <w:vAlign w:val="center"/>
                </w:tcPr>
                <w:p w14:paraId="007E63A1">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eastAsia="zh-CN"/>
                    </w:rPr>
                  </w:pPr>
                </w:p>
              </w:tc>
              <w:tc>
                <w:tcPr>
                  <w:tcW w:w="558" w:type="pct"/>
                  <w:vMerge w:val="continue"/>
                  <w:vAlign w:val="center"/>
                </w:tcPr>
                <w:p w14:paraId="5422F98B">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vertAlign w:val="baseline"/>
                      <w:lang w:val="en-US" w:eastAsia="zh-CN"/>
                    </w:rPr>
                  </w:pPr>
                </w:p>
              </w:tc>
              <w:tc>
                <w:tcPr>
                  <w:tcW w:w="605" w:type="pct"/>
                  <w:vAlign w:val="center"/>
                </w:tcPr>
                <w:p w14:paraId="0DEAE809">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sz w:val="21"/>
                      <w:szCs w:val="21"/>
                      <w:vertAlign w:val="baseline"/>
                    </w:rPr>
                    <w:t>河道</w:t>
                  </w:r>
                  <w:r>
                    <w:rPr>
                      <w:rFonts w:hint="eastAsia"/>
                      <w:sz w:val="21"/>
                      <w:szCs w:val="21"/>
                      <w:vertAlign w:val="baseline"/>
                      <w:lang w:val="en-US" w:eastAsia="zh-CN"/>
                    </w:rPr>
                    <w:t>二</w:t>
                  </w:r>
                </w:p>
              </w:tc>
              <w:tc>
                <w:tcPr>
                  <w:tcW w:w="565" w:type="pct"/>
                  <w:vAlign w:val="center"/>
                </w:tcPr>
                <w:p w14:paraId="7A640A0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315m</w:t>
                  </w:r>
                </w:p>
              </w:tc>
              <w:tc>
                <w:tcPr>
                  <w:tcW w:w="2982" w:type="pct"/>
                  <w:vAlign w:val="top"/>
                </w:tcPr>
                <w:p w14:paraId="05D33B6A">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rPr>
                    <w:t>两侧浆砌片石挡土墙护坡</w:t>
                  </w:r>
                </w:p>
              </w:tc>
            </w:tr>
            <w:tr w14:paraId="77649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88" w:type="pct"/>
                  <w:vMerge w:val="continue"/>
                  <w:vAlign w:val="center"/>
                </w:tcPr>
                <w:p w14:paraId="1E372AD3">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eastAsia="zh-CN"/>
                    </w:rPr>
                  </w:pPr>
                </w:p>
              </w:tc>
              <w:tc>
                <w:tcPr>
                  <w:tcW w:w="558" w:type="pct"/>
                  <w:vMerge w:val="continue"/>
                  <w:vAlign w:val="center"/>
                </w:tcPr>
                <w:p w14:paraId="0A62FC98">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vertAlign w:val="baseline"/>
                      <w:lang w:val="en-US" w:eastAsia="zh-CN"/>
                    </w:rPr>
                  </w:pPr>
                </w:p>
              </w:tc>
              <w:tc>
                <w:tcPr>
                  <w:tcW w:w="605" w:type="pct"/>
                  <w:vAlign w:val="center"/>
                </w:tcPr>
                <w:p w14:paraId="31E8D31E">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vertAlign w:val="baseline"/>
                      <w:lang w:val="en-US" w:eastAsia="zh-CN"/>
                    </w:rPr>
                  </w:pPr>
                  <w:r>
                    <w:rPr>
                      <w:rFonts w:hint="eastAsia"/>
                      <w:sz w:val="21"/>
                      <w:szCs w:val="21"/>
                      <w:vertAlign w:val="baseline"/>
                      <w:lang w:val="en-US" w:eastAsia="zh-CN"/>
                    </w:rPr>
                    <w:t>河段三</w:t>
                  </w:r>
                </w:p>
              </w:tc>
              <w:tc>
                <w:tcPr>
                  <w:tcW w:w="565" w:type="pct"/>
                  <w:vAlign w:val="center"/>
                </w:tcPr>
                <w:p w14:paraId="68805C0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lang w:val="en-US" w:eastAsia="zh-CN"/>
                    </w:rPr>
                    <w:t>640m</w:t>
                  </w:r>
                </w:p>
              </w:tc>
              <w:tc>
                <w:tcPr>
                  <w:tcW w:w="2982" w:type="pct"/>
                  <w:vAlign w:val="top"/>
                </w:tcPr>
                <w:p w14:paraId="56FEADAB">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rPr>
                    <w:t>两侧镀高尔凡雷诺护坡</w:t>
                  </w:r>
                </w:p>
              </w:tc>
            </w:tr>
            <w:tr w14:paraId="3C29D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88" w:type="pct"/>
                  <w:vAlign w:val="center"/>
                </w:tcPr>
                <w:p w14:paraId="256D9BCB">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6</w:t>
                  </w:r>
                </w:p>
              </w:tc>
              <w:tc>
                <w:tcPr>
                  <w:tcW w:w="1163" w:type="pct"/>
                  <w:gridSpan w:val="2"/>
                  <w:vAlign w:val="center"/>
                </w:tcPr>
                <w:p w14:paraId="1226B401">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铁路沿线明渠</w:t>
                  </w:r>
                </w:p>
              </w:tc>
              <w:tc>
                <w:tcPr>
                  <w:tcW w:w="565" w:type="pct"/>
                  <w:vAlign w:val="center"/>
                </w:tcPr>
                <w:p w14:paraId="5E29430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kern w:val="2"/>
                      <w:sz w:val="21"/>
                      <w:szCs w:val="21"/>
                      <w:vertAlign w:val="baseline"/>
                      <w:lang w:val="en-US" w:eastAsia="zh-CN" w:bidi="ar-SA"/>
                    </w:rPr>
                    <w:t>720m</w:t>
                  </w:r>
                </w:p>
              </w:tc>
              <w:tc>
                <w:tcPr>
                  <w:tcW w:w="2982" w:type="pct"/>
                  <w:vAlign w:val="center"/>
                </w:tcPr>
                <w:p w14:paraId="70659832">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kern w:val="2"/>
                      <w:sz w:val="21"/>
                      <w:szCs w:val="21"/>
                      <w:vertAlign w:val="baseline"/>
                      <w:lang w:val="en-US" w:eastAsia="zh-CN" w:bidi="ar-SA"/>
                    </w:rPr>
                  </w:pPr>
                  <w:r>
                    <w:rPr>
                      <w:rFonts w:hint="eastAsia"/>
                      <w:sz w:val="21"/>
                      <w:szCs w:val="21"/>
                      <w:vertAlign w:val="baseline"/>
                    </w:rPr>
                    <w:t>两侧浆砌片石挡土墙护坡</w:t>
                  </w:r>
                </w:p>
              </w:tc>
            </w:tr>
            <w:tr w14:paraId="2B868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88" w:type="pct"/>
                  <w:vAlign w:val="center"/>
                </w:tcPr>
                <w:p w14:paraId="5E758B16">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7</w:t>
                  </w:r>
                </w:p>
              </w:tc>
              <w:tc>
                <w:tcPr>
                  <w:tcW w:w="1163" w:type="pct"/>
                  <w:gridSpan w:val="2"/>
                  <w:vAlign w:val="center"/>
                </w:tcPr>
                <w:p w14:paraId="316228B0">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学院路</w:t>
                  </w:r>
                </w:p>
              </w:tc>
              <w:tc>
                <w:tcPr>
                  <w:tcW w:w="565" w:type="pct"/>
                  <w:vAlign w:val="center"/>
                </w:tcPr>
                <w:p w14:paraId="31C031A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kern w:val="2"/>
                      <w:sz w:val="21"/>
                      <w:szCs w:val="21"/>
                      <w:vertAlign w:val="baseline"/>
                      <w:lang w:val="en-US" w:eastAsia="zh-CN" w:bidi="ar-SA"/>
                    </w:rPr>
                    <w:t>375m</w:t>
                  </w:r>
                </w:p>
              </w:tc>
              <w:tc>
                <w:tcPr>
                  <w:tcW w:w="2982" w:type="pct"/>
                  <w:vAlign w:val="center"/>
                </w:tcPr>
                <w:p w14:paraId="70A48443">
                  <w:pPr>
                    <w:keepNext w:val="0"/>
                    <w:keepLines w:val="0"/>
                    <w:suppressLineNumbers w:val="0"/>
                    <w:spacing w:before="0" w:beforeAutospacing="0" w:after="0" w:afterAutospacing="0" w:line="240" w:lineRule="auto"/>
                    <w:ind w:left="0" w:right="0"/>
                    <w:jc w:val="both"/>
                    <w:rPr>
                      <w:rFonts w:hint="eastAsia"/>
                      <w:sz w:val="21"/>
                      <w:szCs w:val="21"/>
                      <w:vertAlign w:val="baseline"/>
                    </w:rPr>
                  </w:pPr>
                  <w:r>
                    <w:rPr>
                      <w:rFonts w:hint="eastAsia"/>
                      <w:sz w:val="21"/>
                      <w:szCs w:val="21"/>
                      <w:vertAlign w:val="baseline"/>
                    </w:rPr>
                    <w:t>悬臂式挡土墙及围墙</w:t>
                  </w:r>
                </w:p>
              </w:tc>
            </w:tr>
          </w:tbl>
          <w:p w14:paraId="5418EE43">
            <w:pPr>
              <w:keepNext w:val="0"/>
              <w:keepLines w:val="0"/>
              <w:widowControl/>
              <w:suppressLineNumbers w:val="0"/>
              <w:spacing w:before="0" w:beforeAutospacing="0" w:after="0" w:afterAutospacing="0" w:line="360" w:lineRule="auto"/>
              <w:ind w:left="0" w:right="0" w:firstLine="482" w:firstLineChars="200"/>
              <w:jc w:val="left"/>
              <w:rPr>
                <w:rFonts w:hint="default"/>
                <w:color w:val="auto"/>
                <w:highlight w:val="none"/>
                <w:lang w:val="en-US"/>
              </w:rPr>
            </w:pPr>
            <w:r>
              <w:rPr>
                <w:rFonts w:hint="eastAsia"/>
                <w:b/>
                <w:bCs/>
                <w:color w:val="auto"/>
                <w:kern w:val="0"/>
                <w:sz w:val="24"/>
                <w:highlight w:val="none"/>
                <w:u w:val="none"/>
                <w:lang w:val="en-US" w:eastAsia="zh-CN"/>
              </w:rPr>
              <w:t>2.1 浆砌石护坡工程工艺</w:t>
            </w:r>
          </w:p>
          <w:p w14:paraId="542A6EB2">
            <w:pPr>
              <w:keepNext w:val="0"/>
              <w:keepLines w:val="0"/>
              <w:suppressLineNumbers w:val="0"/>
              <w:spacing w:before="0" w:beforeAutospacing="0" w:after="0" w:afterAutospacing="0" w:line="360" w:lineRule="auto"/>
              <w:ind w:left="0" w:right="0"/>
              <w:jc w:val="left"/>
              <w:rPr>
                <w:rFonts w:hint="eastAsia" w:eastAsia="宋体"/>
                <w:color w:val="FF0000"/>
                <w:spacing w:val="-2"/>
                <w:sz w:val="24"/>
                <w:highlight w:val="yellow"/>
                <w:u w:val="none"/>
                <w:lang w:eastAsia="zh-CN"/>
              </w:rPr>
            </w:pPr>
            <w:r>
              <w:rPr>
                <w:rFonts w:hint="eastAsia" w:eastAsia="宋体"/>
                <w:color w:val="FF0000"/>
                <w:spacing w:val="-2"/>
                <w:sz w:val="24"/>
                <w:highlight w:val="none"/>
                <w:u w:val="none"/>
                <w:lang w:eastAsia="zh-CN"/>
              </w:rPr>
              <w:drawing>
                <wp:inline distT="0" distB="0" distL="114300" distR="114300">
                  <wp:extent cx="4984115" cy="1072515"/>
                  <wp:effectExtent l="0" t="0" r="0" b="0"/>
                  <wp:docPr id="7"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CB019B1-382A-4266-B25C-5B523AA43C14-2" descr="wps"/>
                          <pic:cNvPicPr>
                            <a:picLocks noChangeAspect="1"/>
                          </pic:cNvPicPr>
                        </pic:nvPicPr>
                        <pic:blipFill>
                          <a:blip r:embed="rId37"/>
                          <a:stretch>
                            <a:fillRect/>
                          </a:stretch>
                        </pic:blipFill>
                        <pic:spPr>
                          <a:xfrm>
                            <a:off x="0" y="0"/>
                            <a:ext cx="4984115" cy="1072515"/>
                          </a:xfrm>
                          <a:prstGeom prst="rect">
                            <a:avLst/>
                          </a:prstGeom>
                        </pic:spPr>
                      </pic:pic>
                    </a:graphicData>
                  </a:graphic>
                </wp:inline>
              </w:drawing>
            </w:r>
          </w:p>
          <w:p w14:paraId="677CA7FC">
            <w:pPr>
              <w:keepNext w:val="0"/>
              <w:keepLines w:val="0"/>
              <w:numPr>
                <w:ilvl w:val="0"/>
                <w:numId w:val="0"/>
              </w:numPr>
              <w:suppressLineNumbers w:val="0"/>
              <w:spacing w:before="0" w:beforeAutospacing="0" w:after="0" w:afterAutospacing="0" w:line="360" w:lineRule="auto"/>
              <w:ind w:left="0" w:right="0" w:rightChars="0"/>
              <w:jc w:val="center"/>
              <w:rPr>
                <w:rFonts w:hint="eastAsia" w:cs="Times New Roman"/>
                <w:color w:val="auto"/>
                <w:sz w:val="24"/>
                <w:szCs w:val="24"/>
                <w:u w:val="none"/>
                <w:lang w:val="en-US" w:eastAsia="zh-CN"/>
              </w:rPr>
            </w:pPr>
            <w:r>
              <w:rPr>
                <w:rFonts w:hint="eastAsia"/>
                <w:b/>
                <w:bCs/>
                <w:color w:val="auto"/>
                <w:u w:val="none"/>
              </w:rPr>
              <w:t>图2</w:t>
            </w:r>
            <w:r>
              <w:rPr>
                <w:rFonts w:hint="eastAsia"/>
                <w:b/>
                <w:bCs/>
                <w:color w:val="auto"/>
                <w:u w:val="none"/>
                <w:lang w:val="en-US" w:eastAsia="zh-CN"/>
              </w:rPr>
              <w:t xml:space="preserve">-15 </w:t>
            </w:r>
            <w:r>
              <w:rPr>
                <w:rFonts w:hint="eastAsia"/>
                <w:b/>
                <w:bCs/>
                <w:color w:val="auto"/>
                <w:u w:val="none"/>
              </w:rPr>
              <w:t xml:space="preserve"> 浆砌石护坡工艺</w:t>
            </w:r>
            <w:r>
              <w:rPr>
                <w:rFonts w:hint="eastAsia"/>
                <w:b/>
                <w:bCs/>
                <w:color w:val="auto"/>
                <w:u w:val="none"/>
                <w:lang w:val="en-US" w:eastAsia="zh-CN"/>
              </w:rPr>
              <w:t>流程</w:t>
            </w:r>
            <w:r>
              <w:rPr>
                <w:rFonts w:hint="eastAsia"/>
                <w:b/>
                <w:bCs/>
                <w:color w:val="auto"/>
                <w:u w:val="none"/>
              </w:rPr>
              <w:t>图</w:t>
            </w:r>
          </w:p>
          <w:p w14:paraId="6DEA2CEC">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eastAsia"/>
                <w:b/>
                <w:bCs/>
                <w:color w:val="auto"/>
                <w:kern w:val="0"/>
                <w:sz w:val="24"/>
                <w:u w:val="none"/>
                <w:lang w:val="en-US" w:eastAsia="zh-CN"/>
              </w:rPr>
            </w:pPr>
            <w:r>
              <w:rPr>
                <w:rFonts w:hint="eastAsia"/>
                <w:b/>
                <w:bCs/>
                <w:color w:val="auto"/>
                <w:kern w:val="0"/>
                <w:sz w:val="24"/>
                <w:u w:val="none"/>
                <w:lang w:val="en-US" w:eastAsia="zh-CN"/>
              </w:rPr>
              <w:t>工艺简述：</w:t>
            </w:r>
          </w:p>
          <w:p w14:paraId="136BAFAE">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none"/>
                <w:lang w:eastAsia="zh-CN"/>
              </w:rPr>
            </w:pPr>
            <w:r>
              <w:rPr>
                <w:rFonts w:hint="eastAsia" w:ascii="Times New Roman" w:hAnsi="Times New Roman" w:eastAsia="宋体" w:cs="Times New Roman"/>
                <w:color w:val="auto"/>
                <w:sz w:val="24"/>
                <w:szCs w:val="24"/>
                <w:u w:val="none"/>
                <w:lang w:val="en-US" w:eastAsia="zh-CN"/>
              </w:rPr>
              <w:t>1）</w:t>
            </w:r>
            <w:r>
              <w:rPr>
                <w:rFonts w:hint="eastAsia" w:ascii="Times New Roman" w:hAnsi="Times New Roman" w:eastAsia="宋体" w:cs="Times New Roman"/>
                <w:color w:val="auto"/>
                <w:sz w:val="24"/>
                <w:szCs w:val="24"/>
                <w:u w:val="none"/>
                <w:lang w:eastAsia="zh-CN"/>
              </w:rPr>
              <w:t>测量放线</w:t>
            </w:r>
          </w:p>
          <w:p w14:paraId="5E84AF0B">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none"/>
                <w:lang w:eastAsia="zh-CN"/>
              </w:rPr>
            </w:pPr>
            <w:r>
              <w:rPr>
                <w:rFonts w:hint="eastAsia" w:ascii="Times New Roman" w:hAnsi="Times New Roman" w:eastAsia="宋体" w:cs="Times New Roman"/>
                <w:color w:val="auto"/>
                <w:sz w:val="24"/>
                <w:szCs w:val="24"/>
                <w:u w:val="none"/>
                <w:lang w:eastAsia="zh-CN"/>
              </w:rPr>
              <w:t>使用全站仪根据设计图纸测设出挡墙的中轴线，并打出控制点，现场用钢尺定出基础的边线并用水准仪测量各点的高程，确定下挖深度，经符合无误后报监理审查认可后进行下到工序的施工。</w:t>
            </w:r>
          </w:p>
          <w:p w14:paraId="34218C1E">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none"/>
                <w:lang w:eastAsia="zh-CN"/>
              </w:rPr>
            </w:pPr>
            <w:r>
              <w:rPr>
                <w:rFonts w:hint="eastAsia" w:ascii="Times New Roman" w:hAnsi="Times New Roman" w:eastAsia="宋体" w:cs="Times New Roman"/>
                <w:color w:val="auto"/>
                <w:sz w:val="24"/>
                <w:szCs w:val="24"/>
                <w:u w:val="none"/>
                <w:lang w:val="en-US" w:eastAsia="zh-CN"/>
              </w:rPr>
              <w:t>2）基坑开挖</w:t>
            </w:r>
          </w:p>
          <w:p w14:paraId="216E49A5">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none"/>
                <w:lang w:eastAsia="zh-CN"/>
              </w:rPr>
            </w:pPr>
            <w:r>
              <w:rPr>
                <w:rFonts w:hint="eastAsia" w:ascii="Times New Roman" w:hAnsi="Times New Roman" w:eastAsia="宋体" w:cs="Times New Roman"/>
                <w:color w:val="auto"/>
                <w:sz w:val="24"/>
                <w:szCs w:val="24"/>
                <w:u w:val="none"/>
                <w:lang w:eastAsia="zh-CN"/>
              </w:rPr>
              <w:t>基坑开挖过程中，防止雨水流入或地下水渗出，必须在基础尺寸外侧开挖排水沟和积水坑，配一台潜水泵，以便把积水立即抽排出积水坑外，保证挖基工作在无水情况下安全进行。</w:t>
            </w:r>
          </w:p>
          <w:p w14:paraId="4A6C20DA">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3）片石砌筑</w:t>
            </w:r>
          </w:p>
          <w:p w14:paraId="00CC142F">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none"/>
                <w:lang w:eastAsia="zh-CN"/>
              </w:rPr>
            </w:pPr>
            <w:r>
              <w:rPr>
                <w:rFonts w:hint="eastAsia" w:ascii="Times New Roman" w:hAnsi="Times New Roman" w:eastAsia="宋体" w:cs="Times New Roman"/>
                <w:color w:val="auto"/>
                <w:sz w:val="24"/>
                <w:szCs w:val="24"/>
                <w:u w:val="none"/>
                <w:lang w:eastAsia="zh-CN"/>
              </w:rPr>
              <w:t>砌毛石应根据基础的中心线放出里外边线，挂线分皮卧砌，每皮高约300～400mm。砌筑方法采用铺浆法。用较大的平毛石，先砌转角处、交接处，再向中间砌筑。砌前应先度摆，使石料大小搭配，大面平放朝下，外露表面要平齐，斜口朝内，逐块卧砌坐浆，使砂浆饱满。石块间较大的空隙应先堵塞砂浆，后用碎石嵌实。严禁先填塞小石块后灌浆的做法。灰缝宽度一般制在20～30mm左右，铺灰厚度40～50mm。料石宜用“铺浆法”砌浆，铺浆厚度 20～30mm，垂直缝填满砂浆并插捣至溢出为止。</w:t>
            </w:r>
          </w:p>
          <w:p w14:paraId="336D9F1E">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none"/>
                <w:lang w:eastAsia="zh-CN"/>
              </w:rPr>
            </w:pPr>
            <w:r>
              <w:rPr>
                <w:rFonts w:hint="eastAsia" w:ascii="Times New Roman" w:hAnsi="Times New Roman" w:eastAsia="宋体" w:cs="Times New Roman"/>
                <w:color w:val="auto"/>
                <w:sz w:val="24"/>
                <w:szCs w:val="24"/>
                <w:u w:val="none"/>
                <w:lang w:val="en-US" w:eastAsia="zh-CN"/>
              </w:rPr>
              <w:t>4）砌体勾缝</w:t>
            </w:r>
          </w:p>
          <w:p w14:paraId="4DF59849">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none"/>
                <w:lang w:eastAsia="zh-CN"/>
              </w:rPr>
            </w:pPr>
            <w:r>
              <w:rPr>
                <w:rFonts w:hint="eastAsia" w:ascii="Times New Roman" w:hAnsi="Times New Roman" w:eastAsia="宋体" w:cs="Times New Roman"/>
                <w:color w:val="auto"/>
                <w:sz w:val="24"/>
                <w:szCs w:val="24"/>
                <w:u w:val="none"/>
                <w:lang w:eastAsia="zh-CN"/>
              </w:rPr>
              <w:t>根据地形及地质变化情况设置沉降缝，间距一般为10～15m；缝宽2cm，沉降缝内沿内、外、顶三边用沥青麻絮填塞，深度为15cm。施工时先将遗留在原缝内的水泥砂浆或小石块等清理干净。勾缝采用凹缝，勾缝砂浆宜用过筛砂，勾缝砂浆强度不应低于砌体砂浆强度，勾缝应嵌入砌缝内20mm，勾缝前须对墙面进行修整，再将墙面洒水湿润，勾缝的顺序是从上</w:t>
            </w:r>
            <w:r>
              <w:rPr>
                <w:rFonts w:hint="eastAsia" w:ascii="Times New Roman" w:hAnsi="Times New Roman" w:eastAsia="宋体" w:cs="Times New Roman"/>
                <w:color w:val="auto"/>
                <w:sz w:val="24"/>
                <w:szCs w:val="24"/>
                <w:u w:val="none"/>
                <w:lang w:val="en-US" w:eastAsia="zh-CN"/>
              </w:rPr>
              <w:t>至</w:t>
            </w:r>
            <w:r>
              <w:rPr>
                <w:rFonts w:hint="eastAsia" w:ascii="Times New Roman" w:hAnsi="Times New Roman" w:eastAsia="宋体" w:cs="Times New Roman"/>
                <w:color w:val="auto"/>
                <w:sz w:val="24"/>
                <w:szCs w:val="24"/>
                <w:u w:val="none"/>
                <w:lang w:eastAsia="zh-CN"/>
              </w:rPr>
              <w:t>下，先勾水平缝后勾竖直缝。勾缝后应用扫帚用力清除余灰，做好成品保护工作，避免砌体碰撞、振动、承重。</w:t>
            </w:r>
          </w:p>
          <w:p w14:paraId="2747BAD4">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none"/>
                <w:lang w:eastAsia="zh-CN"/>
              </w:rPr>
            </w:pPr>
            <w:r>
              <w:rPr>
                <w:rFonts w:hint="eastAsia" w:ascii="Times New Roman" w:hAnsi="Times New Roman" w:eastAsia="宋体" w:cs="Times New Roman"/>
                <w:color w:val="auto"/>
                <w:sz w:val="24"/>
                <w:szCs w:val="24"/>
                <w:u w:val="none"/>
                <w:lang w:val="en-US" w:eastAsia="zh-CN"/>
              </w:rPr>
              <w:t>5）</w:t>
            </w:r>
            <w:r>
              <w:rPr>
                <w:rFonts w:hint="eastAsia" w:cs="Times New Roman"/>
                <w:color w:val="auto"/>
                <w:sz w:val="24"/>
                <w:szCs w:val="24"/>
                <w:u w:val="none"/>
                <w:lang w:val="en-US" w:eastAsia="zh-CN"/>
              </w:rPr>
              <w:t>养护</w:t>
            </w:r>
          </w:p>
          <w:p w14:paraId="12A015F0">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u w:val="none"/>
                <w:lang w:eastAsia="zh-CN"/>
              </w:rPr>
            </w:pPr>
            <w:r>
              <w:rPr>
                <w:rFonts w:hint="eastAsia" w:ascii="Times New Roman" w:hAnsi="Times New Roman" w:eastAsia="宋体" w:cs="Times New Roman"/>
                <w:color w:val="auto"/>
                <w:sz w:val="24"/>
                <w:szCs w:val="24"/>
                <w:u w:val="none"/>
                <w:lang w:eastAsia="zh-CN"/>
              </w:rPr>
              <w:t>砌筑好的基础、墙身等用草袋将其覆盖好，并及时洒水养护。</w:t>
            </w:r>
          </w:p>
          <w:p w14:paraId="5550DB5E">
            <w:pPr>
              <w:keepNext w:val="0"/>
              <w:keepLines w:val="0"/>
              <w:widowControl/>
              <w:suppressLineNumbers w:val="0"/>
              <w:spacing w:before="0" w:beforeAutospacing="0" w:after="0" w:afterAutospacing="0" w:line="360" w:lineRule="auto"/>
              <w:ind w:left="0" w:right="0" w:firstLine="482" w:firstLineChars="200"/>
              <w:jc w:val="left"/>
              <w:rPr>
                <w:rFonts w:hint="default"/>
                <w:color w:val="FF0000"/>
                <w:highlight w:val="yellow"/>
                <w:lang w:val="en-US"/>
              </w:rPr>
            </w:pPr>
            <w:r>
              <w:rPr>
                <w:rFonts w:hint="eastAsia"/>
                <w:b/>
                <w:bCs/>
                <w:color w:val="auto"/>
                <w:kern w:val="0"/>
                <w:sz w:val="24"/>
                <w:highlight w:val="none"/>
                <w:u w:val="none"/>
                <w:lang w:val="en-US" w:eastAsia="zh-CN"/>
              </w:rPr>
              <w:t>2.2 镀高尔凡雷诺护坡工程工艺</w:t>
            </w:r>
          </w:p>
          <w:p w14:paraId="623BA40A">
            <w:pPr>
              <w:keepNext w:val="0"/>
              <w:keepLines w:val="0"/>
              <w:suppressLineNumbers w:val="0"/>
              <w:spacing w:before="0" w:beforeAutospacing="0" w:after="0" w:afterAutospacing="0" w:line="360" w:lineRule="auto"/>
              <w:ind w:left="0" w:right="0"/>
              <w:jc w:val="center"/>
              <w:rPr>
                <w:rFonts w:hint="eastAsia" w:eastAsia="宋体"/>
                <w:color w:val="auto"/>
                <w:spacing w:val="-2"/>
                <w:sz w:val="24"/>
                <w:highlight w:val="yellow"/>
                <w:u w:val="none"/>
                <w:lang w:eastAsia="zh-CN"/>
              </w:rPr>
            </w:pPr>
            <w:r>
              <w:rPr>
                <w:rFonts w:hint="eastAsia" w:eastAsia="宋体"/>
                <w:color w:val="auto"/>
                <w:spacing w:val="-2"/>
                <w:sz w:val="24"/>
                <w:highlight w:val="none"/>
                <w:u w:val="none"/>
                <w:lang w:eastAsia="zh-CN"/>
              </w:rPr>
              <w:drawing>
                <wp:inline distT="0" distB="0" distL="114300" distR="114300">
                  <wp:extent cx="4057015" cy="932180"/>
                  <wp:effectExtent l="0" t="0" r="0" b="0"/>
                  <wp:docPr id="18" name="ECB019B1-382A-4266-B25C-5B523AA43C14-3" descr="C:/Users/lucc9/AppData/Local/Temp/wps.wDDGZz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CB019B1-382A-4266-B25C-5B523AA43C14-3" descr="C:/Users/lucc9/AppData/Local/Temp/wps.wDDGZzwps"/>
                          <pic:cNvPicPr>
                            <a:picLocks noChangeAspect="1"/>
                          </pic:cNvPicPr>
                        </pic:nvPicPr>
                        <pic:blipFill>
                          <a:blip r:embed="rId38">
                            <a:lum bright="-12000" contrast="24000"/>
                          </a:blip>
                          <a:srcRect l="1769" t="-218" r="1833"/>
                          <a:stretch>
                            <a:fillRect/>
                          </a:stretch>
                        </pic:blipFill>
                        <pic:spPr>
                          <a:xfrm>
                            <a:off x="0" y="0"/>
                            <a:ext cx="4057015" cy="932180"/>
                          </a:xfrm>
                          <a:prstGeom prst="rect">
                            <a:avLst/>
                          </a:prstGeom>
                        </pic:spPr>
                      </pic:pic>
                    </a:graphicData>
                  </a:graphic>
                </wp:inline>
              </w:drawing>
            </w:r>
          </w:p>
          <w:p w14:paraId="2D23EE54">
            <w:pPr>
              <w:keepNext w:val="0"/>
              <w:keepLines w:val="0"/>
              <w:numPr>
                <w:ilvl w:val="0"/>
                <w:numId w:val="0"/>
              </w:numPr>
              <w:suppressLineNumbers w:val="0"/>
              <w:spacing w:before="0" w:beforeAutospacing="0" w:after="0" w:afterAutospacing="0" w:line="360" w:lineRule="auto"/>
              <w:ind w:left="0" w:right="0" w:rightChars="0"/>
              <w:jc w:val="center"/>
              <w:rPr>
                <w:rFonts w:hint="eastAsia" w:cs="Times New Roman"/>
                <w:color w:val="auto"/>
                <w:sz w:val="24"/>
                <w:szCs w:val="24"/>
                <w:u w:val="none"/>
                <w:lang w:val="en-US" w:eastAsia="zh-CN"/>
              </w:rPr>
            </w:pPr>
            <w:r>
              <w:rPr>
                <w:rFonts w:hint="eastAsia"/>
                <w:b/>
                <w:bCs/>
                <w:color w:val="auto"/>
                <w:u w:val="none"/>
              </w:rPr>
              <w:t>图2</w:t>
            </w:r>
            <w:r>
              <w:rPr>
                <w:rFonts w:hint="eastAsia"/>
                <w:b/>
                <w:bCs/>
                <w:color w:val="auto"/>
                <w:u w:val="none"/>
                <w:lang w:val="en-US" w:eastAsia="zh-CN"/>
              </w:rPr>
              <w:t xml:space="preserve">-16 </w:t>
            </w:r>
            <w:r>
              <w:rPr>
                <w:rFonts w:hint="eastAsia"/>
                <w:b/>
                <w:bCs/>
                <w:color w:val="auto"/>
                <w:u w:val="none"/>
              </w:rPr>
              <w:t xml:space="preserve"> 镀高尔凡雷诺护坡工艺</w:t>
            </w:r>
            <w:r>
              <w:rPr>
                <w:rFonts w:hint="eastAsia"/>
                <w:b/>
                <w:bCs/>
                <w:color w:val="auto"/>
                <w:u w:val="none"/>
                <w:lang w:val="en-US" w:eastAsia="zh-CN"/>
              </w:rPr>
              <w:t>流程</w:t>
            </w:r>
            <w:r>
              <w:rPr>
                <w:rFonts w:hint="eastAsia"/>
                <w:b/>
                <w:bCs/>
                <w:color w:val="auto"/>
                <w:u w:val="none"/>
              </w:rPr>
              <w:t>图</w:t>
            </w:r>
          </w:p>
          <w:p w14:paraId="4AA4653B">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72" w:firstLineChars="200"/>
              <w:rPr>
                <w:rFonts w:hint="eastAsia"/>
                <w:b/>
                <w:bCs/>
                <w:color w:val="auto"/>
                <w:kern w:val="0"/>
                <w:sz w:val="24"/>
                <w:u w:val="none"/>
                <w:lang w:val="en-US" w:eastAsia="zh-CN"/>
              </w:rPr>
            </w:pPr>
            <w:r>
              <w:rPr>
                <w:rFonts w:hint="eastAsia"/>
                <w:color w:val="auto"/>
                <w:spacing w:val="-2"/>
                <w:sz w:val="24"/>
                <w:highlight w:val="none"/>
                <w:u w:val="none"/>
              </w:rPr>
              <w:t>雷诺护垫是由特殊防腐处理的低碳钢丝经机器编织成的六边形双绞合钢丝网，在工</w:t>
            </w:r>
            <w:r>
              <w:rPr>
                <w:rFonts w:hint="eastAsia"/>
                <w:color w:val="auto"/>
                <w:spacing w:val="-2"/>
                <w:sz w:val="24"/>
                <w:highlight w:val="none"/>
                <w:u w:val="none"/>
                <w:lang w:val="en-US" w:eastAsia="zh-CN"/>
              </w:rPr>
              <w:t>厂</w:t>
            </w:r>
            <w:r>
              <w:rPr>
                <w:rFonts w:hint="eastAsia"/>
                <w:color w:val="auto"/>
                <w:spacing w:val="-2"/>
                <w:sz w:val="24"/>
                <w:highlight w:val="none"/>
                <w:u w:val="none"/>
              </w:rPr>
              <w:t>做成符合工程要求的网箱结构，在施工现场用石料填充雷诺护垫，常用于岸坡防护、河床护底等防冲刷工程，其结构具有柔性、透水性、整体性、环境亲和性等特点。雷诺护垫所需石块可以采用传统结构无法利用的碎石或鹅卵石，石块成本较低。不需要排水系统，只需要有限的机械设备、不需要熟练工。如果设计和施工合理，该结构使用寿命长，且基本无需维护。</w:t>
            </w:r>
            <w:r>
              <w:rPr>
                <w:rFonts w:hint="eastAsia"/>
                <w:b/>
                <w:bCs/>
                <w:color w:val="auto"/>
                <w:kern w:val="0"/>
                <w:sz w:val="24"/>
                <w:u w:val="none"/>
                <w:lang w:val="en-US" w:eastAsia="zh-CN"/>
              </w:rPr>
              <w:t>工艺简述：</w:t>
            </w:r>
          </w:p>
          <w:p w14:paraId="3C0293AF">
            <w:pPr>
              <w:keepNext w:val="0"/>
              <w:keepLines w:val="0"/>
              <w:suppressLineNumbers w:val="0"/>
              <w:spacing w:before="0" w:beforeAutospacing="0" w:after="0" w:afterAutospacing="0" w:line="360" w:lineRule="auto"/>
              <w:ind w:left="0" w:right="0" w:firstLine="472" w:firstLineChars="200"/>
              <w:jc w:val="left"/>
              <w:rPr>
                <w:rFonts w:hint="eastAsia"/>
                <w:color w:val="auto"/>
                <w:spacing w:val="-2"/>
                <w:sz w:val="24"/>
                <w:u w:val="none"/>
              </w:rPr>
            </w:pPr>
            <w:r>
              <w:rPr>
                <w:rFonts w:hint="eastAsia"/>
                <w:color w:val="auto"/>
                <w:spacing w:val="-2"/>
                <w:sz w:val="24"/>
                <w:u w:val="none"/>
                <w:lang w:val="en-US" w:eastAsia="zh-CN"/>
              </w:rPr>
              <w:t>1）</w:t>
            </w:r>
            <w:r>
              <w:rPr>
                <w:rFonts w:hint="eastAsia"/>
                <w:color w:val="auto"/>
                <w:spacing w:val="-2"/>
                <w:sz w:val="24"/>
                <w:u w:val="none"/>
              </w:rPr>
              <w:t>测量放线</w:t>
            </w:r>
          </w:p>
          <w:p w14:paraId="54FAD711">
            <w:pPr>
              <w:keepNext w:val="0"/>
              <w:keepLines w:val="0"/>
              <w:suppressLineNumbers w:val="0"/>
              <w:spacing w:before="0" w:beforeAutospacing="0" w:after="0" w:afterAutospacing="0" w:line="360" w:lineRule="auto"/>
              <w:ind w:left="0" w:right="0" w:firstLine="472" w:firstLineChars="200"/>
              <w:jc w:val="left"/>
              <w:rPr>
                <w:rFonts w:hint="eastAsia"/>
                <w:color w:val="auto"/>
                <w:spacing w:val="-2"/>
                <w:sz w:val="24"/>
                <w:u w:val="none"/>
              </w:rPr>
            </w:pPr>
            <w:r>
              <w:rPr>
                <w:rFonts w:hint="eastAsia"/>
                <w:color w:val="auto"/>
                <w:spacing w:val="-2"/>
                <w:sz w:val="24"/>
                <w:u w:val="none"/>
              </w:rPr>
              <w:t>使用全站仪根据设计图纸测设出挡墙的中轴线，并打出控制点，现场用钢尺定出基础的边线并用水准仪测量各点的高程，经符合无误后报监理审查认可后进行下到工序的施工。</w:t>
            </w:r>
          </w:p>
          <w:p w14:paraId="530D8661">
            <w:pPr>
              <w:keepNext w:val="0"/>
              <w:keepLines w:val="0"/>
              <w:suppressLineNumbers w:val="0"/>
              <w:spacing w:before="0" w:beforeAutospacing="0" w:after="0" w:afterAutospacing="0" w:line="360" w:lineRule="auto"/>
              <w:ind w:left="0" w:right="0" w:firstLine="472" w:firstLineChars="200"/>
              <w:jc w:val="left"/>
              <w:rPr>
                <w:rFonts w:hint="default"/>
                <w:color w:val="auto"/>
                <w:spacing w:val="-2"/>
                <w:sz w:val="24"/>
                <w:u w:val="none"/>
                <w:lang w:val="en-US" w:eastAsia="zh-CN"/>
              </w:rPr>
            </w:pPr>
            <w:r>
              <w:rPr>
                <w:rFonts w:hint="eastAsia"/>
                <w:color w:val="auto"/>
                <w:spacing w:val="-2"/>
                <w:sz w:val="24"/>
                <w:u w:val="none"/>
                <w:lang w:val="en-US" w:eastAsia="zh-CN"/>
              </w:rPr>
              <w:t>2）雷诺护垫组装</w:t>
            </w:r>
          </w:p>
          <w:p w14:paraId="2CCF5440">
            <w:pPr>
              <w:keepNext w:val="0"/>
              <w:keepLines w:val="0"/>
              <w:suppressLineNumbers w:val="0"/>
              <w:spacing w:before="0" w:beforeAutospacing="0" w:after="0" w:afterAutospacing="0" w:line="360" w:lineRule="auto"/>
              <w:ind w:left="0" w:right="0" w:firstLine="472" w:firstLineChars="200"/>
              <w:jc w:val="left"/>
              <w:rPr>
                <w:rFonts w:hint="eastAsia"/>
                <w:color w:val="auto"/>
                <w:spacing w:val="-2"/>
                <w:sz w:val="24"/>
                <w:u w:val="none"/>
                <w:lang w:val="en-US" w:eastAsia="zh-CN"/>
              </w:rPr>
            </w:pPr>
            <w:r>
              <w:rPr>
                <w:rFonts w:hint="eastAsia"/>
                <w:color w:val="auto"/>
                <w:spacing w:val="-2"/>
                <w:sz w:val="24"/>
                <w:u w:val="none"/>
                <w:lang w:val="en-US" w:eastAsia="zh-CN"/>
              </w:rPr>
              <w:t>当雷诺护垫运到施工现场后，从捆扎包中把折叠的单位取出，并放置在坚固的地面上然后展开并压平成原形状。前、后和尾板应翻开至垂直位置，完成一个敞开的盒子形状。侧翼应适当的折叠并互相交叠所有的间隔板和尾板都要固定和系紧在护垫的前、后板上。雷诺护垫在组装后，侧面、尾部和间隔都应竖立，并确保所有的折痕都在正确位置，每个边的顶部都水平。用绞合钢丝或钢环把雷诺护垫的边连接系紧。绞合钢丝或钢环扣件间距不能超过150mm。在完成组装以后，护垫被一个接一个地摆放在合适的地点。</w:t>
            </w:r>
          </w:p>
          <w:p w14:paraId="56330020">
            <w:pPr>
              <w:keepNext w:val="0"/>
              <w:keepLines w:val="0"/>
              <w:numPr>
                <w:ilvl w:val="0"/>
                <w:numId w:val="6"/>
              </w:numPr>
              <w:suppressLineNumbers w:val="0"/>
              <w:spacing w:before="0" w:beforeAutospacing="0" w:after="0" w:afterAutospacing="0" w:line="360" w:lineRule="auto"/>
              <w:ind w:left="0" w:right="0" w:firstLine="472" w:firstLineChars="200"/>
              <w:jc w:val="left"/>
              <w:rPr>
                <w:rFonts w:hint="eastAsia"/>
                <w:color w:val="auto"/>
                <w:spacing w:val="-2"/>
                <w:sz w:val="24"/>
                <w:u w:val="none"/>
                <w:lang w:val="en-US" w:eastAsia="zh-CN"/>
              </w:rPr>
            </w:pPr>
            <w:r>
              <w:rPr>
                <w:rFonts w:hint="eastAsia"/>
                <w:color w:val="auto"/>
                <w:spacing w:val="-2"/>
                <w:sz w:val="24"/>
                <w:u w:val="none"/>
                <w:lang w:val="en-US" w:eastAsia="zh-CN"/>
              </w:rPr>
              <w:t>石料填装</w:t>
            </w:r>
          </w:p>
          <w:p w14:paraId="064BEE28">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default"/>
                <w:color w:val="auto"/>
                <w:spacing w:val="-2"/>
                <w:sz w:val="24"/>
                <w:u w:val="none"/>
                <w:lang w:val="en-US" w:eastAsia="zh-CN"/>
              </w:rPr>
            </w:pPr>
            <w:r>
              <w:rPr>
                <w:rFonts w:hint="default"/>
                <w:color w:val="auto"/>
                <w:spacing w:val="-2"/>
                <w:sz w:val="24"/>
                <w:u w:val="none"/>
                <w:lang w:val="en-US" w:eastAsia="zh-CN"/>
              </w:rPr>
              <w:t>首先按照设计高度的尺寸要求预置进料，然后运到现场按设计位置摆放，再由人工填放块石，尽量使雷诺护垫设计的箱形高度内填充饱满。最后按设计要求在上部封好。填充石料可以用任何合适的采石方法获取和用任何设备按照分级要求生产成所需的大小。石料必须是硬的，符合设计要求，它的大小的范围应在75~150mm，在不放置在护垫表面的前提下，大小可以有5%的变化。</w:t>
            </w:r>
          </w:p>
          <w:p w14:paraId="119B8908">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default"/>
                <w:color w:val="auto"/>
                <w:spacing w:val="-2"/>
                <w:sz w:val="24"/>
                <w:u w:val="none"/>
                <w:lang w:val="en-US" w:eastAsia="zh-CN"/>
              </w:rPr>
            </w:pPr>
            <w:r>
              <w:rPr>
                <w:rFonts w:hint="eastAsia"/>
                <w:color w:val="auto"/>
                <w:spacing w:val="-2"/>
                <w:sz w:val="24"/>
                <w:u w:val="none"/>
                <w:lang w:val="en-US" w:eastAsia="zh-CN"/>
              </w:rPr>
              <w:t>4）闭合盖子</w:t>
            </w:r>
          </w:p>
          <w:p w14:paraId="5DE0178E">
            <w:pPr>
              <w:keepNext w:val="0"/>
              <w:keepLines w:val="0"/>
              <w:suppressLineNumbers w:val="0"/>
              <w:spacing w:before="0" w:beforeAutospacing="0" w:after="0" w:afterAutospacing="0" w:line="360" w:lineRule="auto"/>
              <w:ind w:left="0" w:right="0" w:firstLine="472" w:firstLineChars="200"/>
              <w:jc w:val="left"/>
              <w:rPr>
                <w:rFonts w:hint="eastAsia"/>
                <w:color w:val="auto"/>
                <w:spacing w:val="-2"/>
                <w:sz w:val="24"/>
                <w:highlight w:val="none"/>
                <w:u w:val="none"/>
              </w:rPr>
            </w:pPr>
            <w:r>
              <w:rPr>
                <w:rFonts w:hint="eastAsia"/>
                <w:color w:val="auto"/>
                <w:spacing w:val="-2"/>
                <w:sz w:val="24"/>
                <w:highlight w:val="none"/>
                <w:u w:val="none"/>
              </w:rPr>
              <w:t>将护垫盖铺上，用适当的工具把护垫和即将被连接的边儿拉近。护垫盖和所有的边儿尾端和间隔板紧紧的绞合在一起，且应遵循每隔15cm交替绞合一圈及两圈，用交互的双的和单的钢丝圈结或钢环加固的方法把护垫盖连接在雷诺护垫的端板、边板、隔板上相邻的护垫盖可以同时连接好。临近的护垫可以一次性连接。但在相当数量的护垫上铺设垫盖的时候，这时可以采用成圈的金属网格面，将相邻的多个单元格一次性闭合。</w:t>
            </w:r>
          </w:p>
          <w:p w14:paraId="7A9D613D">
            <w:pPr>
              <w:keepNext w:val="0"/>
              <w:keepLines w:val="0"/>
              <w:suppressLineNumbers w:val="0"/>
              <w:spacing w:before="0" w:beforeAutospacing="0" w:after="0" w:afterAutospacing="0" w:line="360" w:lineRule="auto"/>
              <w:ind w:left="0" w:right="0" w:firstLine="482" w:firstLineChars="200"/>
              <w:jc w:val="left"/>
              <w:rPr>
                <w:rFonts w:hint="eastAsia"/>
                <w:b/>
                <w:bCs/>
                <w:color w:val="auto"/>
                <w:kern w:val="0"/>
                <w:sz w:val="24"/>
                <w:highlight w:val="none"/>
                <w:u w:val="single"/>
                <w:lang w:val="en-US" w:eastAsia="zh-CN"/>
              </w:rPr>
            </w:pPr>
            <w:r>
              <w:rPr>
                <w:rFonts w:hint="eastAsia"/>
                <w:b/>
                <w:bCs/>
                <w:color w:val="auto"/>
                <w:kern w:val="0"/>
                <w:sz w:val="24"/>
                <w:highlight w:val="none"/>
                <w:u w:val="single"/>
                <w:lang w:val="en-US" w:eastAsia="zh-CN"/>
              </w:rPr>
              <w:t>2.3 一体化提升泵站</w:t>
            </w:r>
          </w:p>
          <w:p w14:paraId="41CD07A5">
            <w:pPr>
              <w:keepNext w:val="0"/>
              <w:keepLines w:val="0"/>
              <w:suppressLineNumbers w:val="0"/>
              <w:spacing w:before="0" w:beforeAutospacing="0" w:after="0" w:afterAutospacing="0" w:line="360" w:lineRule="auto"/>
              <w:ind w:left="0" w:right="0"/>
              <w:jc w:val="center"/>
              <w:rPr>
                <w:rFonts w:hint="eastAsia"/>
                <w:b/>
                <w:bCs/>
                <w:color w:val="auto"/>
                <w:kern w:val="0"/>
                <w:sz w:val="24"/>
                <w:highlight w:val="none"/>
                <w:u w:val="single"/>
                <w:lang w:val="en-US" w:eastAsia="zh-CN"/>
              </w:rPr>
            </w:pPr>
            <w:r>
              <w:rPr>
                <w:rFonts w:hint="eastAsia"/>
                <w:b/>
                <w:bCs/>
                <w:color w:val="auto"/>
                <w:kern w:val="0"/>
                <w:sz w:val="24"/>
                <w:highlight w:val="none"/>
                <w:u w:val="single"/>
                <w:lang w:val="en-US" w:eastAsia="zh-CN"/>
              </w:rPr>
              <w:drawing>
                <wp:inline distT="0" distB="0" distL="114300" distR="114300">
                  <wp:extent cx="2418080" cy="3168650"/>
                  <wp:effectExtent l="0" t="0" r="0" b="0"/>
                  <wp:docPr id="22" name="ECB019B1-382A-4266-B25C-5B523AA43C14-4" descr="C:/Users/lucc9/AppData/Local/Temp/wps.gRQfsD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CB019B1-382A-4266-B25C-5B523AA43C14-4" descr="C:/Users/lucc9/AppData/Local/Temp/wps.gRQfsDwps"/>
                          <pic:cNvPicPr>
                            <a:picLocks noChangeAspect="1"/>
                          </pic:cNvPicPr>
                        </pic:nvPicPr>
                        <pic:blipFill>
                          <a:blip r:embed="rId39">
                            <a:lum bright="-18000" contrast="30000"/>
                          </a:blip>
                          <a:stretch>
                            <a:fillRect/>
                          </a:stretch>
                        </pic:blipFill>
                        <pic:spPr>
                          <a:xfrm>
                            <a:off x="0" y="0"/>
                            <a:ext cx="2418080" cy="3168650"/>
                          </a:xfrm>
                          <a:prstGeom prst="rect">
                            <a:avLst/>
                          </a:prstGeom>
                        </pic:spPr>
                      </pic:pic>
                    </a:graphicData>
                  </a:graphic>
                </wp:inline>
              </w:drawing>
            </w:r>
          </w:p>
          <w:p w14:paraId="518CE66A">
            <w:pPr>
              <w:keepNext w:val="0"/>
              <w:keepLines w:val="0"/>
              <w:numPr>
                <w:ilvl w:val="0"/>
                <w:numId w:val="0"/>
              </w:numPr>
              <w:suppressLineNumbers w:val="0"/>
              <w:spacing w:before="0" w:beforeAutospacing="0" w:after="0" w:afterAutospacing="0" w:line="360" w:lineRule="auto"/>
              <w:ind w:left="0" w:right="0" w:rightChars="0"/>
              <w:jc w:val="center"/>
              <w:rPr>
                <w:rFonts w:hint="eastAsia" w:cs="Times New Roman"/>
                <w:color w:val="auto"/>
                <w:sz w:val="24"/>
                <w:szCs w:val="24"/>
                <w:highlight w:val="none"/>
                <w:u w:val="single"/>
                <w:lang w:val="en-US" w:eastAsia="zh-CN"/>
              </w:rPr>
            </w:pPr>
            <w:r>
              <w:rPr>
                <w:rFonts w:hint="eastAsia"/>
                <w:b/>
                <w:bCs/>
                <w:color w:val="auto"/>
                <w:highlight w:val="none"/>
                <w:u w:val="single"/>
              </w:rPr>
              <w:t>图2</w:t>
            </w:r>
            <w:r>
              <w:rPr>
                <w:rFonts w:hint="eastAsia"/>
                <w:b/>
                <w:bCs/>
                <w:color w:val="auto"/>
                <w:highlight w:val="none"/>
                <w:u w:val="single"/>
                <w:lang w:val="en-US" w:eastAsia="zh-CN"/>
              </w:rPr>
              <w:t xml:space="preserve">-17 </w:t>
            </w:r>
            <w:r>
              <w:rPr>
                <w:rFonts w:hint="eastAsia"/>
                <w:b/>
                <w:bCs/>
                <w:color w:val="auto"/>
                <w:highlight w:val="none"/>
                <w:u w:val="single"/>
              </w:rPr>
              <w:t xml:space="preserve"> </w:t>
            </w:r>
            <w:r>
              <w:rPr>
                <w:rFonts w:hint="eastAsia"/>
                <w:b/>
                <w:bCs/>
                <w:color w:val="auto"/>
                <w:highlight w:val="none"/>
                <w:u w:val="single"/>
                <w:lang w:val="en-US" w:eastAsia="zh-CN"/>
              </w:rPr>
              <w:t>泵站施工工艺流程</w:t>
            </w:r>
            <w:r>
              <w:rPr>
                <w:rFonts w:hint="eastAsia"/>
                <w:b/>
                <w:bCs/>
                <w:color w:val="auto"/>
                <w:highlight w:val="none"/>
                <w:u w:val="single"/>
              </w:rPr>
              <w:t>图</w:t>
            </w:r>
          </w:p>
          <w:p w14:paraId="6328B988">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rPr>
                <w:rFonts w:hint="eastAsia"/>
                <w:b/>
                <w:bCs/>
                <w:color w:val="auto"/>
                <w:kern w:val="0"/>
                <w:sz w:val="24"/>
                <w:highlight w:val="none"/>
                <w:u w:val="single"/>
                <w:lang w:val="en-US" w:eastAsia="zh-CN"/>
              </w:rPr>
            </w:pPr>
            <w:r>
              <w:rPr>
                <w:rFonts w:hint="eastAsia"/>
                <w:b/>
                <w:bCs/>
                <w:color w:val="auto"/>
                <w:kern w:val="0"/>
                <w:sz w:val="24"/>
                <w:highlight w:val="none"/>
                <w:u w:val="single"/>
                <w:lang w:val="en-US" w:eastAsia="zh-CN"/>
              </w:rPr>
              <w:t>工艺简述：</w:t>
            </w:r>
          </w:p>
          <w:p w14:paraId="0F96EB2E">
            <w:pPr>
              <w:keepNext w:val="0"/>
              <w:keepLines w:val="0"/>
              <w:numPr>
                <w:ilvl w:val="0"/>
                <w:numId w:val="7"/>
              </w:numPr>
              <w:suppressLineNumbers w:val="0"/>
              <w:spacing w:before="0" w:beforeAutospacing="0" w:after="0" w:afterAutospacing="0" w:line="360" w:lineRule="auto"/>
              <w:ind w:left="0" w:right="0" w:firstLine="472" w:firstLineChars="200"/>
              <w:jc w:val="left"/>
              <w:rPr>
                <w:rFonts w:hint="eastAsia"/>
                <w:color w:val="auto"/>
                <w:spacing w:val="-2"/>
                <w:sz w:val="24"/>
                <w:highlight w:val="none"/>
                <w:u w:val="single"/>
              </w:rPr>
            </w:pPr>
            <w:r>
              <w:rPr>
                <w:rFonts w:hint="eastAsia"/>
                <w:color w:val="auto"/>
                <w:spacing w:val="-2"/>
                <w:sz w:val="24"/>
                <w:highlight w:val="none"/>
                <w:u w:val="single"/>
              </w:rPr>
              <w:t>基坑开挖</w:t>
            </w:r>
          </w:p>
          <w:p w14:paraId="1D835DEF">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eastAsia"/>
                <w:color w:val="auto"/>
                <w:spacing w:val="-2"/>
                <w:sz w:val="24"/>
                <w:highlight w:val="none"/>
                <w:u w:val="single"/>
              </w:rPr>
            </w:pPr>
            <w:r>
              <w:rPr>
                <w:rFonts w:hint="eastAsia"/>
                <w:color w:val="auto"/>
                <w:spacing w:val="-2"/>
                <w:sz w:val="24"/>
                <w:highlight w:val="none"/>
                <w:u w:val="single"/>
              </w:rPr>
              <w:t>分层开挖，深度≤3m，边坡坡度1:1.5。</w:t>
            </w:r>
          </w:p>
          <w:p w14:paraId="572711F8">
            <w:pPr>
              <w:keepNext w:val="0"/>
              <w:keepLines w:val="0"/>
              <w:suppressLineNumbers w:val="0"/>
              <w:spacing w:before="0" w:beforeAutospacing="0" w:after="0" w:afterAutospacing="0" w:line="360" w:lineRule="auto"/>
              <w:ind w:left="0" w:right="0" w:firstLine="472" w:firstLineChars="200"/>
              <w:jc w:val="left"/>
              <w:rPr>
                <w:rFonts w:hint="default" w:eastAsia="宋体"/>
                <w:color w:val="auto"/>
                <w:spacing w:val="-2"/>
                <w:sz w:val="24"/>
                <w:highlight w:val="none"/>
                <w:u w:val="single"/>
                <w:lang w:val="en-US" w:eastAsia="zh-CN"/>
              </w:rPr>
            </w:pPr>
            <w:r>
              <w:rPr>
                <w:rFonts w:hint="eastAsia"/>
                <w:color w:val="auto"/>
                <w:spacing w:val="-2"/>
                <w:sz w:val="24"/>
                <w:highlight w:val="none"/>
                <w:u w:val="single"/>
                <w:lang w:val="en-US" w:eastAsia="zh-CN"/>
              </w:rPr>
              <w:t>2）基底处理及垫层施工</w:t>
            </w:r>
          </w:p>
          <w:p w14:paraId="45C54B4F">
            <w:pPr>
              <w:keepNext w:val="0"/>
              <w:keepLines w:val="0"/>
              <w:suppressLineNumbers w:val="0"/>
              <w:spacing w:before="0" w:beforeAutospacing="0" w:after="0" w:afterAutospacing="0" w:line="360" w:lineRule="auto"/>
              <w:ind w:left="0" w:right="0" w:firstLine="472" w:firstLineChars="200"/>
              <w:jc w:val="left"/>
              <w:rPr>
                <w:rFonts w:hint="eastAsia"/>
                <w:color w:val="auto"/>
                <w:spacing w:val="-2"/>
                <w:sz w:val="24"/>
                <w:highlight w:val="none"/>
                <w:u w:val="single"/>
              </w:rPr>
            </w:pPr>
            <w:r>
              <w:rPr>
                <w:rFonts w:hint="eastAsia"/>
                <w:color w:val="auto"/>
                <w:spacing w:val="-2"/>
                <w:sz w:val="24"/>
                <w:highlight w:val="none"/>
                <w:u w:val="single"/>
              </w:rPr>
              <w:t>混凝土垫层浇筑，预埋防渗膜；安装预制泵站筒体。</w:t>
            </w:r>
          </w:p>
          <w:p w14:paraId="5070020C">
            <w:pPr>
              <w:keepNext w:val="0"/>
              <w:keepLines w:val="0"/>
              <w:suppressLineNumbers w:val="0"/>
              <w:spacing w:before="0" w:beforeAutospacing="0" w:after="0" w:afterAutospacing="0" w:line="360" w:lineRule="auto"/>
              <w:ind w:left="0" w:right="0" w:firstLine="472" w:firstLineChars="200"/>
              <w:jc w:val="left"/>
              <w:rPr>
                <w:rFonts w:hint="eastAsia" w:eastAsia="宋体"/>
                <w:color w:val="auto"/>
                <w:spacing w:val="-2"/>
                <w:sz w:val="24"/>
                <w:highlight w:val="none"/>
                <w:u w:val="single"/>
                <w:lang w:eastAsia="zh-CN"/>
              </w:rPr>
            </w:pPr>
            <w:r>
              <w:rPr>
                <w:rFonts w:hint="eastAsia"/>
                <w:color w:val="auto"/>
                <w:spacing w:val="-2"/>
                <w:sz w:val="24"/>
                <w:highlight w:val="none"/>
                <w:u w:val="single"/>
                <w:lang w:val="en-US" w:eastAsia="zh-CN"/>
              </w:rPr>
              <w:t>3）管道连接</w:t>
            </w:r>
          </w:p>
          <w:p w14:paraId="1AEA47D6">
            <w:pPr>
              <w:keepNext w:val="0"/>
              <w:keepLines w:val="0"/>
              <w:suppressLineNumbers w:val="0"/>
              <w:spacing w:before="0" w:beforeAutospacing="0" w:after="0" w:afterAutospacing="0" w:line="360" w:lineRule="auto"/>
              <w:ind w:left="0" w:right="0" w:firstLine="472" w:firstLineChars="200"/>
              <w:jc w:val="left"/>
              <w:rPr>
                <w:rFonts w:hint="eastAsia"/>
                <w:color w:val="auto"/>
                <w:spacing w:val="-2"/>
                <w:sz w:val="24"/>
                <w:highlight w:val="none"/>
                <w:u w:val="single"/>
              </w:rPr>
            </w:pPr>
            <w:r>
              <w:rPr>
                <w:rFonts w:hint="eastAsia"/>
                <w:color w:val="auto"/>
                <w:spacing w:val="-2"/>
                <w:sz w:val="24"/>
                <w:highlight w:val="none"/>
                <w:u w:val="single"/>
              </w:rPr>
              <w:t>吊装水泵、阀门、控制柜；管道连接（无缝钢管，防腐处理）。</w:t>
            </w:r>
          </w:p>
          <w:p w14:paraId="79D9ED49">
            <w:pPr>
              <w:keepNext w:val="0"/>
              <w:keepLines w:val="0"/>
              <w:numPr>
                <w:ilvl w:val="0"/>
                <w:numId w:val="6"/>
              </w:numPr>
              <w:suppressLineNumbers w:val="0"/>
              <w:spacing w:before="0" w:beforeAutospacing="0" w:after="0" w:afterAutospacing="0" w:line="360" w:lineRule="auto"/>
              <w:ind w:left="0" w:leftChars="0" w:right="0" w:firstLine="472" w:firstLineChars="200"/>
              <w:jc w:val="left"/>
              <w:rPr>
                <w:rFonts w:hint="eastAsia"/>
                <w:color w:val="auto"/>
                <w:spacing w:val="-2"/>
                <w:sz w:val="24"/>
                <w:highlight w:val="none"/>
                <w:u w:val="single"/>
                <w:lang w:val="en-US" w:eastAsia="zh-CN"/>
              </w:rPr>
            </w:pPr>
            <w:r>
              <w:rPr>
                <w:rFonts w:hint="eastAsia"/>
                <w:color w:val="auto"/>
                <w:spacing w:val="-2"/>
                <w:sz w:val="24"/>
                <w:highlight w:val="none"/>
                <w:u w:val="single"/>
                <w:lang w:val="en-US" w:eastAsia="zh-CN"/>
              </w:rPr>
              <w:t>地表恢复</w:t>
            </w:r>
          </w:p>
          <w:p w14:paraId="719A7637">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eastAsia"/>
                <w:color w:val="auto"/>
                <w:spacing w:val="-2"/>
                <w:sz w:val="24"/>
                <w:highlight w:val="none"/>
                <w:u w:val="single"/>
                <w:lang w:val="en-US" w:eastAsia="zh-CN"/>
              </w:rPr>
            </w:pPr>
            <w:r>
              <w:rPr>
                <w:rFonts w:hint="eastAsia"/>
                <w:color w:val="auto"/>
                <w:spacing w:val="-2"/>
                <w:sz w:val="24"/>
                <w:highlight w:val="none"/>
                <w:u w:val="single"/>
                <w:lang w:val="en-US" w:eastAsia="zh-CN"/>
              </w:rPr>
              <w:t>分层回填砂石（压实度≥95%）；表层复绿或硬化。</w:t>
            </w:r>
          </w:p>
          <w:p w14:paraId="157FF661">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default"/>
                <w:color w:val="auto"/>
                <w:spacing w:val="-2"/>
                <w:sz w:val="24"/>
                <w:highlight w:val="none"/>
                <w:u w:val="single"/>
                <w:lang w:val="en-US" w:eastAsia="zh-CN"/>
              </w:rPr>
            </w:pPr>
            <w:r>
              <w:rPr>
                <w:rFonts w:hint="eastAsia"/>
                <w:color w:val="auto"/>
                <w:spacing w:val="-2"/>
                <w:sz w:val="24"/>
                <w:highlight w:val="none"/>
                <w:u w:val="single"/>
                <w:lang w:val="en-US" w:eastAsia="zh-CN"/>
              </w:rPr>
              <w:t>5）调试验收</w:t>
            </w:r>
          </w:p>
          <w:p w14:paraId="57C6A7DC">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eastAsia"/>
                <w:color w:val="auto"/>
                <w:spacing w:val="-2"/>
                <w:sz w:val="24"/>
                <w:highlight w:val="none"/>
                <w:u w:val="single"/>
              </w:rPr>
            </w:pPr>
            <w:r>
              <w:rPr>
                <w:rFonts w:hint="eastAsia"/>
                <w:color w:val="auto"/>
                <w:spacing w:val="-2"/>
                <w:sz w:val="24"/>
                <w:highlight w:val="none"/>
                <w:u w:val="single"/>
                <w:lang w:val="en-US" w:eastAsia="zh-CN"/>
              </w:rPr>
              <w:t>72小时联动试运行，检测流量、扬程、密封性；数据接入智慧水务平台。</w:t>
            </w:r>
          </w:p>
          <w:p w14:paraId="1EF4A17C">
            <w:pPr>
              <w:keepNext w:val="0"/>
              <w:keepLines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auto"/>
                <w:sz w:val="24"/>
                <w:szCs w:val="24"/>
                <w:highlight w:val="none"/>
                <w:u w:val="none"/>
                <w:lang w:val="en-US" w:eastAsia="zh-CN"/>
              </w:rPr>
            </w:pPr>
            <w:r>
              <w:rPr>
                <w:rFonts w:hint="eastAsia" w:cs="Times New Roman"/>
                <w:b/>
                <w:bCs/>
                <w:color w:val="auto"/>
                <w:sz w:val="24"/>
                <w:szCs w:val="24"/>
                <w:highlight w:val="none"/>
                <w:u w:val="none"/>
                <w:lang w:val="en-US" w:eastAsia="zh-CN"/>
              </w:rPr>
              <w:t>3</w:t>
            </w:r>
            <w:r>
              <w:rPr>
                <w:rFonts w:hint="default" w:ascii="Times New Roman" w:hAnsi="Times New Roman" w:eastAsia="宋体" w:cs="Times New Roman"/>
                <w:b/>
                <w:bCs/>
                <w:color w:val="auto"/>
                <w:sz w:val="24"/>
                <w:szCs w:val="24"/>
                <w:highlight w:val="none"/>
                <w:u w:val="none"/>
                <w:lang w:val="en-US" w:eastAsia="zh-CN"/>
              </w:rPr>
              <w:t>、</w:t>
            </w:r>
            <w:r>
              <w:rPr>
                <w:rFonts w:hint="eastAsia" w:cs="Times New Roman"/>
                <w:b/>
                <w:bCs/>
                <w:color w:val="auto"/>
                <w:sz w:val="24"/>
                <w:szCs w:val="24"/>
                <w:highlight w:val="none"/>
                <w:u w:val="none"/>
                <w:lang w:val="en-US" w:eastAsia="zh-CN"/>
              </w:rPr>
              <w:t>管、沟、涵</w:t>
            </w:r>
            <w:r>
              <w:rPr>
                <w:rFonts w:hint="eastAsia" w:ascii="Times New Roman" w:hAnsi="Times New Roman" w:eastAsia="宋体" w:cs="Times New Roman"/>
                <w:b/>
                <w:bCs/>
                <w:color w:val="auto"/>
                <w:sz w:val="24"/>
                <w:szCs w:val="24"/>
                <w:highlight w:val="none"/>
                <w:u w:val="none"/>
                <w:lang w:val="en-US" w:eastAsia="zh-CN"/>
              </w:rPr>
              <w:t>工程</w:t>
            </w:r>
          </w:p>
          <w:p w14:paraId="318C8590">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80" w:firstLineChars="200"/>
              <w:rPr>
                <w:rFonts w:hint="default"/>
                <w:b w:val="0"/>
                <w:bCs w:val="0"/>
                <w:color w:val="auto"/>
                <w:kern w:val="0"/>
                <w:sz w:val="24"/>
                <w:u w:val="none"/>
                <w:lang w:val="en-US" w:eastAsia="zh-CN"/>
              </w:rPr>
            </w:pPr>
            <w:r>
              <w:rPr>
                <w:rFonts w:hint="eastAsia"/>
                <w:b w:val="0"/>
                <w:bCs w:val="0"/>
                <w:color w:val="auto"/>
                <w:kern w:val="0"/>
                <w:sz w:val="24"/>
                <w:u w:val="none"/>
                <w:lang w:val="en-US" w:eastAsia="zh-CN"/>
              </w:rPr>
              <w:t>本次工程对于城区存在内涝、淤堵及污水溢流等问题的各处，进行针对性的改造，如新建雨污水管道、箱涵、排水沟等。</w:t>
            </w:r>
          </w:p>
          <w:p w14:paraId="248D51BC">
            <w:pPr>
              <w:keepNext w:val="0"/>
              <w:keepLines w:val="0"/>
              <w:numPr>
                <w:ilvl w:val="0"/>
                <w:numId w:val="0"/>
              </w:numPr>
              <w:suppressLineNumbers w:val="0"/>
              <w:autoSpaceDE w:val="0"/>
              <w:autoSpaceDN w:val="0"/>
              <w:adjustRightInd w:val="0"/>
              <w:snapToGrid w:val="0"/>
              <w:spacing w:before="0" w:beforeAutospacing="0" w:after="0" w:afterAutospacing="0" w:line="240" w:lineRule="auto"/>
              <w:ind w:left="0" w:right="0" w:rightChars="0"/>
              <w:jc w:val="center"/>
              <w:rPr>
                <w:rFonts w:hint="eastAsia"/>
                <w:b/>
                <w:bCs/>
                <w:color w:val="auto"/>
                <w:kern w:val="0"/>
                <w:sz w:val="21"/>
                <w:szCs w:val="21"/>
                <w:u w:val="none"/>
                <w:lang w:val="en-US" w:eastAsia="zh-CN"/>
              </w:rPr>
            </w:pPr>
            <w:r>
              <w:rPr>
                <w:rFonts w:hint="eastAsia" w:ascii="Times New Roman" w:hAnsi="Times New Roman"/>
                <w:b/>
                <w:bCs/>
                <w:color w:val="auto"/>
                <w:sz w:val="21"/>
                <w:szCs w:val="21"/>
                <w:u w:val="none"/>
              </w:rPr>
              <w:t>表2-</w:t>
            </w:r>
            <w:r>
              <w:rPr>
                <w:rFonts w:hint="eastAsia"/>
                <w:b/>
                <w:bCs/>
                <w:color w:val="auto"/>
                <w:sz w:val="21"/>
                <w:szCs w:val="21"/>
                <w:u w:val="none"/>
                <w:lang w:val="en-US" w:eastAsia="zh-CN"/>
              </w:rPr>
              <w:t>5</w:t>
            </w:r>
            <w:r>
              <w:rPr>
                <w:rFonts w:hint="eastAsia" w:ascii="Times New Roman" w:hAnsi="Times New Roman"/>
                <w:b/>
                <w:bCs/>
                <w:color w:val="auto"/>
                <w:sz w:val="21"/>
                <w:szCs w:val="21"/>
                <w:u w:val="none"/>
                <w:lang w:val="en-US" w:eastAsia="zh-CN"/>
              </w:rPr>
              <w:t xml:space="preserve">  项目管、涵</w:t>
            </w:r>
            <w:r>
              <w:rPr>
                <w:rFonts w:hint="eastAsia"/>
                <w:b/>
                <w:bCs/>
                <w:color w:val="auto"/>
                <w:sz w:val="21"/>
                <w:szCs w:val="21"/>
                <w:u w:val="none"/>
                <w:lang w:val="en-US" w:eastAsia="zh-CN"/>
              </w:rPr>
              <w:t>沟建设类型</w:t>
            </w:r>
            <w:r>
              <w:rPr>
                <w:rFonts w:hint="eastAsia" w:ascii="Times New Roman" w:hAnsi="Times New Roman"/>
                <w:b/>
                <w:bCs/>
                <w:color w:val="auto"/>
                <w:sz w:val="21"/>
                <w:szCs w:val="21"/>
                <w:u w:val="none"/>
              </w:rPr>
              <w:t>一览表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1584"/>
              <w:gridCol w:w="1539"/>
              <w:gridCol w:w="3025"/>
              <w:gridCol w:w="1274"/>
            </w:tblGrid>
            <w:tr w14:paraId="3626E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1" w:hRule="atLeast"/>
              </w:trPr>
              <w:tc>
                <w:tcPr>
                  <w:tcW w:w="271" w:type="pct"/>
                  <w:vAlign w:val="center"/>
                </w:tcPr>
                <w:p w14:paraId="00D9853B">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1009" w:type="pct"/>
                  <w:vAlign w:val="center"/>
                </w:tcPr>
                <w:p w14:paraId="118B286F">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名称</w:t>
                  </w:r>
                </w:p>
              </w:tc>
              <w:tc>
                <w:tcPr>
                  <w:tcW w:w="980" w:type="pct"/>
                  <w:vAlign w:val="center"/>
                </w:tcPr>
                <w:p w14:paraId="567C64D6">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类型</w:t>
                  </w:r>
                </w:p>
              </w:tc>
              <w:tc>
                <w:tcPr>
                  <w:tcW w:w="1927" w:type="pct"/>
                  <w:vAlign w:val="center"/>
                </w:tcPr>
                <w:p w14:paraId="54209581">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去向</w:t>
                  </w:r>
                </w:p>
              </w:tc>
              <w:tc>
                <w:tcPr>
                  <w:tcW w:w="811" w:type="pct"/>
                  <w:vAlign w:val="center"/>
                </w:tcPr>
                <w:p w14:paraId="493BD946">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备注</w:t>
                  </w:r>
                </w:p>
              </w:tc>
            </w:tr>
            <w:tr w14:paraId="4630E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Merge w:val="restart"/>
                  <w:vAlign w:val="center"/>
                </w:tcPr>
                <w:p w14:paraId="44EA917D">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w:t>
                  </w:r>
                </w:p>
              </w:tc>
              <w:tc>
                <w:tcPr>
                  <w:tcW w:w="1009" w:type="pct"/>
                  <w:vMerge w:val="restart"/>
                  <w:vAlign w:val="center"/>
                </w:tcPr>
                <w:p w14:paraId="77B6FC6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b w:val="0"/>
                      <w:bCs w:val="0"/>
                      <w:sz w:val="21"/>
                      <w:szCs w:val="21"/>
                      <w:vertAlign w:val="baseline"/>
                      <w:lang w:val="en-US" w:eastAsia="zh-CN"/>
                    </w:rPr>
                    <w:t>上港溪支流</w:t>
                  </w:r>
                  <w:r>
                    <w:rPr>
                      <w:rFonts w:hint="eastAsia" w:ascii="Times New Roman" w:hAnsi="Times New Roman" w:cs="Times New Roman"/>
                      <w:b w:val="0"/>
                      <w:bCs w:val="0"/>
                      <w:sz w:val="21"/>
                      <w:szCs w:val="21"/>
                      <w:vertAlign w:val="baseline"/>
                      <w:lang w:val="en-US" w:eastAsia="zh-CN"/>
                    </w:rPr>
                    <w:t>一</w:t>
                  </w:r>
                </w:p>
              </w:tc>
              <w:tc>
                <w:tcPr>
                  <w:tcW w:w="980" w:type="pct"/>
                  <w:vAlign w:val="center"/>
                </w:tcPr>
                <w:p w14:paraId="0F2EFCC2">
                  <w:pPr>
                    <w:keepNext w:val="0"/>
                    <w:keepLines w:val="0"/>
                    <w:suppressLineNumbers w:val="0"/>
                    <w:spacing w:before="0" w:beforeAutospacing="0" w:after="0" w:afterAutospacing="0" w:line="240" w:lineRule="auto"/>
                    <w:ind w:left="0" w:leftChars="0" w:right="0" w:rightChars="0"/>
                    <w:jc w:val="center"/>
                    <w:rPr>
                      <w:rFonts w:hint="eastAsia" w:eastAsia="宋体"/>
                      <w:sz w:val="21"/>
                      <w:szCs w:val="21"/>
                      <w:vertAlign w:val="baseline"/>
                      <w:lang w:val="en-US" w:eastAsia="zh-CN"/>
                    </w:rPr>
                  </w:pPr>
                  <w:r>
                    <w:rPr>
                      <w:rFonts w:hint="eastAsia"/>
                      <w:sz w:val="21"/>
                      <w:szCs w:val="21"/>
                      <w:vertAlign w:val="baseline"/>
                    </w:rPr>
                    <w:t>污水</w:t>
                  </w:r>
                  <w:r>
                    <w:rPr>
                      <w:rFonts w:hint="eastAsia"/>
                      <w:sz w:val="21"/>
                      <w:szCs w:val="21"/>
                      <w:vertAlign w:val="baseline"/>
                      <w:lang w:val="en-US" w:eastAsia="zh-CN"/>
                    </w:rPr>
                    <w:t>管</w:t>
                  </w:r>
                </w:p>
              </w:tc>
              <w:tc>
                <w:tcPr>
                  <w:tcW w:w="1927" w:type="pct"/>
                  <w:vAlign w:val="center"/>
                </w:tcPr>
                <w:p w14:paraId="746261C0">
                  <w:pPr>
                    <w:keepNext w:val="0"/>
                    <w:keepLines w:val="0"/>
                    <w:suppressLineNumbers w:val="0"/>
                    <w:spacing w:before="0" w:beforeAutospacing="0" w:after="0" w:afterAutospacing="0" w:line="240" w:lineRule="auto"/>
                    <w:ind w:left="0" w:leftChars="0" w:right="0" w:rightChars="0"/>
                    <w:jc w:val="left"/>
                    <w:rPr>
                      <w:rFonts w:hint="eastAsia"/>
                      <w:sz w:val="21"/>
                      <w:szCs w:val="21"/>
                      <w:vertAlign w:val="baseline"/>
                    </w:rPr>
                  </w:pPr>
                  <w:r>
                    <w:rPr>
                      <w:rFonts w:hint="eastAsia"/>
                      <w:sz w:val="21"/>
                      <w:szCs w:val="21"/>
                      <w:vertAlign w:val="baseline"/>
                    </w:rPr>
                    <w:t>接入上港溪河道南侧现有污水主管道</w:t>
                  </w:r>
                </w:p>
              </w:tc>
              <w:tc>
                <w:tcPr>
                  <w:tcW w:w="811" w:type="pct"/>
                  <w:vAlign w:val="center"/>
                </w:tcPr>
                <w:p w14:paraId="0C716D89">
                  <w:pPr>
                    <w:keepNext w:val="0"/>
                    <w:keepLines w:val="0"/>
                    <w:suppressLineNumbers w:val="0"/>
                    <w:spacing w:before="0" w:beforeAutospacing="0" w:after="0" w:afterAutospacing="0" w:line="240" w:lineRule="auto"/>
                    <w:ind w:left="0" w:leftChars="0" w:right="0" w:rightChars="0"/>
                    <w:jc w:val="center"/>
                    <w:rPr>
                      <w:rFonts w:hint="eastAsia"/>
                      <w:sz w:val="21"/>
                      <w:szCs w:val="21"/>
                      <w:vertAlign w:val="baseline"/>
                    </w:rPr>
                  </w:pPr>
                  <w:r>
                    <w:rPr>
                      <w:rFonts w:hint="eastAsia"/>
                      <w:color w:val="auto"/>
                      <w:sz w:val="21"/>
                      <w:szCs w:val="21"/>
                      <w:vertAlign w:val="baseline"/>
                      <w:lang w:val="en-US" w:eastAsia="zh-CN"/>
                    </w:rPr>
                    <w:t>/</w:t>
                  </w:r>
                </w:p>
              </w:tc>
            </w:tr>
            <w:tr w14:paraId="1D05C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Merge w:val="continue"/>
                  <w:vAlign w:val="center"/>
                </w:tcPr>
                <w:p w14:paraId="38ED4AD9">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vertAlign w:val="baseline"/>
                      <w:lang w:val="en-US" w:eastAsia="zh-CN"/>
                    </w:rPr>
                  </w:pPr>
                </w:p>
              </w:tc>
              <w:tc>
                <w:tcPr>
                  <w:tcW w:w="1009" w:type="pct"/>
                  <w:vMerge w:val="continue"/>
                  <w:vAlign w:val="center"/>
                </w:tcPr>
                <w:p w14:paraId="16C0F594">
                  <w:pPr>
                    <w:keepNext w:val="0"/>
                    <w:keepLines w:val="0"/>
                    <w:suppressLineNumbers w:val="0"/>
                    <w:spacing w:before="0" w:beforeAutospacing="0" w:after="0" w:afterAutospacing="0" w:line="240" w:lineRule="auto"/>
                    <w:ind w:left="0" w:leftChars="0" w:right="0" w:rightChars="0"/>
                    <w:jc w:val="center"/>
                    <w:rPr>
                      <w:rFonts w:hint="eastAsia"/>
                      <w:sz w:val="21"/>
                      <w:szCs w:val="21"/>
                      <w:vertAlign w:val="baseline"/>
                    </w:rPr>
                  </w:pPr>
                </w:p>
              </w:tc>
              <w:tc>
                <w:tcPr>
                  <w:tcW w:w="980" w:type="pct"/>
                  <w:vAlign w:val="center"/>
                </w:tcPr>
                <w:p w14:paraId="3680B3F0">
                  <w:pPr>
                    <w:keepNext w:val="0"/>
                    <w:keepLines w:val="0"/>
                    <w:suppressLineNumbers w:val="0"/>
                    <w:spacing w:before="0" w:beforeAutospacing="0" w:after="0" w:afterAutospacing="0" w:line="240" w:lineRule="auto"/>
                    <w:ind w:left="0" w:leftChars="0" w:right="0" w:rightChars="0"/>
                    <w:jc w:val="center"/>
                    <w:rPr>
                      <w:rFonts w:hint="eastAsia"/>
                      <w:sz w:val="21"/>
                      <w:szCs w:val="21"/>
                      <w:vertAlign w:val="baseline"/>
                    </w:rPr>
                  </w:pPr>
                  <w:r>
                    <w:rPr>
                      <w:rFonts w:hint="eastAsia"/>
                      <w:color w:val="auto"/>
                      <w:sz w:val="21"/>
                      <w:szCs w:val="21"/>
                      <w:vertAlign w:val="baseline"/>
                    </w:rPr>
                    <w:t>雨水</w:t>
                  </w:r>
                  <w:r>
                    <w:rPr>
                      <w:rFonts w:hint="eastAsia"/>
                      <w:sz w:val="21"/>
                      <w:szCs w:val="21"/>
                      <w:vertAlign w:val="baseline"/>
                    </w:rPr>
                    <w:t>明</w:t>
                  </w:r>
                  <w:r>
                    <w:rPr>
                      <w:rFonts w:hint="eastAsia"/>
                      <w:color w:val="auto"/>
                      <w:sz w:val="21"/>
                      <w:szCs w:val="21"/>
                      <w:vertAlign w:val="baseline"/>
                    </w:rPr>
                    <w:t>沟</w:t>
                  </w:r>
                </w:p>
              </w:tc>
              <w:tc>
                <w:tcPr>
                  <w:tcW w:w="1927" w:type="pct"/>
                  <w:vAlign w:val="center"/>
                </w:tcPr>
                <w:p w14:paraId="3167E776">
                  <w:pPr>
                    <w:keepNext w:val="0"/>
                    <w:keepLines w:val="0"/>
                    <w:suppressLineNumbers w:val="0"/>
                    <w:spacing w:before="0" w:beforeAutospacing="0" w:after="0" w:afterAutospacing="0" w:line="240" w:lineRule="auto"/>
                    <w:ind w:left="0" w:leftChars="0" w:right="0" w:rightChars="0"/>
                    <w:jc w:val="left"/>
                    <w:rPr>
                      <w:rFonts w:hint="eastAsia"/>
                      <w:sz w:val="21"/>
                      <w:szCs w:val="21"/>
                      <w:vertAlign w:val="baseline"/>
                    </w:rPr>
                  </w:pPr>
                  <w:r>
                    <w:rPr>
                      <w:rFonts w:hint="eastAsia"/>
                      <w:sz w:val="21"/>
                      <w:szCs w:val="21"/>
                      <w:vertAlign w:val="baseline"/>
                    </w:rPr>
                    <w:t>接入现有排水闸门</w:t>
                  </w:r>
                </w:p>
              </w:tc>
              <w:tc>
                <w:tcPr>
                  <w:tcW w:w="811" w:type="pct"/>
                  <w:vAlign w:val="center"/>
                </w:tcPr>
                <w:p w14:paraId="25697527">
                  <w:pPr>
                    <w:keepNext w:val="0"/>
                    <w:keepLines w:val="0"/>
                    <w:suppressLineNumbers w:val="0"/>
                    <w:spacing w:before="0" w:beforeAutospacing="0" w:after="0" w:afterAutospacing="0" w:line="240" w:lineRule="auto"/>
                    <w:ind w:left="0" w:leftChars="0" w:right="0" w:rightChars="0"/>
                    <w:jc w:val="center"/>
                    <w:rPr>
                      <w:rFonts w:hint="eastAsia"/>
                      <w:sz w:val="21"/>
                      <w:szCs w:val="21"/>
                      <w:vertAlign w:val="baseline"/>
                    </w:rPr>
                  </w:pPr>
                  <w:r>
                    <w:rPr>
                      <w:rFonts w:hint="eastAsia"/>
                      <w:color w:val="auto"/>
                      <w:sz w:val="21"/>
                      <w:szCs w:val="21"/>
                      <w:vertAlign w:val="baseline"/>
                      <w:lang w:val="en-US" w:eastAsia="zh-CN"/>
                    </w:rPr>
                    <w:t>/</w:t>
                  </w:r>
                </w:p>
              </w:tc>
            </w:tr>
            <w:tr w14:paraId="2247F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Merge w:val="restart"/>
                  <w:vAlign w:val="center"/>
                </w:tcPr>
                <w:p w14:paraId="5D6F49A5">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2</w:t>
                  </w:r>
                </w:p>
              </w:tc>
              <w:tc>
                <w:tcPr>
                  <w:tcW w:w="1009" w:type="pct"/>
                  <w:vMerge w:val="restart"/>
                  <w:vAlign w:val="center"/>
                </w:tcPr>
                <w:p w14:paraId="2EC7F29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b w:val="0"/>
                      <w:bCs w:val="0"/>
                      <w:sz w:val="21"/>
                      <w:szCs w:val="21"/>
                      <w:vertAlign w:val="baseline"/>
                      <w:lang w:val="en-US" w:eastAsia="zh-CN"/>
                    </w:rPr>
                    <w:t>上港溪支流</w:t>
                  </w:r>
                  <w:r>
                    <w:rPr>
                      <w:rFonts w:hint="eastAsia" w:ascii="Times New Roman" w:hAnsi="Times New Roman" w:cs="Times New Roman"/>
                      <w:b w:val="0"/>
                      <w:bCs w:val="0"/>
                      <w:sz w:val="21"/>
                      <w:szCs w:val="21"/>
                      <w:vertAlign w:val="baseline"/>
                      <w:lang w:val="en-US" w:eastAsia="zh-CN"/>
                    </w:rPr>
                    <w:t>二</w:t>
                  </w:r>
                </w:p>
              </w:tc>
              <w:tc>
                <w:tcPr>
                  <w:tcW w:w="980" w:type="pct"/>
                  <w:vAlign w:val="center"/>
                </w:tcPr>
                <w:p w14:paraId="79B5199A">
                  <w:pPr>
                    <w:keepNext w:val="0"/>
                    <w:keepLines w:val="0"/>
                    <w:suppressLineNumbers w:val="0"/>
                    <w:spacing w:before="0" w:beforeAutospacing="0" w:after="0" w:afterAutospacing="0" w:line="240" w:lineRule="auto"/>
                    <w:ind w:left="0" w:leftChars="0" w:right="0" w:rightChars="0"/>
                    <w:jc w:val="center"/>
                    <w:rPr>
                      <w:rFonts w:hint="eastAsia" w:eastAsia="宋体"/>
                      <w:sz w:val="21"/>
                      <w:szCs w:val="21"/>
                      <w:vertAlign w:val="baseline"/>
                      <w:lang w:eastAsia="zh-CN"/>
                    </w:rPr>
                  </w:pPr>
                  <w:r>
                    <w:rPr>
                      <w:rFonts w:hint="eastAsia"/>
                      <w:sz w:val="21"/>
                      <w:szCs w:val="21"/>
                      <w:vertAlign w:val="baseline"/>
                    </w:rPr>
                    <w:t>雨水</w:t>
                  </w:r>
                  <w:r>
                    <w:rPr>
                      <w:rFonts w:hint="eastAsia"/>
                      <w:sz w:val="21"/>
                      <w:szCs w:val="21"/>
                      <w:vertAlign w:val="baseline"/>
                      <w:lang w:val="en-US" w:eastAsia="zh-CN"/>
                    </w:rPr>
                    <w:t>管</w:t>
                  </w:r>
                </w:p>
              </w:tc>
              <w:tc>
                <w:tcPr>
                  <w:tcW w:w="1927" w:type="pct"/>
                  <w:vAlign w:val="center"/>
                </w:tcPr>
                <w:p w14:paraId="431AC585">
                  <w:pPr>
                    <w:keepNext w:val="0"/>
                    <w:keepLines w:val="0"/>
                    <w:suppressLineNumbers w:val="0"/>
                    <w:spacing w:before="0" w:beforeAutospacing="0" w:after="0" w:afterAutospacing="0" w:line="240" w:lineRule="auto"/>
                    <w:ind w:left="0" w:leftChars="0" w:right="0" w:rightChars="0"/>
                    <w:jc w:val="left"/>
                    <w:rPr>
                      <w:rFonts w:hint="eastAsia"/>
                      <w:sz w:val="21"/>
                      <w:szCs w:val="21"/>
                      <w:vertAlign w:val="baseline"/>
                    </w:rPr>
                  </w:pPr>
                  <w:r>
                    <w:rPr>
                      <w:rFonts w:hint="eastAsia"/>
                      <w:sz w:val="21"/>
                      <w:szCs w:val="21"/>
                      <w:vertAlign w:val="baseline"/>
                    </w:rPr>
                    <w:t>现有排水闸门道路</w:t>
                  </w:r>
                </w:p>
              </w:tc>
              <w:tc>
                <w:tcPr>
                  <w:tcW w:w="811" w:type="pct"/>
                  <w:vAlign w:val="center"/>
                </w:tcPr>
                <w:p w14:paraId="3CA72DB6">
                  <w:pPr>
                    <w:keepNext w:val="0"/>
                    <w:keepLines w:val="0"/>
                    <w:suppressLineNumbers w:val="0"/>
                    <w:spacing w:before="0" w:beforeAutospacing="0" w:after="0" w:afterAutospacing="0" w:line="240" w:lineRule="auto"/>
                    <w:ind w:left="0" w:leftChars="0" w:right="0" w:rightChars="0"/>
                    <w:jc w:val="center"/>
                    <w:rPr>
                      <w:rFonts w:hint="eastAsia"/>
                      <w:sz w:val="21"/>
                      <w:szCs w:val="21"/>
                      <w:vertAlign w:val="baseline"/>
                    </w:rPr>
                  </w:pPr>
                  <w:r>
                    <w:rPr>
                      <w:rFonts w:hint="eastAsia"/>
                      <w:color w:val="auto"/>
                      <w:sz w:val="21"/>
                      <w:szCs w:val="21"/>
                      <w:vertAlign w:val="baseline"/>
                      <w:lang w:val="en-US" w:eastAsia="zh-CN"/>
                    </w:rPr>
                    <w:t>/</w:t>
                  </w:r>
                </w:p>
              </w:tc>
            </w:tr>
            <w:tr w14:paraId="151A5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Merge w:val="continue"/>
                  <w:vAlign w:val="center"/>
                </w:tcPr>
                <w:p w14:paraId="54FA1DA6">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vertAlign w:val="baseline"/>
                      <w:lang w:val="en-US" w:eastAsia="zh-CN"/>
                    </w:rPr>
                  </w:pPr>
                </w:p>
              </w:tc>
              <w:tc>
                <w:tcPr>
                  <w:tcW w:w="1009" w:type="pct"/>
                  <w:vMerge w:val="continue"/>
                  <w:vAlign w:val="center"/>
                </w:tcPr>
                <w:p w14:paraId="7B90DBA5">
                  <w:pPr>
                    <w:keepNext w:val="0"/>
                    <w:keepLines w:val="0"/>
                    <w:suppressLineNumbers w:val="0"/>
                    <w:spacing w:before="0" w:beforeAutospacing="0" w:after="0" w:afterAutospacing="0" w:line="240" w:lineRule="auto"/>
                    <w:ind w:left="0" w:leftChars="0" w:right="0" w:rightChars="0"/>
                    <w:jc w:val="center"/>
                    <w:rPr>
                      <w:rFonts w:hint="eastAsia"/>
                      <w:sz w:val="21"/>
                      <w:szCs w:val="21"/>
                      <w:vertAlign w:val="baseline"/>
                    </w:rPr>
                  </w:pPr>
                </w:p>
              </w:tc>
              <w:tc>
                <w:tcPr>
                  <w:tcW w:w="980" w:type="pct"/>
                  <w:vAlign w:val="center"/>
                </w:tcPr>
                <w:p w14:paraId="302D38D5">
                  <w:pPr>
                    <w:keepNext w:val="0"/>
                    <w:keepLines w:val="0"/>
                    <w:suppressLineNumbers w:val="0"/>
                    <w:spacing w:before="0" w:beforeAutospacing="0" w:after="0" w:afterAutospacing="0" w:line="240" w:lineRule="auto"/>
                    <w:ind w:left="0" w:leftChars="0" w:right="0" w:rightChars="0"/>
                    <w:jc w:val="center"/>
                    <w:rPr>
                      <w:rFonts w:hint="eastAsia"/>
                      <w:sz w:val="21"/>
                      <w:szCs w:val="21"/>
                      <w:vertAlign w:val="baseline"/>
                    </w:rPr>
                  </w:pPr>
                  <w:r>
                    <w:rPr>
                      <w:rFonts w:hint="eastAsia"/>
                      <w:sz w:val="21"/>
                      <w:szCs w:val="21"/>
                      <w:vertAlign w:val="baseline"/>
                    </w:rPr>
                    <w:t>雨水明沟</w:t>
                  </w:r>
                </w:p>
              </w:tc>
              <w:tc>
                <w:tcPr>
                  <w:tcW w:w="1927" w:type="pct"/>
                  <w:vAlign w:val="center"/>
                </w:tcPr>
                <w:p w14:paraId="09BBCD27">
                  <w:pPr>
                    <w:keepNext w:val="0"/>
                    <w:keepLines w:val="0"/>
                    <w:suppressLineNumbers w:val="0"/>
                    <w:spacing w:before="0" w:beforeAutospacing="0" w:after="0" w:afterAutospacing="0" w:line="240" w:lineRule="auto"/>
                    <w:ind w:left="0" w:leftChars="0" w:right="0" w:rightChars="0"/>
                    <w:jc w:val="left"/>
                    <w:rPr>
                      <w:rFonts w:hint="eastAsia"/>
                      <w:sz w:val="21"/>
                      <w:szCs w:val="21"/>
                      <w:vertAlign w:val="baseline"/>
                    </w:rPr>
                  </w:pPr>
                  <w:r>
                    <w:rPr>
                      <w:rFonts w:hint="eastAsia"/>
                      <w:sz w:val="21"/>
                      <w:szCs w:val="21"/>
                      <w:vertAlign w:val="baseline"/>
                    </w:rPr>
                    <w:t>接现有路面雨水后接入暗渠</w:t>
                  </w:r>
                </w:p>
              </w:tc>
              <w:tc>
                <w:tcPr>
                  <w:tcW w:w="811" w:type="pct"/>
                  <w:vAlign w:val="center"/>
                </w:tcPr>
                <w:p w14:paraId="3635A492">
                  <w:pPr>
                    <w:keepNext w:val="0"/>
                    <w:keepLines w:val="0"/>
                    <w:suppressLineNumbers w:val="0"/>
                    <w:spacing w:before="0" w:beforeAutospacing="0" w:after="0" w:afterAutospacing="0" w:line="240" w:lineRule="auto"/>
                    <w:ind w:left="0" w:leftChars="0" w:right="0" w:rightChars="0"/>
                    <w:jc w:val="center"/>
                    <w:rPr>
                      <w:rFonts w:hint="eastAsia"/>
                      <w:sz w:val="21"/>
                      <w:szCs w:val="21"/>
                      <w:vertAlign w:val="baseline"/>
                    </w:rPr>
                  </w:pPr>
                  <w:r>
                    <w:rPr>
                      <w:rFonts w:hint="eastAsia"/>
                      <w:color w:val="auto"/>
                      <w:sz w:val="21"/>
                      <w:szCs w:val="21"/>
                      <w:vertAlign w:val="baseline"/>
                      <w:lang w:val="en-US" w:eastAsia="zh-CN"/>
                    </w:rPr>
                    <w:t>/</w:t>
                  </w:r>
                </w:p>
              </w:tc>
            </w:tr>
            <w:tr w14:paraId="2EFA0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759366A5">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3</w:t>
                  </w:r>
                </w:p>
              </w:tc>
              <w:tc>
                <w:tcPr>
                  <w:tcW w:w="1009" w:type="pct"/>
                  <w:vAlign w:val="center"/>
                </w:tcPr>
                <w:p w14:paraId="14E0D88D">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sz w:val="21"/>
                      <w:szCs w:val="21"/>
                    </w:rPr>
                    <w:t>水产巷</w:t>
                  </w:r>
                </w:p>
              </w:tc>
              <w:tc>
                <w:tcPr>
                  <w:tcW w:w="980" w:type="pct"/>
                  <w:vAlign w:val="center"/>
                </w:tcPr>
                <w:p w14:paraId="776AC593">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雨水</w:t>
                  </w:r>
                  <w:r>
                    <w:rPr>
                      <w:rFonts w:hint="eastAsia"/>
                      <w:sz w:val="21"/>
                      <w:szCs w:val="21"/>
                      <w:vertAlign w:val="baseline"/>
                    </w:rPr>
                    <w:t>明</w:t>
                  </w:r>
                  <w:r>
                    <w:rPr>
                      <w:rFonts w:hint="eastAsia"/>
                      <w:color w:val="auto"/>
                      <w:sz w:val="21"/>
                      <w:szCs w:val="21"/>
                      <w:vertAlign w:val="baseline"/>
                    </w:rPr>
                    <w:t>沟</w:t>
                  </w:r>
                </w:p>
              </w:tc>
              <w:tc>
                <w:tcPr>
                  <w:tcW w:w="1927" w:type="pct"/>
                  <w:vAlign w:val="center"/>
                </w:tcPr>
                <w:p w14:paraId="30D4EBFD">
                  <w:pPr>
                    <w:keepNext w:val="0"/>
                    <w:keepLines w:val="0"/>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rPr>
                    <w:t>接入北正街主路箱涵</w:t>
                  </w:r>
                </w:p>
              </w:tc>
              <w:tc>
                <w:tcPr>
                  <w:tcW w:w="811" w:type="pct"/>
                  <w:vAlign w:val="center"/>
                </w:tcPr>
                <w:p w14:paraId="19ABEC8B">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lang w:val="en-US" w:eastAsia="zh-CN"/>
                    </w:rPr>
                    <w:t>/</w:t>
                  </w:r>
                </w:p>
              </w:tc>
            </w:tr>
            <w:tr w14:paraId="35C10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7D1AAD3C">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4</w:t>
                  </w:r>
                </w:p>
              </w:tc>
              <w:tc>
                <w:tcPr>
                  <w:tcW w:w="1009" w:type="pct"/>
                  <w:vAlign w:val="center"/>
                </w:tcPr>
                <w:p w14:paraId="29B3475A">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sz w:val="21"/>
                      <w:szCs w:val="21"/>
                    </w:rPr>
                    <w:t>西正街</w:t>
                  </w:r>
                </w:p>
              </w:tc>
              <w:tc>
                <w:tcPr>
                  <w:tcW w:w="980" w:type="pct"/>
                  <w:vAlign w:val="center"/>
                </w:tcPr>
                <w:p w14:paraId="45E4D7EA">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雨水</w:t>
                  </w:r>
                  <w:r>
                    <w:rPr>
                      <w:rFonts w:hint="eastAsia"/>
                      <w:sz w:val="21"/>
                      <w:szCs w:val="21"/>
                      <w:vertAlign w:val="baseline"/>
                    </w:rPr>
                    <w:t>明</w:t>
                  </w:r>
                  <w:r>
                    <w:rPr>
                      <w:rFonts w:hint="eastAsia"/>
                      <w:color w:val="auto"/>
                      <w:sz w:val="21"/>
                      <w:szCs w:val="21"/>
                      <w:vertAlign w:val="baseline"/>
                    </w:rPr>
                    <w:t>沟</w:t>
                  </w:r>
                </w:p>
              </w:tc>
              <w:tc>
                <w:tcPr>
                  <w:tcW w:w="1927" w:type="pct"/>
                  <w:vAlign w:val="center"/>
                </w:tcPr>
                <w:p w14:paraId="0FCD642C">
                  <w:pPr>
                    <w:keepNext w:val="0"/>
                    <w:keepLines w:val="0"/>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rPr>
                    <w:t>接入河西南路现有箱涵</w:t>
                  </w:r>
                </w:p>
              </w:tc>
              <w:tc>
                <w:tcPr>
                  <w:tcW w:w="811" w:type="pct"/>
                  <w:vAlign w:val="center"/>
                </w:tcPr>
                <w:p w14:paraId="6F43D3AF">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lang w:val="en-US" w:eastAsia="zh-CN"/>
                    </w:rPr>
                    <w:t>/</w:t>
                  </w:r>
                </w:p>
              </w:tc>
            </w:tr>
            <w:tr w14:paraId="613BE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44F775C8">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5</w:t>
                  </w:r>
                </w:p>
              </w:tc>
              <w:tc>
                <w:tcPr>
                  <w:tcW w:w="1009" w:type="pct"/>
                  <w:vAlign w:val="center"/>
                </w:tcPr>
                <w:p w14:paraId="10C2500D">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sz w:val="21"/>
                      <w:szCs w:val="21"/>
                    </w:rPr>
                    <w:t>长安一品</w:t>
                  </w:r>
                </w:p>
              </w:tc>
              <w:tc>
                <w:tcPr>
                  <w:tcW w:w="980" w:type="pct"/>
                  <w:vAlign w:val="center"/>
                </w:tcPr>
                <w:p w14:paraId="5F6BD1B8">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雨水</w:t>
                  </w:r>
                  <w:r>
                    <w:rPr>
                      <w:rFonts w:hint="eastAsia"/>
                      <w:sz w:val="21"/>
                      <w:szCs w:val="21"/>
                      <w:vertAlign w:val="baseline"/>
                    </w:rPr>
                    <w:t>明</w:t>
                  </w:r>
                  <w:r>
                    <w:rPr>
                      <w:rFonts w:hint="eastAsia"/>
                      <w:color w:val="auto"/>
                      <w:sz w:val="21"/>
                      <w:szCs w:val="21"/>
                      <w:vertAlign w:val="baseline"/>
                    </w:rPr>
                    <w:t>沟</w:t>
                  </w:r>
                </w:p>
              </w:tc>
              <w:tc>
                <w:tcPr>
                  <w:tcW w:w="1927" w:type="pct"/>
                  <w:vAlign w:val="center"/>
                </w:tcPr>
                <w:p w14:paraId="27ACBDC0">
                  <w:pPr>
                    <w:keepNext w:val="0"/>
                    <w:keepLines w:val="0"/>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rPr>
                    <w:t>接入麦坡路现有雨水管道</w:t>
                  </w:r>
                </w:p>
              </w:tc>
              <w:tc>
                <w:tcPr>
                  <w:tcW w:w="811" w:type="pct"/>
                  <w:vAlign w:val="center"/>
                </w:tcPr>
                <w:p w14:paraId="6DF54288">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lang w:val="en-US" w:eastAsia="zh-CN"/>
                    </w:rPr>
                    <w:t>/</w:t>
                  </w:r>
                </w:p>
              </w:tc>
            </w:tr>
            <w:tr w14:paraId="186CB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1BE095FA">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6</w:t>
                  </w:r>
                </w:p>
              </w:tc>
              <w:tc>
                <w:tcPr>
                  <w:tcW w:w="1009" w:type="pct"/>
                  <w:vAlign w:val="center"/>
                </w:tcPr>
                <w:p w14:paraId="356F4D8A">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杨田涵洞</w:t>
                  </w:r>
                </w:p>
              </w:tc>
              <w:tc>
                <w:tcPr>
                  <w:tcW w:w="980" w:type="pct"/>
                  <w:vAlign w:val="center"/>
                </w:tcPr>
                <w:p w14:paraId="331576C5">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雨水</w:t>
                  </w:r>
                  <w:r>
                    <w:rPr>
                      <w:rFonts w:hint="eastAsia"/>
                      <w:sz w:val="21"/>
                      <w:szCs w:val="21"/>
                      <w:vertAlign w:val="baseline"/>
                    </w:rPr>
                    <w:t>明</w:t>
                  </w:r>
                  <w:r>
                    <w:rPr>
                      <w:rFonts w:hint="eastAsia"/>
                      <w:color w:val="auto"/>
                      <w:sz w:val="21"/>
                      <w:szCs w:val="21"/>
                      <w:vertAlign w:val="baseline"/>
                    </w:rPr>
                    <w:t>沟</w:t>
                  </w:r>
                </w:p>
              </w:tc>
              <w:tc>
                <w:tcPr>
                  <w:tcW w:w="1927" w:type="pct"/>
                  <w:vAlign w:val="center"/>
                </w:tcPr>
                <w:p w14:paraId="2B098CB7">
                  <w:pPr>
                    <w:keepNext w:val="0"/>
                    <w:keepLines w:val="0"/>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rPr>
                    <w:t>沿河道排入长安河北侧汇流口</w:t>
                  </w:r>
                </w:p>
              </w:tc>
              <w:tc>
                <w:tcPr>
                  <w:tcW w:w="811" w:type="pct"/>
                  <w:vAlign w:val="center"/>
                </w:tcPr>
                <w:p w14:paraId="74075D80">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lang w:val="en-US" w:eastAsia="zh-CN"/>
                    </w:rPr>
                    <w:t>/</w:t>
                  </w:r>
                </w:p>
              </w:tc>
            </w:tr>
            <w:tr w14:paraId="2ED52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5893C0D9">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7</w:t>
                  </w:r>
                </w:p>
              </w:tc>
              <w:tc>
                <w:tcPr>
                  <w:tcW w:w="1009" w:type="pct"/>
                  <w:vAlign w:val="center"/>
                </w:tcPr>
                <w:p w14:paraId="66EBEEC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南正街</w:t>
                  </w:r>
                </w:p>
                <w:p w14:paraId="7A7D0F27">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华天宾馆</w:t>
                  </w:r>
                </w:p>
              </w:tc>
              <w:tc>
                <w:tcPr>
                  <w:tcW w:w="980" w:type="pct"/>
                  <w:vAlign w:val="center"/>
                </w:tcPr>
                <w:p w14:paraId="17E1E30B">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lang w:val="en-US" w:eastAsia="zh-CN"/>
                    </w:rPr>
                  </w:pPr>
                  <w:r>
                    <w:rPr>
                      <w:rFonts w:hint="eastAsia"/>
                      <w:color w:val="auto"/>
                      <w:sz w:val="21"/>
                      <w:szCs w:val="21"/>
                      <w:vertAlign w:val="baseline"/>
                    </w:rPr>
                    <w:t>雨水</w:t>
                  </w:r>
                  <w:r>
                    <w:rPr>
                      <w:rFonts w:hint="eastAsia"/>
                      <w:sz w:val="21"/>
                      <w:szCs w:val="21"/>
                      <w:vertAlign w:val="baseline"/>
                    </w:rPr>
                    <w:t>明</w:t>
                  </w:r>
                  <w:r>
                    <w:rPr>
                      <w:rFonts w:hint="eastAsia"/>
                      <w:color w:val="auto"/>
                      <w:sz w:val="21"/>
                      <w:szCs w:val="21"/>
                      <w:vertAlign w:val="baseline"/>
                    </w:rPr>
                    <w:t>沟</w:t>
                  </w:r>
                </w:p>
              </w:tc>
              <w:tc>
                <w:tcPr>
                  <w:tcW w:w="1927" w:type="pct"/>
                  <w:vAlign w:val="center"/>
                </w:tcPr>
                <w:p w14:paraId="0CAD3BC5">
                  <w:pPr>
                    <w:keepNext w:val="0"/>
                    <w:keepLines w:val="0"/>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rPr>
                    <w:t>接入周家巷雨水箱涵</w:t>
                  </w:r>
                </w:p>
              </w:tc>
              <w:tc>
                <w:tcPr>
                  <w:tcW w:w="811" w:type="pct"/>
                  <w:vAlign w:val="center"/>
                </w:tcPr>
                <w:p w14:paraId="56A1798C">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lang w:val="en-US" w:eastAsia="zh-CN"/>
                    </w:rPr>
                    <w:t>/</w:t>
                  </w:r>
                </w:p>
              </w:tc>
            </w:tr>
            <w:tr w14:paraId="0CCA0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36318515">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8</w:t>
                  </w:r>
                </w:p>
              </w:tc>
              <w:tc>
                <w:tcPr>
                  <w:tcW w:w="1009" w:type="pct"/>
                  <w:vAlign w:val="center"/>
                </w:tcPr>
                <w:p w14:paraId="7676E4A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城中南路</w:t>
                  </w:r>
                </w:p>
                <w:p w14:paraId="5154DA9E">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eastAsia="zh-CN"/>
                    </w:rPr>
                    <w:t>夏家巷</w:t>
                  </w:r>
                </w:p>
              </w:tc>
              <w:tc>
                <w:tcPr>
                  <w:tcW w:w="980" w:type="pct"/>
                  <w:vAlign w:val="center"/>
                </w:tcPr>
                <w:p w14:paraId="5E08D75C">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箱涵</w:t>
                  </w:r>
                </w:p>
              </w:tc>
              <w:tc>
                <w:tcPr>
                  <w:tcW w:w="1927" w:type="pct"/>
                  <w:vAlign w:val="center"/>
                </w:tcPr>
                <w:p w14:paraId="72D48D5A">
                  <w:pPr>
                    <w:keepNext w:val="0"/>
                    <w:keepLines w:val="0"/>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rPr>
                    <w:t>接入路中雨水主涵</w:t>
                  </w:r>
                </w:p>
              </w:tc>
              <w:tc>
                <w:tcPr>
                  <w:tcW w:w="811" w:type="pct"/>
                  <w:vAlign w:val="center"/>
                </w:tcPr>
                <w:p w14:paraId="27BA5015">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lang w:val="en-US" w:eastAsia="zh-CN"/>
                    </w:rPr>
                    <w:t>/</w:t>
                  </w:r>
                </w:p>
              </w:tc>
            </w:tr>
            <w:tr w14:paraId="05D29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Merge w:val="restart"/>
                  <w:vAlign w:val="center"/>
                </w:tcPr>
                <w:p w14:paraId="43A1171F">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9</w:t>
                  </w:r>
                </w:p>
              </w:tc>
              <w:tc>
                <w:tcPr>
                  <w:tcW w:w="1009" w:type="pct"/>
                  <w:vMerge w:val="restart"/>
                  <w:vAlign w:val="center"/>
                </w:tcPr>
                <w:p w14:paraId="33F94C53">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eastAsia="zh-CN"/>
                    </w:rPr>
                    <w:t>学院路</w:t>
                  </w:r>
                </w:p>
              </w:tc>
              <w:tc>
                <w:tcPr>
                  <w:tcW w:w="980" w:type="pct"/>
                  <w:vAlign w:val="center"/>
                </w:tcPr>
                <w:p w14:paraId="04F75C6C">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雨水</w:t>
                  </w:r>
                  <w:r>
                    <w:rPr>
                      <w:rFonts w:hint="eastAsia"/>
                      <w:sz w:val="21"/>
                      <w:szCs w:val="21"/>
                      <w:vertAlign w:val="baseline"/>
                    </w:rPr>
                    <w:t>明</w:t>
                  </w:r>
                  <w:r>
                    <w:rPr>
                      <w:rFonts w:hint="eastAsia"/>
                      <w:color w:val="auto"/>
                      <w:sz w:val="21"/>
                      <w:szCs w:val="21"/>
                      <w:vertAlign w:val="baseline"/>
                    </w:rPr>
                    <w:t>沟</w:t>
                  </w:r>
                </w:p>
              </w:tc>
              <w:tc>
                <w:tcPr>
                  <w:tcW w:w="1927" w:type="pct"/>
                  <w:vAlign w:val="center"/>
                </w:tcPr>
                <w:p w14:paraId="1ADCF586">
                  <w:pPr>
                    <w:keepNext w:val="0"/>
                    <w:keepLines w:val="0"/>
                    <w:suppressLineNumbers w:val="0"/>
                    <w:spacing w:before="0" w:beforeAutospacing="0" w:after="0" w:afterAutospacing="0" w:line="240" w:lineRule="auto"/>
                    <w:ind w:left="0" w:leftChars="0" w:right="0" w:rightChars="0"/>
                    <w:jc w:val="left"/>
                    <w:rPr>
                      <w:rFonts w:hint="eastAsia"/>
                      <w:color w:val="auto"/>
                      <w:sz w:val="21"/>
                      <w:szCs w:val="21"/>
                      <w:vertAlign w:val="baseline"/>
                    </w:rPr>
                  </w:pPr>
                  <w:r>
                    <w:rPr>
                      <w:rFonts w:hint="eastAsia"/>
                      <w:color w:val="auto"/>
                      <w:sz w:val="21"/>
                      <w:szCs w:val="21"/>
                      <w:vertAlign w:val="baseline"/>
                    </w:rPr>
                    <w:t>接入107国道雨水管网</w:t>
                  </w:r>
                </w:p>
              </w:tc>
              <w:tc>
                <w:tcPr>
                  <w:tcW w:w="811" w:type="pct"/>
                  <w:vAlign w:val="center"/>
                </w:tcPr>
                <w:p w14:paraId="06C4632C">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lang w:val="en-US" w:eastAsia="zh-CN"/>
                    </w:rPr>
                    <w:t>/</w:t>
                  </w:r>
                </w:p>
              </w:tc>
            </w:tr>
            <w:tr w14:paraId="62DC5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Merge w:val="continue"/>
                  <w:vAlign w:val="center"/>
                </w:tcPr>
                <w:p w14:paraId="0E6A1A99">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vertAlign w:val="baseline"/>
                      <w:lang w:val="en-US" w:eastAsia="zh-CN"/>
                    </w:rPr>
                  </w:pPr>
                </w:p>
              </w:tc>
              <w:tc>
                <w:tcPr>
                  <w:tcW w:w="1009" w:type="pct"/>
                  <w:vMerge w:val="continue"/>
                  <w:vAlign w:val="center"/>
                </w:tcPr>
                <w:p w14:paraId="5972345F">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p>
              </w:tc>
              <w:tc>
                <w:tcPr>
                  <w:tcW w:w="980" w:type="pct"/>
                  <w:vAlign w:val="center"/>
                </w:tcPr>
                <w:p w14:paraId="0745758D">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none"/>
                      <w:vertAlign w:val="baseline"/>
                    </w:rPr>
                  </w:pPr>
                  <w:r>
                    <w:rPr>
                      <w:rFonts w:hint="eastAsia"/>
                      <w:color w:val="auto"/>
                      <w:sz w:val="21"/>
                      <w:szCs w:val="21"/>
                      <w:highlight w:val="none"/>
                      <w:vertAlign w:val="baseline"/>
                    </w:rPr>
                    <w:t>污水管</w:t>
                  </w:r>
                </w:p>
              </w:tc>
              <w:tc>
                <w:tcPr>
                  <w:tcW w:w="1927" w:type="pct"/>
                  <w:vAlign w:val="center"/>
                </w:tcPr>
                <w:p w14:paraId="0F6F111B">
                  <w:pPr>
                    <w:keepNext w:val="0"/>
                    <w:keepLines w:val="0"/>
                    <w:suppressLineNumbers w:val="0"/>
                    <w:spacing w:before="0" w:beforeAutospacing="0" w:after="0" w:afterAutospacing="0" w:line="240" w:lineRule="auto"/>
                    <w:ind w:left="0" w:leftChars="0" w:right="0" w:rightChars="0"/>
                    <w:jc w:val="left"/>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811" w:type="pct"/>
                  <w:vAlign w:val="center"/>
                </w:tcPr>
                <w:p w14:paraId="1A32BBBE">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yellow"/>
                      <w:vertAlign w:val="baseline"/>
                      <w:lang w:val="en-US" w:eastAsia="zh-CN"/>
                    </w:rPr>
                  </w:pPr>
                  <w:r>
                    <w:rPr>
                      <w:rFonts w:hint="eastAsia"/>
                      <w:color w:val="auto"/>
                      <w:sz w:val="21"/>
                      <w:szCs w:val="21"/>
                      <w:vertAlign w:val="baseline"/>
                      <w:lang w:val="en-US" w:eastAsia="zh-CN"/>
                    </w:rPr>
                    <w:t>/</w:t>
                  </w:r>
                </w:p>
              </w:tc>
            </w:tr>
            <w:tr w14:paraId="49926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72DC210E">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10</w:t>
                  </w:r>
                </w:p>
              </w:tc>
              <w:tc>
                <w:tcPr>
                  <w:tcW w:w="1009" w:type="pct"/>
                  <w:vAlign w:val="center"/>
                </w:tcPr>
                <w:p w14:paraId="621B9DBD">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eastAsia="zh-CN"/>
                    </w:rPr>
                    <w:t>荷花路</w:t>
                  </w:r>
                </w:p>
              </w:tc>
              <w:tc>
                <w:tcPr>
                  <w:tcW w:w="980" w:type="pct"/>
                  <w:vAlign w:val="center"/>
                </w:tcPr>
                <w:p w14:paraId="30820778">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DN1000雨水管</w:t>
                  </w:r>
                </w:p>
              </w:tc>
              <w:tc>
                <w:tcPr>
                  <w:tcW w:w="1927" w:type="pct"/>
                  <w:vAlign w:val="center"/>
                </w:tcPr>
                <w:p w14:paraId="44E41020">
                  <w:pPr>
                    <w:keepNext w:val="0"/>
                    <w:keepLines w:val="0"/>
                    <w:suppressLineNumbers w:val="0"/>
                    <w:spacing w:before="0" w:beforeAutospacing="0" w:after="0" w:afterAutospacing="0" w:line="240" w:lineRule="auto"/>
                    <w:ind w:left="0" w:leftChars="0" w:right="0" w:rightChars="0"/>
                    <w:jc w:val="left"/>
                    <w:rPr>
                      <w:rFonts w:hint="eastAsia"/>
                      <w:color w:val="auto"/>
                      <w:sz w:val="21"/>
                      <w:szCs w:val="21"/>
                      <w:vertAlign w:val="baseline"/>
                    </w:rPr>
                  </w:pPr>
                  <w:r>
                    <w:rPr>
                      <w:rFonts w:hint="eastAsia"/>
                      <w:color w:val="auto"/>
                      <w:sz w:val="21"/>
                      <w:szCs w:val="21"/>
                      <w:vertAlign w:val="baseline"/>
                    </w:rPr>
                    <w:t>排入长安东路雨水主涵</w:t>
                  </w:r>
                </w:p>
              </w:tc>
              <w:tc>
                <w:tcPr>
                  <w:tcW w:w="811" w:type="pct"/>
                  <w:vAlign w:val="center"/>
                </w:tcPr>
                <w:p w14:paraId="5FA5225D">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lang w:val="en-US" w:eastAsia="zh-CN"/>
                    </w:rPr>
                    <w:t>/</w:t>
                  </w:r>
                </w:p>
              </w:tc>
            </w:tr>
            <w:tr w14:paraId="27D58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59840F91">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11</w:t>
                  </w:r>
                </w:p>
              </w:tc>
              <w:tc>
                <w:tcPr>
                  <w:tcW w:w="1009" w:type="pct"/>
                  <w:vAlign w:val="center"/>
                </w:tcPr>
                <w:p w14:paraId="15B857E7">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eastAsia="zh-CN"/>
                    </w:rPr>
                    <w:t>金桥路</w:t>
                  </w:r>
                </w:p>
              </w:tc>
              <w:tc>
                <w:tcPr>
                  <w:tcW w:w="980" w:type="pct"/>
                  <w:vAlign w:val="center"/>
                </w:tcPr>
                <w:p w14:paraId="5922B007">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雨水</w:t>
                  </w:r>
                  <w:r>
                    <w:rPr>
                      <w:rFonts w:hint="eastAsia"/>
                      <w:sz w:val="21"/>
                      <w:szCs w:val="21"/>
                      <w:vertAlign w:val="baseline"/>
                    </w:rPr>
                    <w:t>明</w:t>
                  </w:r>
                  <w:r>
                    <w:rPr>
                      <w:rFonts w:hint="eastAsia"/>
                      <w:color w:val="auto"/>
                      <w:sz w:val="21"/>
                      <w:szCs w:val="21"/>
                      <w:vertAlign w:val="baseline"/>
                    </w:rPr>
                    <w:t>沟</w:t>
                  </w:r>
                </w:p>
              </w:tc>
              <w:tc>
                <w:tcPr>
                  <w:tcW w:w="1927" w:type="pct"/>
                  <w:vAlign w:val="center"/>
                </w:tcPr>
                <w:p w14:paraId="1528F022">
                  <w:pPr>
                    <w:keepNext w:val="0"/>
                    <w:keepLines w:val="0"/>
                    <w:suppressLineNumbers w:val="0"/>
                    <w:spacing w:before="0" w:beforeAutospacing="0" w:after="0" w:afterAutospacing="0" w:line="240" w:lineRule="auto"/>
                    <w:ind w:left="0" w:leftChars="0" w:right="0" w:rightChars="0"/>
                    <w:jc w:val="left"/>
                    <w:rPr>
                      <w:rFonts w:hint="eastAsia"/>
                      <w:color w:val="auto"/>
                      <w:sz w:val="21"/>
                      <w:szCs w:val="21"/>
                      <w:vertAlign w:val="baseline"/>
                    </w:rPr>
                  </w:pPr>
                  <w:r>
                    <w:rPr>
                      <w:rFonts w:hint="eastAsia"/>
                      <w:color w:val="auto"/>
                      <w:sz w:val="21"/>
                      <w:szCs w:val="21"/>
                      <w:vertAlign w:val="baseline"/>
                    </w:rPr>
                    <w:t>长安东路雨水主涵</w:t>
                  </w:r>
                </w:p>
              </w:tc>
              <w:tc>
                <w:tcPr>
                  <w:tcW w:w="811" w:type="pct"/>
                  <w:vAlign w:val="center"/>
                </w:tcPr>
                <w:p w14:paraId="170359F3">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lang w:val="en-US" w:eastAsia="zh-CN"/>
                    </w:rPr>
                    <w:t>/</w:t>
                  </w:r>
                </w:p>
              </w:tc>
            </w:tr>
            <w:tr w14:paraId="0D495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4181F4DB">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12</w:t>
                  </w:r>
                </w:p>
              </w:tc>
              <w:tc>
                <w:tcPr>
                  <w:tcW w:w="1009" w:type="pct"/>
                  <w:vAlign w:val="center"/>
                </w:tcPr>
                <w:p w14:paraId="170247F3">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eastAsia="zh-CN"/>
                    </w:rPr>
                    <w:t>新一中</w:t>
                  </w:r>
                </w:p>
              </w:tc>
              <w:tc>
                <w:tcPr>
                  <w:tcW w:w="980" w:type="pct"/>
                  <w:vAlign w:val="center"/>
                </w:tcPr>
                <w:p w14:paraId="06089B8F">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none"/>
                      <w:vertAlign w:val="baseline"/>
                    </w:rPr>
                  </w:pPr>
                  <w:r>
                    <w:rPr>
                      <w:rFonts w:hint="eastAsia"/>
                      <w:color w:val="auto"/>
                      <w:sz w:val="21"/>
                      <w:szCs w:val="21"/>
                      <w:highlight w:val="none"/>
                      <w:vertAlign w:val="baseline"/>
                    </w:rPr>
                    <w:t>DN300管道</w:t>
                  </w:r>
                </w:p>
              </w:tc>
              <w:tc>
                <w:tcPr>
                  <w:tcW w:w="1927" w:type="pct"/>
                  <w:vAlign w:val="center"/>
                </w:tcPr>
                <w:p w14:paraId="4CD9E904">
                  <w:pPr>
                    <w:keepNext w:val="0"/>
                    <w:keepLines w:val="0"/>
                    <w:suppressLineNumbers w:val="0"/>
                    <w:spacing w:before="0" w:beforeAutospacing="0" w:after="0" w:afterAutospacing="0" w:line="240" w:lineRule="auto"/>
                    <w:ind w:left="0" w:leftChars="0" w:right="0" w:rightChars="0"/>
                    <w:jc w:val="left"/>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811" w:type="pct"/>
                  <w:vAlign w:val="center"/>
                </w:tcPr>
                <w:p w14:paraId="0D02EF81">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yellow"/>
                      <w:vertAlign w:val="baseline"/>
                      <w:lang w:val="en-US" w:eastAsia="zh-CN"/>
                    </w:rPr>
                  </w:pPr>
                  <w:r>
                    <w:rPr>
                      <w:rFonts w:hint="eastAsia"/>
                      <w:color w:val="auto"/>
                      <w:sz w:val="21"/>
                      <w:szCs w:val="21"/>
                      <w:highlight w:val="none"/>
                      <w:vertAlign w:val="baseline"/>
                    </w:rPr>
                    <w:t>新增10个雨水箅子</w:t>
                  </w:r>
                </w:p>
              </w:tc>
            </w:tr>
            <w:tr w14:paraId="33FD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74637D40">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13</w:t>
                  </w:r>
                </w:p>
              </w:tc>
              <w:tc>
                <w:tcPr>
                  <w:tcW w:w="1009" w:type="pct"/>
                  <w:vAlign w:val="center"/>
                </w:tcPr>
                <w:p w14:paraId="0B010AAB">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eastAsia="zh-CN"/>
                    </w:rPr>
                    <w:t>三完小</w:t>
                  </w:r>
                </w:p>
              </w:tc>
              <w:tc>
                <w:tcPr>
                  <w:tcW w:w="980" w:type="pct"/>
                  <w:vAlign w:val="center"/>
                </w:tcPr>
                <w:p w14:paraId="316AFC6C">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none"/>
                      <w:vertAlign w:val="baseline"/>
                    </w:rPr>
                  </w:pPr>
                  <w:r>
                    <w:rPr>
                      <w:rFonts w:hint="eastAsia"/>
                      <w:color w:val="auto"/>
                      <w:sz w:val="21"/>
                      <w:szCs w:val="21"/>
                      <w:highlight w:val="none"/>
                      <w:vertAlign w:val="baseline"/>
                    </w:rPr>
                    <w:t>雨水</w:t>
                  </w:r>
                  <w:r>
                    <w:rPr>
                      <w:rFonts w:hint="eastAsia"/>
                      <w:sz w:val="21"/>
                      <w:szCs w:val="21"/>
                      <w:highlight w:val="none"/>
                      <w:vertAlign w:val="baseline"/>
                    </w:rPr>
                    <w:t>明</w:t>
                  </w:r>
                  <w:r>
                    <w:rPr>
                      <w:rFonts w:hint="eastAsia"/>
                      <w:color w:val="auto"/>
                      <w:sz w:val="21"/>
                      <w:szCs w:val="21"/>
                      <w:highlight w:val="none"/>
                      <w:vertAlign w:val="baseline"/>
                    </w:rPr>
                    <w:t>沟</w:t>
                  </w:r>
                </w:p>
              </w:tc>
              <w:tc>
                <w:tcPr>
                  <w:tcW w:w="1927" w:type="pct"/>
                  <w:vAlign w:val="center"/>
                </w:tcPr>
                <w:p w14:paraId="4AB1D9C0">
                  <w:pPr>
                    <w:keepNext w:val="0"/>
                    <w:keepLines w:val="0"/>
                    <w:suppressLineNumbers w:val="0"/>
                    <w:spacing w:before="0" w:beforeAutospacing="0" w:after="0" w:afterAutospacing="0" w:line="240" w:lineRule="auto"/>
                    <w:ind w:left="0" w:leftChars="0" w:right="0" w:rightChars="0"/>
                    <w:jc w:val="left"/>
                    <w:rPr>
                      <w:rFonts w:hint="eastAsia"/>
                      <w:color w:val="auto"/>
                      <w:sz w:val="21"/>
                      <w:szCs w:val="21"/>
                      <w:highlight w:val="none"/>
                      <w:vertAlign w:val="baseline"/>
                    </w:rPr>
                  </w:pPr>
                  <w:r>
                    <w:rPr>
                      <w:rFonts w:hint="eastAsia"/>
                      <w:color w:val="auto"/>
                      <w:sz w:val="21"/>
                      <w:szCs w:val="21"/>
                      <w:highlight w:val="none"/>
                      <w:vertAlign w:val="baseline"/>
                      <w:lang w:val="en-US" w:eastAsia="zh-CN"/>
                    </w:rPr>
                    <w:t>/</w:t>
                  </w:r>
                </w:p>
              </w:tc>
              <w:tc>
                <w:tcPr>
                  <w:tcW w:w="811" w:type="pct"/>
                  <w:vAlign w:val="center"/>
                </w:tcPr>
                <w:p w14:paraId="12668213">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highlight w:val="none"/>
                      <w:vertAlign w:val="baseline"/>
                    </w:rPr>
                  </w:pPr>
                  <w:r>
                    <w:rPr>
                      <w:rFonts w:hint="eastAsia"/>
                      <w:color w:val="auto"/>
                      <w:sz w:val="21"/>
                      <w:szCs w:val="21"/>
                      <w:vertAlign w:val="baseline"/>
                      <w:lang w:val="en-US" w:eastAsia="zh-CN"/>
                    </w:rPr>
                    <w:t>/</w:t>
                  </w:r>
                </w:p>
              </w:tc>
            </w:tr>
            <w:tr w14:paraId="5A396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Merge w:val="restart"/>
                  <w:vAlign w:val="center"/>
                </w:tcPr>
                <w:p w14:paraId="30CADAF9">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14</w:t>
                  </w:r>
                </w:p>
              </w:tc>
              <w:tc>
                <w:tcPr>
                  <w:tcW w:w="1009" w:type="pct"/>
                  <w:vMerge w:val="restart"/>
                  <w:vAlign w:val="center"/>
                </w:tcPr>
                <w:p w14:paraId="2A2AFBB3">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eastAsia="zh-CN"/>
                    </w:rPr>
                    <w:t>南太路肖家畈</w:t>
                  </w:r>
                </w:p>
              </w:tc>
              <w:tc>
                <w:tcPr>
                  <w:tcW w:w="980" w:type="pct"/>
                  <w:vAlign w:val="center"/>
                </w:tcPr>
                <w:p w14:paraId="673C6C4A">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雨水</w:t>
                  </w:r>
                  <w:r>
                    <w:rPr>
                      <w:rFonts w:hint="eastAsia"/>
                      <w:sz w:val="21"/>
                      <w:szCs w:val="21"/>
                      <w:vertAlign w:val="baseline"/>
                    </w:rPr>
                    <w:t>明</w:t>
                  </w:r>
                  <w:r>
                    <w:rPr>
                      <w:rFonts w:hint="eastAsia"/>
                      <w:color w:val="auto"/>
                      <w:sz w:val="21"/>
                      <w:szCs w:val="21"/>
                      <w:vertAlign w:val="baseline"/>
                    </w:rPr>
                    <w:t>沟</w:t>
                  </w:r>
                </w:p>
              </w:tc>
              <w:tc>
                <w:tcPr>
                  <w:tcW w:w="1927" w:type="pct"/>
                  <w:vAlign w:val="center"/>
                </w:tcPr>
                <w:p w14:paraId="7ECEC977">
                  <w:pPr>
                    <w:keepNext w:val="0"/>
                    <w:keepLines w:val="0"/>
                    <w:suppressLineNumbers w:val="0"/>
                    <w:spacing w:before="0" w:beforeAutospacing="0" w:after="0" w:afterAutospacing="0" w:line="240" w:lineRule="auto"/>
                    <w:ind w:left="0" w:leftChars="0" w:right="0" w:rightChars="0"/>
                    <w:jc w:val="left"/>
                    <w:rPr>
                      <w:rFonts w:hint="eastAsia"/>
                      <w:color w:val="auto"/>
                      <w:sz w:val="21"/>
                      <w:szCs w:val="21"/>
                      <w:vertAlign w:val="baseline"/>
                    </w:rPr>
                  </w:pPr>
                  <w:r>
                    <w:rPr>
                      <w:rFonts w:hint="eastAsia"/>
                      <w:color w:val="auto"/>
                      <w:sz w:val="21"/>
                      <w:szCs w:val="21"/>
                      <w:vertAlign w:val="baseline"/>
                    </w:rPr>
                    <w:t>接入现有南太路暗涵</w:t>
                  </w:r>
                </w:p>
              </w:tc>
              <w:tc>
                <w:tcPr>
                  <w:tcW w:w="811" w:type="pct"/>
                  <w:vMerge w:val="restart"/>
                  <w:vAlign w:val="center"/>
                </w:tcPr>
                <w:p w14:paraId="10133D85">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达到雨污分流目标，解决现有黑臭水体问题</w:t>
                  </w:r>
                </w:p>
              </w:tc>
            </w:tr>
            <w:tr w14:paraId="0F4EF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9" w:hRule="atLeast"/>
              </w:trPr>
              <w:tc>
                <w:tcPr>
                  <w:tcW w:w="271" w:type="pct"/>
                  <w:vMerge w:val="continue"/>
                  <w:vAlign w:val="center"/>
                </w:tcPr>
                <w:p w14:paraId="2969BEDD">
                  <w:pPr>
                    <w:keepNext w:val="0"/>
                    <w:keepLines w:val="0"/>
                    <w:numPr>
                      <w:ilvl w:val="0"/>
                      <w:numId w:val="0"/>
                    </w:numPr>
                    <w:suppressLineNumbers w:val="0"/>
                    <w:spacing w:before="0" w:beforeAutospacing="0" w:after="0" w:afterAutospacing="0" w:line="240" w:lineRule="auto"/>
                    <w:ind w:left="0" w:right="0"/>
                    <w:jc w:val="center"/>
                    <w:rPr>
                      <w:rFonts w:hint="eastAsia" w:ascii="Times New Roman" w:hAnsi="Times New Roman" w:eastAsia="宋体" w:cs="Times New Roman"/>
                      <w:b w:val="0"/>
                      <w:bCs w:val="0"/>
                      <w:sz w:val="21"/>
                      <w:szCs w:val="21"/>
                      <w:vertAlign w:val="baseline"/>
                      <w:lang w:val="en-US" w:eastAsia="zh-CN"/>
                    </w:rPr>
                  </w:pPr>
                </w:p>
              </w:tc>
              <w:tc>
                <w:tcPr>
                  <w:tcW w:w="1009" w:type="pct"/>
                  <w:vMerge w:val="continue"/>
                  <w:vAlign w:val="center"/>
                </w:tcPr>
                <w:p w14:paraId="0453D23E">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p>
              </w:tc>
              <w:tc>
                <w:tcPr>
                  <w:tcW w:w="980" w:type="pct"/>
                  <w:vAlign w:val="center"/>
                </w:tcPr>
                <w:p w14:paraId="722D11EA">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DN300污水管</w:t>
                  </w:r>
                </w:p>
              </w:tc>
              <w:tc>
                <w:tcPr>
                  <w:tcW w:w="1927" w:type="pct"/>
                  <w:vAlign w:val="center"/>
                </w:tcPr>
                <w:p w14:paraId="4AAC02B9">
                  <w:pPr>
                    <w:keepNext w:val="0"/>
                    <w:keepLines w:val="0"/>
                    <w:suppressLineNumbers w:val="0"/>
                    <w:spacing w:before="0" w:beforeAutospacing="0" w:after="0" w:afterAutospacing="0" w:line="240" w:lineRule="auto"/>
                    <w:ind w:left="0" w:leftChars="0" w:right="0" w:rightChars="0"/>
                    <w:jc w:val="left"/>
                    <w:rPr>
                      <w:rFonts w:hint="eastAsia"/>
                      <w:color w:val="auto"/>
                      <w:sz w:val="21"/>
                      <w:szCs w:val="21"/>
                      <w:vertAlign w:val="baseline"/>
                    </w:rPr>
                  </w:pPr>
                  <w:r>
                    <w:rPr>
                      <w:rFonts w:hint="eastAsia"/>
                      <w:color w:val="auto"/>
                      <w:sz w:val="21"/>
                      <w:szCs w:val="21"/>
                      <w:vertAlign w:val="baseline"/>
                    </w:rPr>
                    <w:t>接入主路已建污水主管网</w:t>
                  </w:r>
                </w:p>
              </w:tc>
              <w:tc>
                <w:tcPr>
                  <w:tcW w:w="811" w:type="pct"/>
                  <w:vMerge w:val="continue"/>
                  <w:vAlign w:val="center"/>
                </w:tcPr>
                <w:p w14:paraId="2EC2BF48">
                  <w:pPr>
                    <w:keepNext w:val="0"/>
                    <w:keepLines w:val="0"/>
                    <w:suppressLineNumbers w:val="0"/>
                    <w:spacing w:before="0" w:beforeAutospacing="0" w:after="0" w:afterAutospacing="0" w:line="240" w:lineRule="auto"/>
                    <w:ind w:left="0" w:leftChars="0" w:right="0" w:rightChars="0"/>
                    <w:jc w:val="left"/>
                    <w:rPr>
                      <w:rFonts w:hint="eastAsia"/>
                      <w:color w:val="auto"/>
                      <w:sz w:val="21"/>
                      <w:szCs w:val="21"/>
                      <w:vertAlign w:val="baseline"/>
                    </w:rPr>
                  </w:pPr>
                </w:p>
              </w:tc>
            </w:tr>
            <w:tr w14:paraId="11576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7F88C2FE">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15</w:t>
                  </w:r>
                </w:p>
              </w:tc>
              <w:tc>
                <w:tcPr>
                  <w:tcW w:w="1009" w:type="pct"/>
                  <w:vAlign w:val="center"/>
                </w:tcPr>
                <w:p w14:paraId="7B336904">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eastAsia="zh-CN"/>
                    </w:rPr>
                    <w:t>石咀内涝点</w:t>
                  </w:r>
                </w:p>
              </w:tc>
              <w:tc>
                <w:tcPr>
                  <w:tcW w:w="980" w:type="pct"/>
                  <w:vAlign w:val="center"/>
                </w:tcPr>
                <w:p w14:paraId="39D628AF">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雨水</w:t>
                  </w:r>
                  <w:r>
                    <w:rPr>
                      <w:rFonts w:hint="eastAsia"/>
                      <w:sz w:val="21"/>
                      <w:szCs w:val="21"/>
                      <w:vertAlign w:val="baseline"/>
                    </w:rPr>
                    <w:t>明</w:t>
                  </w:r>
                  <w:r>
                    <w:rPr>
                      <w:rFonts w:hint="eastAsia"/>
                      <w:color w:val="auto"/>
                      <w:sz w:val="21"/>
                      <w:szCs w:val="21"/>
                      <w:vertAlign w:val="baseline"/>
                    </w:rPr>
                    <w:t>沟</w:t>
                  </w:r>
                </w:p>
              </w:tc>
              <w:tc>
                <w:tcPr>
                  <w:tcW w:w="1927" w:type="pct"/>
                  <w:vAlign w:val="center"/>
                </w:tcPr>
                <w:p w14:paraId="1B8C8979">
                  <w:pPr>
                    <w:keepNext w:val="0"/>
                    <w:keepLines w:val="0"/>
                    <w:suppressLineNumbers w:val="0"/>
                    <w:spacing w:before="0" w:beforeAutospacing="0" w:after="0" w:afterAutospacing="0" w:line="240" w:lineRule="auto"/>
                    <w:ind w:left="0" w:leftChars="0" w:right="0" w:rightChars="0"/>
                    <w:jc w:val="left"/>
                    <w:rPr>
                      <w:rFonts w:hint="eastAsia"/>
                      <w:color w:val="auto"/>
                      <w:sz w:val="21"/>
                      <w:szCs w:val="21"/>
                      <w:vertAlign w:val="baseline"/>
                    </w:rPr>
                  </w:pPr>
                  <w:r>
                    <w:rPr>
                      <w:rFonts w:hint="eastAsia"/>
                      <w:color w:val="auto"/>
                      <w:sz w:val="21"/>
                      <w:szCs w:val="21"/>
                      <w:vertAlign w:val="baseline"/>
                    </w:rPr>
                    <w:t>排入河道</w:t>
                  </w:r>
                </w:p>
              </w:tc>
              <w:tc>
                <w:tcPr>
                  <w:tcW w:w="811" w:type="pct"/>
                  <w:vAlign w:val="center"/>
                </w:tcPr>
                <w:p w14:paraId="1D5C0EB5">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新建一体化提升泵</w:t>
                  </w:r>
                </w:p>
              </w:tc>
            </w:tr>
            <w:tr w14:paraId="1B731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799B326F">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16</w:t>
                  </w:r>
                </w:p>
              </w:tc>
              <w:tc>
                <w:tcPr>
                  <w:tcW w:w="1009" w:type="pct"/>
                  <w:vAlign w:val="center"/>
                </w:tcPr>
                <w:p w14:paraId="60F553FD">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eastAsia="zh-CN"/>
                    </w:rPr>
                    <w:t>工业园</w:t>
                  </w:r>
                </w:p>
              </w:tc>
              <w:tc>
                <w:tcPr>
                  <w:tcW w:w="980" w:type="pct"/>
                  <w:vAlign w:val="center"/>
                </w:tcPr>
                <w:p w14:paraId="6650442F">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rPr>
                    <w:t>雨水</w:t>
                  </w:r>
                  <w:r>
                    <w:rPr>
                      <w:rFonts w:hint="eastAsia"/>
                      <w:sz w:val="21"/>
                      <w:szCs w:val="21"/>
                      <w:vertAlign w:val="baseline"/>
                    </w:rPr>
                    <w:t>明</w:t>
                  </w:r>
                  <w:r>
                    <w:rPr>
                      <w:rFonts w:hint="eastAsia"/>
                      <w:color w:val="auto"/>
                      <w:sz w:val="21"/>
                      <w:szCs w:val="21"/>
                      <w:vertAlign w:val="baseline"/>
                    </w:rPr>
                    <w:t>沟</w:t>
                  </w:r>
                </w:p>
              </w:tc>
              <w:tc>
                <w:tcPr>
                  <w:tcW w:w="1927" w:type="pct"/>
                  <w:vAlign w:val="center"/>
                </w:tcPr>
                <w:p w14:paraId="4BBEAFE2">
                  <w:pPr>
                    <w:keepNext w:val="0"/>
                    <w:keepLines w:val="0"/>
                    <w:suppressLineNumbers w:val="0"/>
                    <w:spacing w:before="0" w:beforeAutospacing="0" w:after="0" w:afterAutospacing="0" w:line="240" w:lineRule="auto"/>
                    <w:ind w:left="0" w:leftChars="0" w:right="0" w:rightChars="0"/>
                    <w:jc w:val="left"/>
                    <w:rPr>
                      <w:rFonts w:hint="eastAsia"/>
                      <w:color w:val="auto"/>
                      <w:sz w:val="21"/>
                      <w:szCs w:val="21"/>
                      <w:vertAlign w:val="baseline"/>
                    </w:rPr>
                  </w:pPr>
                  <w:r>
                    <w:rPr>
                      <w:rFonts w:hint="eastAsia"/>
                      <w:color w:val="auto"/>
                      <w:sz w:val="21"/>
                      <w:szCs w:val="21"/>
                      <w:vertAlign w:val="baseline"/>
                    </w:rPr>
                    <w:t>接入南侧现有雨水沟</w:t>
                  </w:r>
                </w:p>
              </w:tc>
              <w:tc>
                <w:tcPr>
                  <w:tcW w:w="811" w:type="pct"/>
                  <w:vAlign w:val="center"/>
                </w:tcPr>
                <w:p w14:paraId="169DB55C">
                  <w:pPr>
                    <w:keepNext w:val="0"/>
                    <w:keepLines w:val="0"/>
                    <w:suppressLineNumbers w:val="0"/>
                    <w:spacing w:before="0" w:beforeAutospacing="0" w:after="0" w:afterAutospacing="0" w:line="240" w:lineRule="auto"/>
                    <w:ind w:left="0" w:leftChars="0" w:right="0" w:rightChars="0"/>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w:t>
                  </w:r>
                </w:p>
              </w:tc>
            </w:tr>
            <w:tr w14:paraId="69AE5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271" w:type="pct"/>
                  <w:vAlign w:val="center"/>
                </w:tcPr>
                <w:p w14:paraId="3ED29478">
                  <w:pPr>
                    <w:keepNext w:val="0"/>
                    <w:keepLines w:val="0"/>
                    <w:numPr>
                      <w:ilvl w:val="0"/>
                      <w:numId w:val="0"/>
                    </w:numPr>
                    <w:suppressLineNumbers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17</w:t>
                  </w:r>
                </w:p>
              </w:tc>
              <w:tc>
                <w:tcPr>
                  <w:tcW w:w="1009" w:type="pct"/>
                  <w:vAlign w:val="center"/>
                </w:tcPr>
                <w:p w14:paraId="39A3B6B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六中南侧</w:t>
                  </w:r>
                </w:p>
                <w:p w14:paraId="48F539DB">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default" w:ascii="Times New Roman" w:hAnsi="Times New Roman" w:eastAsia="宋体" w:cs="Times New Roman"/>
                      <w:sz w:val="21"/>
                      <w:szCs w:val="21"/>
                    </w:rPr>
                    <w:t>内涝点</w:t>
                  </w:r>
                </w:p>
              </w:tc>
              <w:tc>
                <w:tcPr>
                  <w:tcW w:w="980" w:type="pct"/>
                  <w:vAlign w:val="center"/>
                </w:tcPr>
                <w:p w14:paraId="174D4332">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DN150压力管</w:t>
                  </w:r>
                </w:p>
              </w:tc>
              <w:tc>
                <w:tcPr>
                  <w:tcW w:w="1927" w:type="pct"/>
                  <w:vAlign w:val="center"/>
                </w:tcPr>
                <w:p w14:paraId="0536D53F">
                  <w:pPr>
                    <w:keepNext w:val="0"/>
                    <w:keepLines w:val="0"/>
                    <w:suppressLineNumbers w:val="0"/>
                    <w:spacing w:before="0" w:beforeAutospacing="0" w:after="0" w:afterAutospacing="0" w:line="240" w:lineRule="auto"/>
                    <w:ind w:left="0" w:leftChars="0" w:right="0" w:rightChars="0"/>
                    <w:jc w:val="left"/>
                    <w:rPr>
                      <w:rFonts w:hint="eastAsia"/>
                      <w:color w:val="auto"/>
                      <w:sz w:val="21"/>
                      <w:szCs w:val="21"/>
                      <w:vertAlign w:val="baseline"/>
                    </w:rPr>
                  </w:pPr>
                  <w:r>
                    <w:rPr>
                      <w:rFonts w:hint="eastAsia"/>
                      <w:color w:val="auto"/>
                      <w:sz w:val="21"/>
                      <w:szCs w:val="21"/>
                      <w:vertAlign w:val="baseline"/>
                    </w:rPr>
                    <w:t>接入河西南路道路雨水沟</w:t>
                  </w:r>
                </w:p>
              </w:tc>
              <w:tc>
                <w:tcPr>
                  <w:tcW w:w="811" w:type="pct"/>
                  <w:vAlign w:val="center"/>
                </w:tcPr>
                <w:p w14:paraId="027219BE">
                  <w:pPr>
                    <w:keepNext w:val="0"/>
                    <w:keepLines w:val="0"/>
                    <w:suppressLineNumbers w:val="0"/>
                    <w:spacing w:before="0" w:beforeAutospacing="0" w:after="0" w:afterAutospacing="0" w:line="240" w:lineRule="auto"/>
                    <w:ind w:left="0" w:leftChars="0" w:right="0" w:rightChars="0"/>
                    <w:jc w:val="center"/>
                    <w:rPr>
                      <w:rFonts w:hint="eastAsia"/>
                      <w:color w:val="auto"/>
                      <w:sz w:val="21"/>
                      <w:szCs w:val="21"/>
                      <w:vertAlign w:val="baseline"/>
                    </w:rPr>
                  </w:pPr>
                  <w:r>
                    <w:rPr>
                      <w:rFonts w:hint="eastAsia"/>
                      <w:color w:val="auto"/>
                      <w:sz w:val="21"/>
                      <w:szCs w:val="21"/>
                      <w:vertAlign w:val="baseline"/>
                    </w:rPr>
                    <w:t>新建一体化提升泵</w:t>
                  </w:r>
                </w:p>
              </w:tc>
            </w:tr>
          </w:tbl>
          <w:p w14:paraId="55F6BAB5">
            <w:pPr>
              <w:keepNext w:val="0"/>
              <w:keepLines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auto"/>
                <w:sz w:val="24"/>
                <w:szCs w:val="24"/>
                <w:u w:val="none"/>
                <w:lang w:val="en-US" w:eastAsia="zh-CN"/>
              </w:rPr>
            </w:pPr>
            <w:r>
              <w:rPr>
                <w:rFonts w:hint="eastAsia"/>
                <w:b/>
                <w:bCs/>
                <w:color w:val="auto"/>
                <w:kern w:val="0"/>
                <w:sz w:val="24"/>
                <w:u w:val="none"/>
                <w:lang w:val="en-US" w:eastAsia="zh-CN"/>
              </w:rPr>
              <w:t>3.1 管沟工程</w:t>
            </w:r>
          </w:p>
          <w:p w14:paraId="1EA19729">
            <w:pPr>
              <w:keepNext w:val="0"/>
              <w:keepLines w:val="0"/>
              <w:numPr>
                <w:ilvl w:val="0"/>
                <w:numId w:val="0"/>
              </w:numPr>
              <w:suppressLineNumbers w:val="0"/>
              <w:spacing w:before="0" w:beforeAutospacing="0" w:after="0" w:afterAutospacing="0" w:line="360" w:lineRule="auto"/>
              <w:ind w:left="0" w:right="0" w:rightChars="0" w:firstLine="420" w:firstLineChars="200"/>
              <w:jc w:val="center"/>
              <w:rPr>
                <w:rFonts w:hint="eastAsia" w:cs="Times New Roman"/>
                <w:color w:val="auto"/>
                <w:sz w:val="24"/>
                <w:szCs w:val="24"/>
                <w:u w:val="none"/>
                <w:lang w:val="en-US" w:eastAsia="zh-CN"/>
              </w:rPr>
            </w:pPr>
            <w:r>
              <w:rPr>
                <w:rFonts w:hint="default"/>
              </w:rPr>
              <w:drawing>
                <wp:inline distT="0" distB="0" distL="114300" distR="114300">
                  <wp:extent cx="3737610" cy="4025265"/>
                  <wp:effectExtent l="0" t="0" r="11430" b="13335"/>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40">
                            <a:lum bright="-24000" contrast="42000"/>
                          </a:blip>
                          <a:stretch>
                            <a:fillRect/>
                          </a:stretch>
                        </pic:blipFill>
                        <pic:spPr>
                          <a:xfrm>
                            <a:off x="0" y="0"/>
                            <a:ext cx="3737610" cy="4025265"/>
                          </a:xfrm>
                          <a:prstGeom prst="rect">
                            <a:avLst/>
                          </a:prstGeom>
                          <a:noFill/>
                          <a:ln>
                            <a:noFill/>
                          </a:ln>
                        </pic:spPr>
                      </pic:pic>
                    </a:graphicData>
                  </a:graphic>
                </wp:inline>
              </w:drawing>
            </w:r>
          </w:p>
          <w:p w14:paraId="5BB6E677">
            <w:pPr>
              <w:keepNext w:val="0"/>
              <w:keepLines w:val="0"/>
              <w:numPr>
                <w:ilvl w:val="0"/>
                <w:numId w:val="0"/>
              </w:numPr>
              <w:suppressLineNumbers w:val="0"/>
              <w:spacing w:before="0" w:beforeAutospacing="0" w:after="0" w:afterAutospacing="0" w:line="360" w:lineRule="auto"/>
              <w:ind w:left="0" w:right="0" w:rightChars="0"/>
              <w:jc w:val="center"/>
              <w:rPr>
                <w:rFonts w:hint="eastAsia" w:cs="Times New Roman"/>
                <w:color w:val="auto"/>
                <w:sz w:val="24"/>
                <w:szCs w:val="24"/>
                <w:u w:val="none"/>
                <w:lang w:val="en-US" w:eastAsia="zh-CN"/>
              </w:rPr>
            </w:pPr>
            <w:r>
              <w:rPr>
                <w:rFonts w:hint="eastAsia"/>
                <w:b/>
                <w:bCs/>
                <w:color w:val="auto"/>
                <w:u w:val="none"/>
              </w:rPr>
              <w:t>图2</w:t>
            </w:r>
            <w:r>
              <w:rPr>
                <w:rFonts w:hint="eastAsia"/>
                <w:b/>
                <w:bCs/>
                <w:color w:val="auto"/>
                <w:u w:val="none"/>
                <w:lang w:val="en-US" w:eastAsia="zh-CN"/>
              </w:rPr>
              <w:t xml:space="preserve">-18 </w:t>
            </w:r>
            <w:r>
              <w:rPr>
                <w:rFonts w:hint="eastAsia"/>
                <w:b/>
                <w:bCs/>
                <w:color w:val="auto"/>
                <w:u w:val="none"/>
              </w:rPr>
              <w:t xml:space="preserve"> </w:t>
            </w:r>
            <w:r>
              <w:rPr>
                <w:rFonts w:hint="eastAsia"/>
                <w:b/>
                <w:bCs/>
                <w:color w:val="auto"/>
                <w:u w:val="none"/>
                <w:lang w:val="en-US" w:eastAsia="zh-CN"/>
              </w:rPr>
              <w:t>管沟工程工艺流程</w:t>
            </w:r>
            <w:r>
              <w:rPr>
                <w:rFonts w:hint="eastAsia"/>
                <w:b/>
                <w:bCs/>
                <w:color w:val="auto"/>
                <w:u w:val="none"/>
              </w:rPr>
              <w:t>图</w:t>
            </w:r>
          </w:p>
          <w:p w14:paraId="6CA0AFA9">
            <w:pPr>
              <w:keepNext w:val="0"/>
              <w:keepLines w:val="0"/>
              <w:numPr>
                <w:ilvl w:val="0"/>
                <w:numId w:val="0"/>
              </w:numPr>
              <w:suppressLineNumbers w:val="0"/>
              <w:spacing w:before="0" w:beforeAutospacing="0" w:after="0" w:afterAutospacing="0" w:line="360" w:lineRule="auto"/>
              <w:ind w:left="0" w:right="0" w:rightChars="0" w:firstLine="480" w:firstLineChars="200"/>
              <w:jc w:val="left"/>
              <w:rPr>
                <w:rFonts w:hint="default" w:cs="Times New Roman"/>
                <w:color w:val="auto"/>
                <w:sz w:val="24"/>
                <w:szCs w:val="24"/>
                <w:u w:val="none"/>
                <w:lang w:val="en-US" w:eastAsia="zh-CN"/>
              </w:rPr>
            </w:pPr>
            <w:r>
              <w:rPr>
                <w:rFonts w:hint="eastAsia" w:cs="Times New Roman"/>
                <w:color w:val="auto"/>
                <w:sz w:val="24"/>
                <w:szCs w:val="24"/>
                <w:u w:val="none"/>
                <w:lang w:val="en-US" w:eastAsia="zh-CN"/>
              </w:rPr>
              <w:t>1）测量放线：根据井位坐标先定出沟槽轴线，再根据图纸放坡，放出基槽的开挖线。采用挖掘机开挖，人工配合的方式进行。</w:t>
            </w:r>
          </w:p>
          <w:p w14:paraId="3E74D15F">
            <w:pPr>
              <w:keepNext w:val="0"/>
              <w:keepLines w:val="0"/>
              <w:numPr>
                <w:ilvl w:val="0"/>
                <w:numId w:val="0"/>
              </w:numPr>
              <w:suppressLineNumbers w:val="0"/>
              <w:spacing w:before="0" w:beforeAutospacing="0" w:after="0" w:afterAutospacing="0" w:line="360" w:lineRule="auto"/>
              <w:ind w:left="0" w:right="0" w:rightChars="0" w:firstLine="480" w:firstLineChars="200"/>
              <w:jc w:val="left"/>
              <w:rPr>
                <w:rFonts w:hint="eastAsia" w:cs="Times New Roman"/>
                <w:color w:val="auto"/>
                <w:sz w:val="24"/>
                <w:szCs w:val="24"/>
                <w:u w:val="none"/>
                <w:lang w:val="en-US" w:eastAsia="zh-CN"/>
              </w:rPr>
            </w:pPr>
            <w:r>
              <w:rPr>
                <w:rFonts w:hint="eastAsia" w:cs="Times New Roman"/>
                <w:color w:val="auto"/>
                <w:sz w:val="24"/>
                <w:szCs w:val="24"/>
                <w:u w:val="none"/>
                <w:lang w:val="en-US" w:eastAsia="zh-CN"/>
              </w:rPr>
              <w:t>2）作业线路、场地清理：施工前使用挖掘机对路面进行铲除，此过程中会产生扬尘、固废和噪声。</w:t>
            </w:r>
          </w:p>
          <w:p w14:paraId="223C9A18">
            <w:pPr>
              <w:keepNext w:val="0"/>
              <w:keepLines w:val="0"/>
              <w:numPr>
                <w:ilvl w:val="0"/>
                <w:numId w:val="0"/>
              </w:numPr>
              <w:suppressLineNumbers w:val="0"/>
              <w:spacing w:before="0" w:beforeAutospacing="0" w:after="0" w:afterAutospacing="0" w:line="360" w:lineRule="auto"/>
              <w:ind w:left="0" w:right="0" w:rightChars="0" w:firstLine="480" w:firstLineChars="200"/>
              <w:jc w:val="left"/>
              <w:rPr>
                <w:rFonts w:hint="eastAsia" w:cs="Times New Roman"/>
                <w:color w:val="auto"/>
                <w:sz w:val="24"/>
                <w:szCs w:val="24"/>
                <w:u w:val="none"/>
                <w:lang w:val="en-US" w:eastAsia="zh-CN"/>
              </w:rPr>
            </w:pPr>
            <w:r>
              <w:rPr>
                <w:rFonts w:hint="eastAsia" w:cs="Times New Roman"/>
                <w:color w:val="auto"/>
                <w:sz w:val="24"/>
                <w:szCs w:val="24"/>
                <w:u w:val="none"/>
                <w:lang w:val="en-US" w:eastAsia="zh-CN"/>
              </w:rPr>
              <w:t>3）切割道路硬化层和开挖管沟：沟槽开挖及支护先要破除路面，开挖采用人工与机械配合进行，挖出的土在管网沿线堆放，待管道敷设完毕，将挖出的土方回填至管沟。多余的土方送至嘉泰渣土有限公司处置。管槽开挖及部分现有设施拆除过程中会产生扬尘、弃土，施工机械会产生设备噪声，运输车辆会产生交通噪声。</w:t>
            </w:r>
          </w:p>
          <w:p w14:paraId="582F8E9E">
            <w:pPr>
              <w:keepNext w:val="0"/>
              <w:keepLines w:val="0"/>
              <w:numPr>
                <w:ilvl w:val="0"/>
                <w:numId w:val="0"/>
              </w:numPr>
              <w:suppressLineNumbers w:val="0"/>
              <w:spacing w:before="0" w:beforeAutospacing="0" w:after="0" w:afterAutospacing="0" w:line="360" w:lineRule="auto"/>
              <w:ind w:left="0" w:right="0" w:rightChars="0" w:firstLine="480" w:firstLineChars="200"/>
              <w:jc w:val="left"/>
              <w:rPr>
                <w:rFonts w:hint="eastAsia" w:cs="Times New Roman"/>
                <w:color w:val="auto"/>
                <w:sz w:val="24"/>
                <w:szCs w:val="24"/>
                <w:u w:val="none"/>
                <w:lang w:val="en-US" w:eastAsia="zh-CN"/>
              </w:rPr>
            </w:pPr>
            <w:r>
              <w:rPr>
                <w:rFonts w:hint="eastAsia" w:cs="Times New Roman"/>
                <w:color w:val="auto"/>
                <w:sz w:val="24"/>
                <w:szCs w:val="24"/>
                <w:u w:val="none"/>
                <w:lang w:val="en-US" w:eastAsia="zh-CN"/>
              </w:rPr>
              <w:t>4）运管、铺管：管道运输至施工现场应放置的指定空地上，待下管时用运输车辆运送至沟边，小管径的管子采用人工安装，少数大管径管子采用吊车吊入沟内采用倒链人工配合安装，此过程产生的设备噪声较多。</w:t>
            </w:r>
          </w:p>
          <w:p w14:paraId="4B6E1738">
            <w:pPr>
              <w:keepNext w:val="0"/>
              <w:keepLines w:val="0"/>
              <w:numPr>
                <w:ilvl w:val="0"/>
                <w:numId w:val="0"/>
              </w:numPr>
              <w:suppressLineNumbers w:val="0"/>
              <w:spacing w:before="0" w:beforeAutospacing="0" w:after="0" w:afterAutospacing="0" w:line="360" w:lineRule="auto"/>
              <w:ind w:left="0" w:right="0" w:rightChars="0" w:firstLine="480" w:firstLineChars="200"/>
              <w:jc w:val="left"/>
              <w:rPr>
                <w:rFonts w:hint="eastAsia" w:cs="Times New Roman"/>
                <w:color w:val="000000" w:themeColor="text1"/>
                <w:sz w:val="24"/>
                <w:szCs w:val="24"/>
                <w:highlight w:val="none"/>
                <w:u w:val="none"/>
                <w:lang w:val="en-US" w:eastAsia="zh-CN"/>
                <w14:textFill>
                  <w14:solidFill>
                    <w14:schemeClr w14:val="tx1"/>
                  </w14:solidFill>
                </w14:textFill>
              </w:rPr>
            </w:pPr>
            <w:r>
              <w:rPr>
                <w:rFonts w:hint="eastAsia" w:cs="Times New Roman"/>
                <w:color w:val="auto"/>
                <w:sz w:val="24"/>
                <w:szCs w:val="24"/>
                <w:u w:val="none"/>
                <w:lang w:val="en-US" w:eastAsia="zh-CN"/>
              </w:rPr>
              <w:t>5）管道覆土及土方回填：管道安装完成经验收合格之后，及时回填。对管道底部、两侧和管道上采用机械填料，人工平整、夯实，其余部位采取</w:t>
            </w:r>
            <w:r>
              <w:rPr>
                <w:rFonts w:hint="eastAsia" w:cs="Times New Roman"/>
                <w:color w:val="000000" w:themeColor="text1"/>
                <w:sz w:val="24"/>
                <w:szCs w:val="24"/>
                <w:highlight w:val="none"/>
                <w:u w:val="none"/>
                <w:lang w:val="en-US" w:eastAsia="zh-CN"/>
                <w14:textFill>
                  <w14:solidFill>
                    <w14:schemeClr w14:val="tx1"/>
                  </w14:solidFill>
                </w14:textFill>
              </w:rPr>
              <w:t>反铲填料，振动碾压，分层回填夯实到设计高程。</w:t>
            </w:r>
          </w:p>
          <w:p w14:paraId="69F9B02F">
            <w:pPr>
              <w:keepNext w:val="0"/>
              <w:keepLines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auto"/>
                <w:sz w:val="24"/>
                <w:szCs w:val="24"/>
                <w:u w:val="none"/>
                <w:lang w:val="en-US" w:eastAsia="zh-CN"/>
              </w:rPr>
            </w:pPr>
            <w:r>
              <w:rPr>
                <w:rFonts w:hint="eastAsia" w:cs="Times New Roman"/>
                <w:b/>
                <w:bCs/>
                <w:color w:val="auto"/>
                <w:sz w:val="24"/>
                <w:szCs w:val="24"/>
                <w:u w:val="none"/>
                <w:lang w:val="en-US" w:eastAsia="zh-CN"/>
              </w:rPr>
              <w:t>4</w:t>
            </w:r>
            <w:r>
              <w:rPr>
                <w:rFonts w:hint="default" w:ascii="Times New Roman" w:hAnsi="Times New Roman" w:eastAsia="宋体" w:cs="Times New Roman"/>
                <w:b/>
                <w:bCs/>
                <w:color w:val="auto"/>
                <w:sz w:val="24"/>
                <w:szCs w:val="24"/>
                <w:u w:val="none"/>
                <w:lang w:val="en-US" w:eastAsia="zh-CN"/>
              </w:rPr>
              <w:t>、</w:t>
            </w:r>
            <w:r>
              <w:rPr>
                <w:rFonts w:hint="eastAsia" w:cs="Times New Roman"/>
                <w:b/>
                <w:bCs/>
                <w:color w:val="auto"/>
                <w:sz w:val="24"/>
                <w:szCs w:val="24"/>
                <w:u w:val="none"/>
                <w:lang w:val="en-US" w:eastAsia="zh-CN"/>
              </w:rPr>
              <w:t>路面恢复</w:t>
            </w:r>
          </w:p>
          <w:p w14:paraId="595EE75F">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eastAsia" w:eastAsia="宋体"/>
                <w:color w:val="auto"/>
                <w:spacing w:val="-2"/>
                <w:sz w:val="24"/>
                <w:u w:val="none"/>
                <w:lang w:val="en-US" w:eastAsia="zh-CN"/>
              </w:rPr>
            </w:pPr>
            <w:r>
              <w:rPr>
                <w:rFonts w:hint="eastAsia"/>
                <w:color w:val="auto"/>
                <w:spacing w:val="-2"/>
                <w:sz w:val="24"/>
                <w:u w:val="none"/>
                <w:lang w:val="en-US" w:eastAsia="zh-CN"/>
              </w:rPr>
              <w:t>1）</w:t>
            </w:r>
            <w:r>
              <w:rPr>
                <w:rFonts w:hint="eastAsia" w:eastAsia="宋体"/>
                <w:color w:val="auto"/>
                <w:spacing w:val="-2"/>
                <w:sz w:val="24"/>
                <w:u w:val="none"/>
                <w:lang w:val="en-US" w:eastAsia="zh-CN"/>
              </w:rPr>
              <w:t>土路恢复：开挖前是土路或者山坡的，按要求回填好砂石，最后用土覆盖，压实（不得压坏管道）。</w:t>
            </w:r>
          </w:p>
          <w:p w14:paraId="407D9663">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eastAsia" w:eastAsia="宋体"/>
                <w:color w:val="auto"/>
                <w:spacing w:val="-2"/>
                <w:sz w:val="24"/>
                <w:u w:val="none"/>
                <w:lang w:val="en-US" w:eastAsia="zh-CN"/>
              </w:rPr>
            </w:pPr>
            <w:r>
              <w:rPr>
                <w:rFonts w:hint="eastAsia"/>
                <w:color w:val="auto"/>
                <w:spacing w:val="-2"/>
                <w:sz w:val="24"/>
                <w:u w:val="none"/>
                <w:lang w:val="en-US" w:eastAsia="zh-CN"/>
              </w:rPr>
              <w:t>2）</w:t>
            </w:r>
            <w:r>
              <w:rPr>
                <w:rFonts w:hint="eastAsia" w:eastAsia="宋体"/>
                <w:color w:val="auto"/>
                <w:spacing w:val="-2"/>
                <w:sz w:val="24"/>
                <w:u w:val="none"/>
                <w:lang w:val="en-US" w:eastAsia="zh-CN"/>
              </w:rPr>
              <w:t>混凝土路面恢复：开挖前是混凝土路面的，开挖前按宽度要求弹线，用切割机切开混凝土，风炮机破除混凝土，管道安装好后按要求回填好砂石，最后捣混凝土路面，混凝土中增设钢筋，及时养护。设立安全警示牌。</w:t>
            </w:r>
          </w:p>
          <w:p w14:paraId="3C0D1268">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eastAsia" w:eastAsia="宋体"/>
                <w:color w:val="auto"/>
                <w:spacing w:val="-2"/>
                <w:sz w:val="24"/>
                <w:u w:val="none"/>
                <w:lang w:val="en-US" w:eastAsia="zh-CN"/>
              </w:rPr>
            </w:pPr>
            <w:r>
              <w:rPr>
                <w:rFonts w:hint="eastAsia"/>
                <w:color w:val="auto"/>
                <w:spacing w:val="-2"/>
                <w:sz w:val="24"/>
                <w:u w:val="none"/>
                <w:lang w:val="en-US" w:eastAsia="zh-CN"/>
              </w:rPr>
              <w:t>3）</w:t>
            </w:r>
            <w:r>
              <w:rPr>
                <w:rFonts w:hint="eastAsia" w:eastAsia="宋体"/>
                <w:color w:val="auto"/>
                <w:spacing w:val="-2"/>
                <w:sz w:val="24"/>
                <w:u w:val="none"/>
                <w:lang w:val="en-US" w:eastAsia="zh-CN"/>
              </w:rPr>
              <w:t>沥青路面恢复：开挖前是沥青混凝土路面的，开挖前按宽度要求弹线，凿除沥青路面，用切割机切开混凝土，风炮机破除混凝土，管道安装好后按要求回填好砂石，再捣混凝土基层，混凝土中增设钢筋，最后铺沥青，压实成型。施工完成后，派专人进行交通管制，禁止车辆通行。等水分蒸发后，可允许施工车辆通行以均匀碾压，项目所用混凝土及沥青均为外购。</w:t>
            </w:r>
          </w:p>
          <w:p w14:paraId="17946B3E">
            <w:pPr>
              <w:keepNext w:val="0"/>
              <w:keepLines w:val="0"/>
              <w:numPr>
                <w:ilvl w:val="0"/>
                <w:numId w:val="0"/>
              </w:numPr>
              <w:suppressLineNumbers w:val="0"/>
              <w:spacing w:before="0" w:beforeAutospacing="0" w:after="0" w:afterAutospacing="0" w:line="360" w:lineRule="auto"/>
              <w:ind w:left="0" w:right="0" w:rightChars="0" w:firstLine="482" w:firstLineChars="200"/>
              <w:jc w:val="left"/>
              <w:rPr>
                <w:rFonts w:hint="default" w:eastAsia="宋体"/>
                <w:color w:val="auto"/>
                <w:spacing w:val="-2"/>
                <w:sz w:val="24"/>
                <w:u w:val="single"/>
                <w:lang w:val="en-US" w:eastAsia="zh-CN"/>
              </w:rPr>
            </w:pPr>
            <w:r>
              <w:rPr>
                <w:rFonts w:hint="eastAsia" w:cs="Times New Roman"/>
                <w:b/>
                <w:bCs/>
                <w:color w:val="auto"/>
                <w:sz w:val="24"/>
                <w:szCs w:val="24"/>
                <w:u w:val="single"/>
                <w:lang w:val="en-US" w:eastAsia="zh-CN"/>
              </w:rPr>
              <w:t>5</w:t>
            </w:r>
            <w:r>
              <w:rPr>
                <w:rFonts w:hint="default" w:ascii="Times New Roman" w:hAnsi="Times New Roman" w:eastAsia="宋体" w:cs="Times New Roman"/>
                <w:b/>
                <w:bCs/>
                <w:color w:val="auto"/>
                <w:sz w:val="24"/>
                <w:szCs w:val="24"/>
                <w:u w:val="single"/>
                <w:lang w:val="en-US" w:eastAsia="zh-CN"/>
              </w:rPr>
              <w:t>、</w:t>
            </w:r>
            <w:r>
              <w:rPr>
                <w:rFonts w:hint="eastAsia" w:cs="Times New Roman"/>
                <w:b/>
                <w:bCs/>
                <w:color w:val="auto"/>
                <w:sz w:val="24"/>
                <w:szCs w:val="24"/>
                <w:u w:val="single"/>
                <w:lang w:val="en-US" w:eastAsia="zh-CN"/>
              </w:rPr>
              <w:t>淤泥处置</w:t>
            </w:r>
          </w:p>
          <w:p w14:paraId="34DB6C75">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eastAsia"/>
                <w:color w:val="auto"/>
                <w:spacing w:val="-2"/>
                <w:sz w:val="24"/>
                <w:highlight w:val="none"/>
                <w:u w:val="single"/>
                <w:lang w:val="en-US" w:eastAsia="zh-CN"/>
              </w:rPr>
            </w:pPr>
            <w:r>
              <w:rPr>
                <w:rFonts w:hint="eastAsia"/>
                <w:color w:val="auto"/>
                <w:spacing w:val="-2"/>
                <w:sz w:val="24"/>
                <w:highlight w:val="none"/>
                <w:u w:val="single"/>
                <w:lang w:val="en-US" w:eastAsia="zh-CN"/>
              </w:rPr>
              <w:t>项目对河</w:t>
            </w:r>
            <w:r>
              <w:rPr>
                <w:rFonts w:hint="eastAsia"/>
                <w:b w:val="0"/>
                <w:bCs w:val="0"/>
                <w:color w:val="auto"/>
                <w:spacing w:val="-2"/>
                <w:sz w:val="24"/>
                <w:highlight w:val="none"/>
                <w:u w:val="single"/>
                <w:lang w:val="en-US" w:eastAsia="zh-CN"/>
              </w:rPr>
              <w:t>道底泥进行补测，补测结果依据《土壤环境质量 建设用地土壤污染风险管控标准》（GB 36600-2018），污染物含量低于标准限值，满足《城镇污水处理厂污泥处置 制砖用泥质》（GB/T 25031-2010），可直接资源化利用。项目清淤产生的淤泥经“石灰调理+板框压滤脱水”后泥饼暂存，后续直接交给其他公司进行资源化利用；清淤过程中产生的垃圾及施工人员生活垃圾集中分类收集，交由当地环卫部门处理；</w:t>
            </w:r>
            <w:r>
              <w:rPr>
                <w:rFonts w:hint="eastAsia"/>
                <w:color w:val="auto"/>
                <w:spacing w:val="-2"/>
                <w:sz w:val="24"/>
                <w:highlight w:val="none"/>
                <w:u w:val="single"/>
                <w:lang w:val="en-US" w:eastAsia="zh-CN"/>
              </w:rPr>
              <w:t>清淤尾水经三级沉淀池→混凝沉淀（PAC+PAM）→活性炭吸附→清水池回用于施工降尘、车辆冲洗/达标排放。</w:t>
            </w:r>
          </w:p>
          <w:p w14:paraId="311653AD">
            <w:pPr>
              <w:keepNext w:val="0"/>
              <w:keepLines w:val="0"/>
              <w:widowControl/>
              <w:suppressLineNumbers w:val="0"/>
              <w:spacing w:before="0" w:beforeAutospacing="0" w:after="0" w:afterAutospacing="0" w:line="360" w:lineRule="auto"/>
              <w:ind w:left="0" w:right="0" w:firstLine="482" w:firstLineChars="200"/>
              <w:jc w:val="left"/>
              <w:rPr>
                <w:rFonts w:hint="default"/>
                <w:color w:val="auto"/>
                <w:highlight w:val="none"/>
                <w:u w:val="single"/>
              </w:rPr>
            </w:pPr>
            <w:r>
              <w:rPr>
                <w:rFonts w:hint="eastAsia" w:cs="Times New Roman"/>
                <w:b/>
                <w:bCs/>
                <w:color w:val="auto"/>
                <w:sz w:val="24"/>
                <w:szCs w:val="24"/>
                <w:highlight w:val="none"/>
                <w:u w:val="single"/>
                <w:lang w:val="en-US" w:eastAsia="zh-CN"/>
              </w:rPr>
              <w:t>6</w:t>
            </w:r>
            <w:r>
              <w:rPr>
                <w:rFonts w:hint="default" w:ascii="Times New Roman" w:hAnsi="Times New Roman" w:eastAsia="宋体" w:cs="Times New Roman"/>
                <w:b/>
                <w:bCs/>
                <w:color w:val="auto"/>
                <w:sz w:val="24"/>
                <w:szCs w:val="24"/>
                <w:highlight w:val="none"/>
                <w:u w:val="single"/>
                <w:lang w:val="en-US" w:eastAsia="zh-CN"/>
              </w:rPr>
              <w:t>、</w:t>
            </w:r>
            <w:r>
              <w:rPr>
                <w:rFonts w:hint="eastAsia" w:ascii="宋体" w:hAnsi="宋体" w:eastAsia="宋体" w:cs="宋体"/>
                <w:b/>
                <w:bCs/>
                <w:color w:val="auto"/>
                <w:kern w:val="0"/>
                <w:sz w:val="24"/>
                <w:szCs w:val="24"/>
                <w:highlight w:val="none"/>
                <w:u w:val="single"/>
                <w:lang w:val="en-US" w:eastAsia="zh-CN" w:bidi="ar"/>
              </w:rPr>
              <w:t>施工时序与建设周期</w:t>
            </w:r>
          </w:p>
          <w:p w14:paraId="015ACC2E">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eastAsia" w:eastAsia="宋体"/>
                <w:color w:val="auto"/>
                <w:spacing w:val="-2"/>
                <w:sz w:val="24"/>
                <w:highlight w:val="none"/>
                <w:u w:val="single"/>
                <w:lang w:val="en-US" w:eastAsia="zh-CN"/>
              </w:rPr>
            </w:pPr>
            <w:r>
              <w:rPr>
                <w:rFonts w:hint="eastAsia" w:eastAsia="宋体"/>
                <w:color w:val="auto"/>
                <w:spacing w:val="-2"/>
                <w:sz w:val="24"/>
                <w:highlight w:val="none"/>
                <w:u w:val="single"/>
                <w:lang w:val="en-US" w:eastAsia="zh-CN"/>
              </w:rPr>
              <w:t>施工时序：同时施工。</w:t>
            </w:r>
          </w:p>
          <w:p w14:paraId="36D29E34">
            <w:pPr>
              <w:keepNext w:val="0"/>
              <w:keepLines w:val="0"/>
              <w:numPr>
                <w:ilvl w:val="0"/>
                <w:numId w:val="0"/>
              </w:numPr>
              <w:suppressLineNumbers w:val="0"/>
              <w:spacing w:before="0" w:beforeAutospacing="0" w:after="0" w:afterAutospacing="0" w:line="360" w:lineRule="auto"/>
              <w:ind w:left="0" w:right="0" w:rightChars="0" w:firstLine="472" w:firstLineChars="200"/>
              <w:jc w:val="left"/>
              <w:rPr>
                <w:rFonts w:hint="eastAsia" w:eastAsia="宋体"/>
                <w:color w:val="auto"/>
                <w:spacing w:val="-2"/>
                <w:sz w:val="24"/>
                <w:u w:val="none"/>
                <w:lang w:val="en-US" w:eastAsia="zh-CN"/>
              </w:rPr>
            </w:pPr>
            <w:r>
              <w:rPr>
                <w:rFonts w:hint="eastAsia" w:eastAsia="宋体"/>
                <w:color w:val="auto"/>
                <w:spacing w:val="-2"/>
                <w:sz w:val="24"/>
                <w:highlight w:val="none"/>
                <w:u w:val="single"/>
                <w:lang w:val="en-US" w:eastAsia="zh-CN"/>
              </w:rPr>
              <w:t>施工周期：本项目建设周期为</w:t>
            </w:r>
            <w:r>
              <w:rPr>
                <w:rFonts w:hint="eastAsia"/>
                <w:color w:val="auto"/>
                <w:spacing w:val="-2"/>
                <w:sz w:val="24"/>
                <w:highlight w:val="none"/>
                <w:u w:val="single"/>
                <w:lang w:val="en-US" w:eastAsia="zh-CN"/>
              </w:rPr>
              <w:t>120天</w:t>
            </w:r>
            <w:r>
              <w:rPr>
                <w:rFonts w:hint="eastAsia" w:eastAsia="宋体"/>
                <w:color w:val="auto"/>
                <w:spacing w:val="-2"/>
                <w:sz w:val="24"/>
                <w:highlight w:val="none"/>
                <w:u w:val="single"/>
                <w:lang w:val="en-US" w:eastAsia="zh-CN"/>
              </w:rPr>
              <w:t>。</w:t>
            </w:r>
          </w:p>
        </w:tc>
      </w:tr>
      <w:tr w14:paraId="2F861E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65" w:type="pct"/>
            <w:vAlign w:val="center"/>
          </w:tcPr>
          <w:p w14:paraId="4D735DC5">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auto"/>
                <w:kern w:val="0"/>
                <w:sz w:val="24"/>
                <w:u w:val="none"/>
              </w:rPr>
            </w:pPr>
            <w:r>
              <w:rPr>
                <w:rFonts w:hint="eastAsia" w:ascii="宋体" w:hAnsi="宋体" w:cs="宋体"/>
                <w:b/>
                <w:bCs/>
                <w:color w:val="auto"/>
                <w:kern w:val="0"/>
                <w:sz w:val="24"/>
                <w:u w:val="none"/>
              </w:rPr>
              <w:t>其他</w:t>
            </w:r>
          </w:p>
        </w:tc>
        <w:tc>
          <w:tcPr>
            <w:tcW w:w="4734" w:type="pct"/>
            <w:vAlign w:val="center"/>
          </w:tcPr>
          <w:p w14:paraId="5E7DF19E">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eastAsia="宋体"/>
                <w:color w:val="auto"/>
                <w:u w:val="none"/>
                <w:lang w:val="en-US" w:eastAsia="zh-CN"/>
              </w:rPr>
            </w:pPr>
            <w:r>
              <w:rPr>
                <w:rFonts w:hint="eastAsia"/>
                <w:color w:val="auto"/>
                <w:u w:val="none"/>
                <w:lang w:val="en-US" w:eastAsia="zh-CN"/>
              </w:rPr>
              <w:t>无</w:t>
            </w:r>
          </w:p>
        </w:tc>
      </w:tr>
    </w:tbl>
    <w:p w14:paraId="4D643EBA">
      <w:pPr>
        <w:adjustRightInd w:val="0"/>
        <w:snapToGrid w:val="0"/>
        <w:jc w:val="center"/>
        <w:rPr>
          <w:rFonts w:ascii="宋体" w:hAnsi="宋体" w:cs="宋体"/>
          <w:b/>
          <w:bCs/>
          <w:color w:val="auto"/>
          <w:kern w:val="0"/>
          <w:sz w:val="24"/>
          <w:u w:val="none"/>
        </w:rPr>
      </w:pPr>
    </w:p>
    <w:p w14:paraId="6893844C">
      <w:pPr>
        <w:adjustRightInd w:val="0"/>
        <w:snapToGrid w:val="0"/>
        <w:jc w:val="both"/>
        <w:rPr>
          <w:rFonts w:ascii="宋体" w:hAnsi="宋体" w:cs="宋体"/>
          <w:b/>
          <w:bCs/>
          <w:color w:val="auto"/>
          <w:kern w:val="0"/>
          <w:sz w:val="24"/>
          <w:u w:val="none"/>
        </w:rPr>
        <w:sectPr>
          <w:pgSz w:w="11906" w:h="16838"/>
          <w:pgMar w:top="1440" w:right="1797" w:bottom="1440" w:left="1797" w:header="851" w:footer="1077" w:gutter="0"/>
          <w:pgBorders>
            <w:top w:val="none" w:sz="0" w:space="0"/>
            <w:left w:val="none" w:sz="0" w:space="0"/>
            <w:bottom w:val="none" w:sz="0" w:space="0"/>
            <w:right w:val="none" w:sz="0" w:space="0"/>
          </w:pgBorders>
          <w:cols w:space="720" w:num="1"/>
          <w:docGrid w:linePitch="312" w:charSpace="0"/>
        </w:sectPr>
      </w:pPr>
    </w:p>
    <w:p w14:paraId="2C25A2E7">
      <w:pPr>
        <w:pStyle w:val="23"/>
        <w:jc w:val="center"/>
        <w:outlineLvl w:val="0"/>
        <w:rPr>
          <w:rFonts w:ascii="黑体" w:hAnsi="黑体" w:eastAsia="黑体"/>
          <w:snapToGrid w:val="0"/>
          <w:color w:val="auto"/>
          <w:sz w:val="30"/>
          <w:szCs w:val="30"/>
          <w:u w:val="none"/>
        </w:rPr>
      </w:pPr>
      <w:bookmarkStart w:id="4" w:name="_Toc85201451"/>
      <w:r>
        <w:rPr>
          <w:rFonts w:hint="eastAsia" w:ascii="黑体" w:hAnsi="黑体" w:eastAsia="黑体"/>
          <w:snapToGrid w:val="0"/>
          <w:color w:val="auto"/>
          <w:sz w:val="30"/>
          <w:szCs w:val="30"/>
          <w:u w:val="none"/>
        </w:rPr>
        <w:t>三、生态环境现状、保护目标及评价标准</w:t>
      </w:r>
      <w:bookmarkEnd w:id="4"/>
    </w:p>
    <w:tbl>
      <w:tblPr>
        <w:tblStyle w:val="27"/>
        <w:tblW w:w="542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07"/>
        <w:gridCol w:w="8331"/>
      </w:tblGrid>
      <w:tr w14:paraId="7D79C7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491" w:type="pct"/>
            <w:vAlign w:val="center"/>
          </w:tcPr>
          <w:p w14:paraId="32BF5EE1">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auto"/>
                <w:kern w:val="0"/>
                <w:sz w:val="24"/>
                <w:u w:val="none"/>
              </w:rPr>
            </w:pPr>
            <w:r>
              <w:rPr>
                <w:rFonts w:hint="eastAsia" w:ascii="宋体" w:hAnsi="宋体" w:cs="宋体"/>
                <w:b/>
                <w:bCs/>
                <w:color w:val="auto"/>
                <w:kern w:val="0"/>
                <w:sz w:val="24"/>
                <w:u w:val="none"/>
              </w:rPr>
              <w:t>生态环境现状</w:t>
            </w:r>
          </w:p>
        </w:tc>
        <w:tc>
          <w:tcPr>
            <w:tcW w:w="4509" w:type="pct"/>
            <w:vAlign w:val="center"/>
          </w:tcPr>
          <w:p w14:paraId="4857C78D">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default" w:eastAsia="宋体"/>
                <w:b/>
                <w:bCs/>
                <w:color w:val="auto"/>
                <w:kern w:val="0"/>
                <w:sz w:val="24"/>
                <w:u w:val="none"/>
                <w:lang w:val="en-US" w:eastAsia="zh-CN"/>
              </w:rPr>
            </w:pPr>
            <w:r>
              <w:rPr>
                <w:rFonts w:hint="eastAsia"/>
                <w:b/>
                <w:bCs/>
                <w:color w:val="auto"/>
                <w:kern w:val="0"/>
                <w:sz w:val="24"/>
                <w:u w:val="none"/>
              </w:rPr>
              <w:t>1、</w:t>
            </w:r>
            <w:r>
              <w:rPr>
                <w:rFonts w:hint="eastAsia"/>
                <w:b/>
                <w:bCs/>
                <w:color w:val="auto"/>
                <w:kern w:val="0"/>
                <w:sz w:val="24"/>
                <w:u w:val="none"/>
                <w:lang w:val="en-US" w:eastAsia="zh-CN"/>
              </w:rPr>
              <w:t>主体功能区划和生态功能区划情况</w:t>
            </w:r>
          </w:p>
          <w:p w14:paraId="22F07591">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eastAsia="宋体"/>
                <w:color w:val="auto"/>
                <w:spacing w:val="-2"/>
                <w:sz w:val="24"/>
                <w:u w:val="single"/>
                <w:lang w:eastAsia="zh-CN"/>
              </w:rPr>
            </w:pPr>
            <w:r>
              <w:rPr>
                <w:rFonts w:hint="eastAsia"/>
                <w:color w:val="auto"/>
                <w:spacing w:val="-2"/>
                <w:sz w:val="24"/>
                <w:u w:val="single"/>
              </w:rPr>
              <w:t>本项目所在区域为</w:t>
            </w:r>
            <w:r>
              <w:rPr>
                <w:rFonts w:hint="eastAsia"/>
                <w:color w:val="auto"/>
                <w:spacing w:val="-2"/>
                <w:sz w:val="24"/>
                <w:u w:val="single"/>
                <w:lang w:val="en-US" w:eastAsia="zh-CN"/>
              </w:rPr>
              <w:t>临湘市城区</w:t>
            </w:r>
            <w:r>
              <w:rPr>
                <w:rFonts w:hint="eastAsia"/>
                <w:color w:val="auto"/>
                <w:spacing w:val="-2"/>
                <w:sz w:val="24"/>
                <w:u w:val="single"/>
              </w:rPr>
              <w:t>范围，根据《湖南省主体功能区划》，本项目不属于农产品主产区（限制开发区域）、重点生态功能区（限制开发区域）和禁止开发区域；且工程范围内无自然保护区、风景名胜区、自然遗产地</w:t>
            </w:r>
            <w:r>
              <w:rPr>
                <w:rFonts w:hint="eastAsia"/>
                <w:color w:val="auto"/>
                <w:spacing w:val="-2"/>
                <w:sz w:val="24"/>
                <w:u w:val="single"/>
                <w:lang w:val="en-US" w:eastAsia="zh-CN"/>
              </w:rPr>
              <w:t>及饮用水源保护区</w:t>
            </w:r>
            <w:r>
              <w:rPr>
                <w:rFonts w:hint="eastAsia"/>
                <w:color w:val="auto"/>
                <w:spacing w:val="-2"/>
                <w:sz w:val="24"/>
                <w:u w:val="single"/>
              </w:rPr>
              <w:t>等敏感环境保护目标</w:t>
            </w:r>
            <w:r>
              <w:rPr>
                <w:rFonts w:hint="eastAsia"/>
                <w:color w:val="auto"/>
                <w:spacing w:val="-2"/>
                <w:sz w:val="24"/>
                <w:u w:val="single"/>
                <w:lang w:eastAsia="zh-CN"/>
              </w:rPr>
              <w:t>。</w:t>
            </w:r>
          </w:p>
          <w:p w14:paraId="6F22438B">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lang w:eastAsia="zh-CN"/>
              </w:rPr>
            </w:pPr>
            <w:r>
              <w:rPr>
                <w:rFonts w:hint="eastAsia"/>
                <w:color w:val="auto"/>
                <w:spacing w:val="-2"/>
                <w:sz w:val="24"/>
                <w:u w:val="single"/>
              </w:rPr>
              <w:t>根据《湖南省国家重点生态功能区产业准入负面清单（试行）》（湘发改规划（2016）659号）、《湖南省新增19个国家重点生态功能区产业准入负面清单（试行）》（湘发改规划〔2018〕972号），项目不属于湖南省国家重点生态功能区产业准入负面清单（试行）中的限制类及禁止类，可视为允许类</w:t>
            </w:r>
            <w:r>
              <w:rPr>
                <w:rFonts w:hint="eastAsia"/>
                <w:color w:val="auto"/>
                <w:spacing w:val="-2"/>
                <w:sz w:val="24"/>
                <w:u w:val="single"/>
                <w:lang w:eastAsia="zh-CN"/>
              </w:rPr>
              <w:t>。</w:t>
            </w:r>
          </w:p>
          <w:p w14:paraId="325026E4">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eastAsia="宋体"/>
                <w:color w:val="auto"/>
                <w:spacing w:val="-2"/>
                <w:sz w:val="24"/>
                <w:u w:val="single"/>
                <w:lang w:eastAsia="zh-CN"/>
              </w:rPr>
            </w:pPr>
            <w:r>
              <w:rPr>
                <w:rFonts w:hint="eastAsia"/>
                <w:color w:val="auto"/>
                <w:spacing w:val="-2"/>
                <w:sz w:val="24"/>
                <w:u w:val="single"/>
                <w:lang w:eastAsia="zh-CN"/>
              </w:rPr>
              <w:t>根据《关于同意新增部分县（市、区、旗）纳入国家重点生态功能区的批复》，本项目不在国家重点生态功能区内，本项目所在区域不属于重点生态功能区和禁止开发区域，该项目所在地环境功能区划属性见下表所示。</w:t>
            </w:r>
          </w:p>
          <w:p w14:paraId="31EEEDA8">
            <w:pPr>
              <w:pStyle w:val="80"/>
              <w:keepNext w:val="0"/>
              <w:keepLines w:val="0"/>
              <w:suppressLineNumbers w:val="0"/>
              <w:spacing w:before="0" w:beforeLines="0" w:beforeAutospacing="0" w:after="0" w:afterAutospacing="0" w:line="360" w:lineRule="exact"/>
              <w:ind w:left="0" w:right="0"/>
              <w:rPr>
                <w:rFonts w:hint="default"/>
                <w:color w:val="auto"/>
                <w:sz w:val="21"/>
                <w:szCs w:val="21"/>
                <w:u w:val="single"/>
              </w:rPr>
            </w:pPr>
            <w:r>
              <w:rPr>
                <w:rFonts w:hint="default"/>
                <w:color w:val="auto"/>
                <w:sz w:val="21"/>
                <w:szCs w:val="21"/>
                <w:u w:val="single"/>
              </w:rPr>
              <w:t>表</w:t>
            </w:r>
            <w:r>
              <w:rPr>
                <w:rFonts w:hint="eastAsia"/>
                <w:color w:val="auto"/>
                <w:sz w:val="21"/>
                <w:szCs w:val="21"/>
                <w:u w:val="single"/>
              </w:rPr>
              <w:t xml:space="preserve">3-1  </w:t>
            </w:r>
            <w:r>
              <w:rPr>
                <w:rFonts w:hint="eastAsia"/>
                <w:color w:val="auto"/>
                <w:sz w:val="21"/>
                <w:szCs w:val="21"/>
                <w:u w:val="single"/>
                <w:lang w:val="en-US" w:eastAsia="zh-CN"/>
              </w:rPr>
              <w:t>区域所属的各类功能区区划分类及执行标准一览</w:t>
            </w:r>
            <w:r>
              <w:rPr>
                <w:rFonts w:hint="default"/>
                <w:color w:val="auto"/>
                <w:sz w:val="21"/>
                <w:szCs w:val="21"/>
                <w:u w:val="single"/>
              </w:rPr>
              <w:t>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3247"/>
              <w:gridCol w:w="4094"/>
            </w:tblGrid>
            <w:tr w14:paraId="7FFCA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60A16E00">
                  <w:pPr>
                    <w:keepNext w:val="0"/>
                    <w:keepLines w:val="0"/>
                    <w:suppressLineNumbers w:val="0"/>
                    <w:adjustRightInd w:val="0"/>
                    <w:snapToGrid w:val="0"/>
                    <w:spacing w:before="0" w:beforeAutospacing="0" w:after="0" w:afterAutospacing="0"/>
                    <w:ind w:left="0" w:right="0"/>
                    <w:jc w:val="center"/>
                    <w:rPr>
                      <w:rFonts w:hint="eastAsia"/>
                      <w:b/>
                      <w:bCs/>
                      <w:color w:val="auto"/>
                      <w:szCs w:val="21"/>
                      <w:u w:val="single"/>
                      <w:lang w:eastAsia="zh-CN"/>
                    </w:rPr>
                  </w:pPr>
                  <w:r>
                    <w:rPr>
                      <w:rFonts w:hint="eastAsia"/>
                      <w:b/>
                      <w:bCs/>
                      <w:color w:val="auto"/>
                      <w:szCs w:val="21"/>
                      <w:u w:val="single"/>
                      <w:lang w:val="en-US" w:eastAsia="zh-CN"/>
                    </w:rPr>
                    <w:t>序号</w:t>
                  </w:r>
                </w:p>
              </w:tc>
              <w:tc>
                <w:tcPr>
                  <w:tcW w:w="3247" w:type="dxa"/>
                  <w:noWrap w:val="0"/>
                  <w:vAlign w:val="center"/>
                </w:tcPr>
                <w:p w14:paraId="19E8D845">
                  <w:pPr>
                    <w:keepNext w:val="0"/>
                    <w:keepLines w:val="0"/>
                    <w:suppressLineNumbers w:val="0"/>
                    <w:adjustRightInd w:val="0"/>
                    <w:snapToGrid w:val="0"/>
                    <w:spacing w:before="0" w:beforeAutospacing="0" w:after="0" w:afterAutospacing="0"/>
                    <w:ind w:left="0" w:right="0"/>
                    <w:jc w:val="center"/>
                    <w:rPr>
                      <w:rFonts w:hint="default" w:eastAsia="宋体"/>
                      <w:b/>
                      <w:bCs/>
                      <w:color w:val="auto"/>
                      <w:szCs w:val="21"/>
                      <w:u w:val="single"/>
                      <w:lang w:val="en-US" w:eastAsia="zh-CN"/>
                    </w:rPr>
                  </w:pPr>
                  <w:r>
                    <w:rPr>
                      <w:rFonts w:hint="eastAsia"/>
                      <w:b/>
                      <w:bCs/>
                      <w:color w:val="auto"/>
                      <w:szCs w:val="21"/>
                      <w:u w:val="single"/>
                      <w:lang w:val="en-US" w:eastAsia="zh-CN"/>
                    </w:rPr>
                    <w:t>功能区类别</w:t>
                  </w:r>
                </w:p>
              </w:tc>
              <w:tc>
                <w:tcPr>
                  <w:tcW w:w="4094" w:type="dxa"/>
                  <w:noWrap w:val="0"/>
                  <w:vAlign w:val="center"/>
                </w:tcPr>
                <w:p w14:paraId="7706DD2D">
                  <w:pPr>
                    <w:keepNext w:val="0"/>
                    <w:keepLines w:val="0"/>
                    <w:suppressLineNumbers w:val="0"/>
                    <w:adjustRightInd w:val="0"/>
                    <w:snapToGrid w:val="0"/>
                    <w:spacing w:before="0" w:beforeAutospacing="0" w:after="0" w:afterAutospacing="0"/>
                    <w:ind w:left="0" w:right="0"/>
                    <w:jc w:val="center"/>
                    <w:rPr>
                      <w:rFonts w:hint="default" w:eastAsia="宋体"/>
                      <w:b/>
                      <w:bCs/>
                      <w:color w:val="auto"/>
                      <w:szCs w:val="21"/>
                      <w:u w:val="single"/>
                      <w:lang w:val="en-US" w:eastAsia="zh-CN"/>
                    </w:rPr>
                  </w:pPr>
                  <w:r>
                    <w:rPr>
                      <w:rFonts w:hint="eastAsia"/>
                      <w:b/>
                      <w:bCs/>
                      <w:color w:val="auto"/>
                      <w:szCs w:val="21"/>
                      <w:u w:val="single"/>
                      <w:lang w:eastAsia="zh-CN"/>
                    </w:rPr>
                    <w:t>功能区</w:t>
                  </w:r>
                  <w:r>
                    <w:rPr>
                      <w:rFonts w:hint="eastAsia"/>
                      <w:b/>
                      <w:bCs/>
                      <w:color w:val="auto"/>
                      <w:szCs w:val="21"/>
                      <w:u w:val="single"/>
                      <w:lang w:val="en-US" w:eastAsia="zh-CN"/>
                    </w:rPr>
                    <w:t>分类及执行标准</w:t>
                  </w:r>
                </w:p>
              </w:tc>
            </w:tr>
            <w:tr w14:paraId="42D8B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3527D09E">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1</w:t>
                  </w:r>
                </w:p>
              </w:tc>
              <w:tc>
                <w:tcPr>
                  <w:tcW w:w="3247" w:type="dxa"/>
                  <w:noWrap w:val="0"/>
                  <w:vAlign w:val="center"/>
                </w:tcPr>
                <w:p w14:paraId="1D07B897">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highlight w:val="none"/>
                      <w:u w:val="single"/>
                      <w:lang w:val="en-US" w:eastAsia="zh-CN"/>
                    </w:rPr>
                  </w:pPr>
                  <w:r>
                    <w:rPr>
                      <w:rFonts w:hint="eastAsia"/>
                      <w:b w:val="0"/>
                      <w:bCs w:val="0"/>
                      <w:color w:val="auto"/>
                      <w:szCs w:val="21"/>
                      <w:highlight w:val="none"/>
                      <w:u w:val="single"/>
                      <w:lang w:val="en-US" w:eastAsia="zh-CN"/>
                    </w:rPr>
                    <w:t>地表水环境功能区</w:t>
                  </w:r>
                </w:p>
              </w:tc>
              <w:tc>
                <w:tcPr>
                  <w:tcW w:w="4094" w:type="dxa"/>
                  <w:noWrap w:val="0"/>
                  <w:vAlign w:val="center"/>
                </w:tcPr>
                <w:p w14:paraId="699ACC57">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highlight w:val="none"/>
                      <w:u w:val="single"/>
                      <w:lang w:val="en-US" w:eastAsia="zh-CN"/>
                    </w:rPr>
                  </w:pPr>
                  <w:r>
                    <w:rPr>
                      <w:rFonts w:hint="eastAsia"/>
                      <w:b w:val="0"/>
                      <w:bCs w:val="0"/>
                      <w:color w:val="auto"/>
                      <w:szCs w:val="21"/>
                      <w:highlight w:val="none"/>
                      <w:u w:val="single"/>
                      <w:lang w:val="en-US" w:eastAsia="zh-CN"/>
                    </w:rPr>
                    <w:t>《地表水环境质量标准》（GB3838-2002）的Ⅲ类水质标准</w:t>
                  </w:r>
                </w:p>
              </w:tc>
            </w:tr>
            <w:tr w14:paraId="6F9B8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1DDF751E">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2</w:t>
                  </w:r>
                </w:p>
              </w:tc>
              <w:tc>
                <w:tcPr>
                  <w:tcW w:w="3247" w:type="dxa"/>
                  <w:noWrap w:val="0"/>
                  <w:vAlign w:val="center"/>
                </w:tcPr>
                <w:p w14:paraId="5AA7F62B">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环境空气功能区</w:t>
                  </w:r>
                </w:p>
              </w:tc>
              <w:tc>
                <w:tcPr>
                  <w:tcW w:w="4094" w:type="dxa"/>
                  <w:noWrap w:val="0"/>
                  <w:vAlign w:val="center"/>
                </w:tcPr>
                <w:p w14:paraId="39EACEB5">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u w:val="single"/>
                      <w:lang w:val="en-US" w:eastAsia="zh-CN"/>
                    </w:rPr>
                  </w:pPr>
                  <w:r>
                    <w:rPr>
                      <w:rFonts w:hint="eastAsia"/>
                      <w:b w:val="0"/>
                      <w:bCs w:val="0"/>
                      <w:color w:val="auto"/>
                      <w:szCs w:val="21"/>
                      <w:u w:val="single"/>
                      <w:lang w:val="en-US" w:eastAsia="zh-CN"/>
                    </w:rPr>
                    <w:t>《环境空气质量标准》（GB3095-2012）</w:t>
                  </w:r>
                </w:p>
                <w:p w14:paraId="1544A1C1">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u w:val="single"/>
                      <w:lang w:val="en-US" w:eastAsia="zh-CN"/>
                    </w:rPr>
                  </w:pPr>
                  <w:r>
                    <w:rPr>
                      <w:rFonts w:hint="eastAsia"/>
                      <w:b w:val="0"/>
                      <w:bCs w:val="0"/>
                      <w:color w:val="auto"/>
                      <w:szCs w:val="21"/>
                      <w:u w:val="single"/>
                      <w:lang w:val="en-US" w:eastAsia="zh-CN"/>
                    </w:rPr>
                    <w:t>二级标准</w:t>
                  </w:r>
                </w:p>
              </w:tc>
            </w:tr>
            <w:tr w14:paraId="3B2D0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2ED0E42A">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3</w:t>
                  </w:r>
                </w:p>
              </w:tc>
              <w:tc>
                <w:tcPr>
                  <w:tcW w:w="3247" w:type="dxa"/>
                  <w:noWrap w:val="0"/>
                  <w:vAlign w:val="center"/>
                </w:tcPr>
                <w:p w14:paraId="6EB2C8F1">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声环境功能区</w:t>
                  </w:r>
                </w:p>
              </w:tc>
              <w:tc>
                <w:tcPr>
                  <w:tcW w:w="4094" w:type="dxa"/>
                  <w:noWrap w:val="0"/>
                  <w:vAlign w:val="center"/>
                </w:tcPr>
                <w:p w14:paraId="5BB02F0B">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u w:val="single"/>
                      <w:lang w:val="en-US" w:eastAsia="zh-CN"/>
                    </w:rPr>
                  </w:pPr>
                  <w:r>
                    <w:rPr>
                      <w:rFonts w:hint="eastAsia"/>
                      <w:b w:val="0"/>
                      <w:bCs w:val="0"/>
                      <w:color w:val="auto"/>
                      <w:szCs w:val="21"/>
                      <w:u w:val="single"/>
                      <w:lang w:val="en-US" w:eastAsia="zh-CN"/>
                    </w:rPr>
                    <w:t>项目周边居民点等敏感点执行《声环境质量标准》（GB3096-2008）2类标准。</w:t>
                  </w:r>
                </w:p>
              </w:tc>
            </w:tr>
            <w:tr w14:paraId="6B629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3C6A18E9">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4</w:t>
                  </w:r>
                </w:p>
              </w:tc>
              <w:tc>
                <w:tcPr>
                  <w:tcW w:w="3247" w:type="dxa"/>
                  <w:noWrap w:val="0"/>
                  <w:vAlign w:val="center"/>
                </w:tcPr>
                <w:p w14:paraId="1DEAAA99">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是否占用基本保护农田</w:t>
                  </w:r>
                </w:p>
              </w:tc>
              <w:tc>
                <w:tcPr>
                  <w:tcW w:w="4094" w:type="dxa"/>
                  <w:noWrap w:val="0"/>
                  <w:vAlign w:val="center"/>
                </w:tcPr>
                <w:p w14:paraId="6FCE7137">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否</w:t>
                  </w:r>
                </w:p>
              </w:tc>
            </w:tr>
            <w:tr w14:paraId="22270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09E2EC26">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5</w:t>
                  </w:r>
                </w:p>
              </w:tc>
              <w:tc>
                <w:tcPr>
                  <w:tcW w:w="3247" w:type="dxa"/>
                  <w:noWrap w:val="0"/>
                  <w:vAlign w:val="center"/>
                </w:tcPr>
                <w:p w14:paraId="6CF4F1E7">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是否属于森林公园</w:t>
                  </w:r>
                </w:p>
              </w:tc>
              <w:tc>
                <w:tcPr>
                  <w:tcW w:w="4094" w:type="dxa"/>
                  <w:noWrap w:val="0"/>
                  <w:vAlign w:val="center"/>
                </w:tcPr>
                <w:p w14:paraId="17745AA5">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u w:val="single"/>
                      <w:lang w:val="en-US" w:eastAsia="zh-CN"/>
                    </w:rPr>
                  </w:pPr>
                  <w:r>
                    <w:rPr>
                      <w:rFonts w:hint="eastAsia"/>
                      <w:b w:val="0"/>
                      <w:bCs w:val="0"/>
                      <w:color w:val="auto"/>
                      <w:szCs w:val="21"/>
                      <w:u w:val="single"/>
                      <w:lang w:val="en-US" w:eastAsia="zh-CN"/>
                    </w:rPr>
                    <w:t>否</w:t>
                  </w:r>
                </w:p>
              </w:tc>
            </w:tr>
            <w:tr w14:paraId="25C42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2C825415">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6</w:t>
                  </w:r>
                </w:p>
              </w:tc>
              <w:tc>
                <w:tcPr>
                  <w:tcW w:w="3247" w:type="dxa"/>
                  <w:noWrap w:val="0"/>
                  <w:vAlign w:val="center"/>
                </w:tcPr>
                <w:p w14:paraId="6103B44C">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是否属于生态功能保护区</w:t>
                  </w:r>
                </w:p>
              </w:tc>
              <w:tc>
                <w:tcPr>
                  <w:tcW w:w="4094" w:type="dxa"/>
                  <w:noWrap w:val="0"/>
                  <w:vAlign w:val="center"/>
                </w:tcPr>
                <w:p w14:paraId="1400C7D2">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u w:val="single"/>
                      <w:lang w:val="en-US" w:eastAsia="zh-CN"/>
                    </w:rPr>
                  </w:pPr>
                  <w:r>
                    <w:rPr>
                      <w:rFonts w:hint="eastAsia"/>
                      <w:b w:val="0"/>
                      <w:bCs w:val="0"/>
                      <w:color w:val="auto"/>
                      <w:szCs w:val="21"/>
                      <w:u w:val="single"/>
                      <w:lang w:val="en-US" w:eastAsia="zh-CN"/>
                    </w:rPr>
                    <w:t>否</w:t>
                  </w:r>
                </w:p>
              </w:tc>
            </w:tr>
            <w:tr w14:paraId="19C81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57284193">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7</w:t>
                  </w:r>
                </w:p>
              </w:tc>
              <w:tc>
                <w:tcPr>
                  <w:tcW w:w="3247" w:type="dxa"/>
                  <w:noWrap w:val="0"/>
                  <w:vAlign w:val="center"/>
                </w:tcPr>
                <w:p w14:paraId="5D7FBE32">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是否属于水土流失重点防治区</w:t>
                  </w:r>
                </w:p>
              </w:tc>
              <w:tc>
                <w:tcPr>
                  <w:tcW w:w="4094" w:type="dxa"/>
                  <w:noWrap w:val="0"/>
                  <w:vAlign w:val="center"/>
                </w:tcPr>
                <w:p w14:paraId="66C5E4BE">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u w:val="single"/>
                      <w:lang w:val="en-US" w:eastAsia="zh-CN"/>
                    </w:rPr>
                  </w:pPr>
                  <w:r>
                    <w:rPr>
                      <w:rFonts w:hint="eastAsia"/>
                      <w:b w:val="0"/>
                      <w:bCs w:val="0"/>
                      <w:color w:val="auto"/>
                      <w:szCs w:val="21"/>
                      <w:u w:val="single"/>
                      <w:lang w:val="en-US" w:eastAsia="zh-CN"/>
                    </w:rPr>
                    <w:t>否</w:t>
                  </w:r>
                </w:p>
              </w:tc>
            </w:tr>
            <w:tr w14:paraId="4D6E0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02CBE3DC">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8</w:t>
                  </w:r>
                </w:p>
              </w:tc>
              <w:tc>
                <w:tcPr>
                  <w:tcW w:w="3247" w:type="dxa"/>
                  <w:noWrap w:val="0"/>
                  <w:vAlign w:val="center"/>
                </w:tcPr>
                <w:p w14:paraId="59B965A2">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是否属于人口密集区</w:t>
                  </w:r>
                </w:p>
              </w:tc>
              <w:tc>
                <w:tcPr>
                  <w:tcW w:w="4094" w:type="dxa"/>
                  <w:noWrap w:val="0"/>
                  <w:vAlign w:val="center"/>
                </w:tcPr>
                <w:p w14:paraId="75BE2DDA">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u w:val="single"/>
                      <w:lang w:val="en-US" w:eastAsia="zh-CN"/>
                    </w:rPr>
                  </w:pPr>
                  <w:r>
                    <w:rPr>
                      <w:rFonts w:hint="eastAsia"/>
                      <w:b w:val="0"/>
                      <w:bCs w:val="0"/>
                      <w:color w:val="auto"/>
                      <w:szCs w:val="21"/>
                      <w:u w:val="single"/>
                      <w:lang w:val="en-US" w:eastAsia="zh-CN"/>
                    </w:rPr>
                    <w:t>否</w:t>
                  </w:r>
                </w:p>
              </w:tc>
            </w:tr>
            <w:tr w14:paraId="3BD79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605C0C3F">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9</w:t>
                  </w:r>
                </w:p>
              </w:tc>
              <w:tc>
                <w:tcPr>
                  <w:tcW w:w="3247" w:type="dxa"/>
                  <w:noWrap w:val="0"/>
                  <w:vAlign w:val="center"/>
                </w:tcPr>
                <w:p w14:paraId="4D25D0A8">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是否属于重点文物保护单位</w:t>
                  </w:r>
                </w:p>
              </w:tc>
              <w:tc>
                <w:tcPr>
                  <w:tcW w:w="4094" w:type="dxa"/>
                  <w:noWrap w:val="0"/>
                  <w:vAlign w:val="center"/>
                </w:tcPr>
                <w:p w14:paraId="4AE66562">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u w:val="single"/>
                      <w:lang w:val="en-US" w:eastAsia="zh-CN"/>
                    </w:rPr>
                  </w:pPr>
                  <w:r>
                    <w:rPr>
                      <w:rFonts w:hint="eastAsia"/>
                      <w:b w:val="0"/>
                      <w:bCs w:val="0"/>
                      <w:color w:val="auto"/>
                      <w:szCs w:val="21"/>
                      <w:u w:val="single"/>
                      <w:lang w:val="en-US" w:eastAsia="zh-CN"/>
                    </w:rPr>
                    <w:t>否</w:t>
                  </w:r>
                </w:p>
              </w:tc>
            </w:tr>
            <w:tr w14:paraId="277CB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76159737">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10</w:t>
                  </w:r>
                </w:p>
              </w:tc>
              <w:tc>
                <w:tcPr>
                  <w:tcW w:w="3247" w:type="dxa"/>
                  <w:noWrap w:val="0"/>
                  <w:vAlign w:val="center"/>
                </w:tcPr>
                <w:p w14:paraId="3E7794F5">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是否属于水库库区</w:t>
                  </w:r>
                </w:p>
              </w:tc>
              <w:tc>
                <w:tcPr>
                  <w:tcW w:w="4094" w:type="dxa"/>
                  <w:noWrap w:val="0"/>
                  <w:vAlign w:val="center"/>
                </w:tcPr>
                <w:p w14:paraId="6C36C40C">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u w:val="single"/>
                      <w:lang w:val="en-US" w:eastAsia="zh-CN"/>
                    </w:rPr>
                  </w:pPr>
                  <w:r>
                    <w:rPr>
                      <w:rFonts w:hint="eastAsia"/>
                      <w:b w:val="0"/>
                      <w:bCs w:val="0"/>
                      <w:color w:val="auto"/>
                      <w:szCs w:val="21"/>
                      <w:u w:val="single"/>
                      <w:lang w:val="en-US" w:eastAsia="zh-CN"/>
                    </w:rPr>
                    <w:t>否</w:t>
                  </w:r>
                </w:p>
              </w:tc>
            </w:tr>
            <w:tr w14:paraId="030C4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0D3FD57E">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11</w:t>
                  </w:r>
                </w:p>
              </w:tc>
              <w:tc>
                <w:tcPr>
                  <w:tcW w:w="3247" w:type="dxa"/>
                  <w:noWrap w:val="0"/>
                  <w:vAlign w:val="center"/>
                </w:tcPr>
                <w:p w14:paraId="00A2A222">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是否属于生态环境敏感与脆弱区</w:t>
                  </w:r>
                </w:p>
              </w:tc>
              <w:tc>
                <w:tcPr>
                  <w:tcW w:w="4094" w:type="dxa"/>
                  <w:noWrap w:val="0"/>
                  <w:vAlign w:val="center"/>
                </w:tcPr>
                <w:p w14:paraId="32A9C154">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u w:val="single"/>
                      <w:lang w:val="en-US" w:eastAsia="zh-CN"/>
                    </w:rPr>
                  </w:pPr>
                  <w:r>
                    <w:rPr>
                      <w:rFonts w:hint="eastAsia"/>
                      <w:b w:val="0"/>
                      <w:bCs w:val="0"/>
                      <w:color w:val="auto"/>
                      <w:szCs w:val="21"/>
                      <w:u w:val="single"/>
                      <w:lang w:val="en-US" w:eastAsia="zh-CN"/>
                    </w:rPr>
                    <w:t>否</w:t>
                  </w:r>
                </w:p>
              </w:tc>
            </w:tr>
            <w:tr w14:paraId="7BA2C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dxa"/>
                  <w:noWrap w:val="0"/>
                  <w:vAlign w:val="center"/>
                </w:tcPr>
                <w:p w14:paraId="1ADDA360">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12</w:t>
                  </w:r>
                </w:p>
              </w:tc>
              <w:tc>
                <w:tcPr>
                  <w:tcW w:w="3247" w:type="dxa"/>
                  <w:noWrap w:val="0"/>
                  <w:vAlign w:val="center"/>
                </w:tcPr>
                <w:p w14:paraId="00E9931A">
                  <w:pPr>
                    <w:keepNext w:val="0"/>
                    <w:keepLines w:val="0"/>
                    <w:suppressLineNumbers w:val="0"/>
                    <w:adjustRightInd w:val="0"/>
                    <w:snapToGrid w:val="0"/>
                    <w:spacing w:before="0" w:beforeAutospacing="0" w:after="0" w:afterAutospacing="0"/>
                    <w:ind w:left="0" w:right="0"/>
                    <w:jc w:val="center"/>
                    <w:rPr>
                      <w:rFonts w:hint="eastAsia"/>
                      <w:b w:val="0"/>
                      <w:bCs w:val="0"/>
                      <w:color w:val="auto"/>
                      <w:szCs w:val="21"/>
                      <w:u w:val="single"/>
                      <w:lang w:val="en-US" w:eastAsia="zh-CN"/>
                    </w:rPr>
                  </w:pPr>
                  <w:r>
                    <w:rPr>
                      <w:rFonts w:hint="eastAsia"/>
                      <w:b w:val="0"/>
                      <w:bCs w:val="0"/>
                      <w:color w:val="auto"/>
                      <w:szCs w:val="21"/>
                      <w:u w:val="single"/>
                      <w:lang w:val="en-US" w:eastAsia="zh-CN"/>
                    </w:rPr>
                    <w:t>是否在“饮用水源保护区”内</w:t>
                  </w:r>
                </w:p>
              </w:tc>
              <w:tc>
                <w:tcPr>
                  <w:tcW w:w="4094" w:type="dxa"/>
                  <w:noWrap w:val="0"/>
                  <w:vAlign w:val="center"/>
                </w:tcPr>
                <w:p w14:paraId="05573799">
                  <w:pPr>
                    <w:keepNext w:val="0"/>
                    <w:keepLines w:val="0"/>
                    <w:suppressLineNumbers w:val="0"/>
                    <w:adjustRightInd w:val="0"/>
                    <w:snapToGrid w:val="0"/>
                    <w:spacing w:before="0" w:beforeAutospacing="0" w:after="0" w:afterAutospacing="0"/>
                    <w:ind w:left="0" w:right="0"/>
                    <w:jc w:val="center"/>
                    <w:rPr>
                      <w:rFonts w:hint="default"/>
                      <w:b w:val="0"/>
                      <w:bCs w:val="0"/>
                      <w:color w:val="auto"/>
                      <w:szCs w:val="21"/>
                      <w:u w:val="single"/>
                      <w:lang w:val="en-US" w:eastAsia="zh-CN"/>
                    </w:rPr>
                  </w:pPr>
                  <w:r>
                    <w:rPr>
                      <w:rFonts w:hint="eastAsia"/>
                      <w:b w:val="0"/>
                      <w:bCs w:val="0"/>
                      <w:color w:val="auto"/>
                      <w:szCs w:val="21"/>
                      <w:u w:val="single"/>
                      <w:lang w:val="en-US" w:eastAsia="zh-CN"/>
                    </w:rPr>
                    <w:t>否</w:t>
                  </w:r>
                </w:p>
              </w:tc>
            </w:tr>
          </w:tbl>
          <w:p w14:paraId="799D1C1F">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default"/>
                <w:b/>
                <w:bCs/>
                <w:color w:val="auto"/>
                <w:kern w:val="0"/>
                <w:sz w:val="24"/>
                <w:u w:val="none"/>
              </w:rPr>
            </w:pPr>
            <w:r>
              <w:rPr>
                <w:rFonts w:hint="eastAsia"/>
                <w:b/>
                <w:bCs/>
                <w:color w:val="auto"/>
                <w:kern w:val="0"/>
                <w:sz w:val="24"/>
                <w:u w:val="none"/>
                <w:lang w:val="en-US" w:eastAsia="zh-CN"/>
              </w:rPr>
              <w:t>2、</w:t>
            </w:r>
            <w:r>
              <w:rPr>
                <w:rFonts w:hint="eastAsia"/>
                <w:b/>
                <w:bCs/>
                <w:color w:val="auto"/>
                <w:kern w:val="0"/>
                <w:sz w:val="24"/>
                <w:u w:val="none"/>
              </w:rPr>
              <w:t>生态环境</w:t>
            </w:r>
            <w:r>
              <w:rPr>
                <w:rFonts w:hint="eastAsia"/>
                <w:b/>
                <w:bCs/>
                <w:color w:val="auto"/>
                <w:kern w:val="0"/>
                <w:sz w:val="24"/>
                <w:u w:val="none"/>
                <w:lang w:val="en-US" w:eastAsia="zh-CN"/>
              </w:rPr>
              <w:t>质量</w:t>
            </w:r>
            <w:r>
              <w:rPr>
                <w:rFonts w:hint="eastAsia"/>
                <w:b/>
                <w:bCs/>
                <w:color w:val="auto"/>
                <w:kern w:val="0"/>
                <w:sz w:val="24"/>
                <w:u w:val="none"/>
              </w:rPr>
              <w:t>现状</w:t>
            </w:r>
          </w:p>
          <w:p w14:paraId="1225DB2C">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eastAsia" w:eastAsia="宋体"/>
                <w:b/>
                <w:bCs/>
                <w:color w:val="auto"/>
                <w:spacing w:val="-2"/>
                <w:sz w:val="24"/>
                <w:u w:val="none"/>
                <w:lang w:eastAsia="zh-CN"/>
              </w:rPr>
            </w:pPr>
            <w:r>
              <w:rPr>
                <w:rFonts w:hint="eastAsia"/>
                <w:b/>
                <w:bCs/>
                <w:color w:val="auto"/>
                <w:spacing w:val="-2"/>
                <w:sz w:val="24"/>
                <w:u w:val="none"/>
                <w:lang w:val="en-US" w:eastAsia="zh-CN"/>
              </w:rPr>
              <w:t>2.1 陆生生态</w:t>
            </w:r>
          </w:p>
          <w:p w14:paraId="48DE1787">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lang w:val="en-US" w:eastAsia="zh-CN"/>
              </w:rPr>
            </w:pPr>
            <w:r>
              <w:rPr>
                <w:rFonts w:hint="eastAsia"/>
                <w:color w:val="auto"/>
                <w:spacing w:val="-2"/>
                <w:sz w:val="24"/>
                <w:u w:val="single"/>
                <w:lang w:val="en-US" w:eastAsia="zh-CN"/>
              </w:rPr>
              <w:t>本项目为政府公益性项目，项目新增用地为划拨用地。项目建设符合《临湘市国土空间总体规划（2021-2025）》、《临湘市城市总体规划(2016-2030)》，符合建设用地控制指标。</w:t>
            </w:r>
          </w:p>
          <w:p w14:paraId="7DF1DA4E">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eastAsia="宋体"/>
                <w:color w:val="auto"/>
                <w:spacing w:val="-2"/>
                <w:sz w:val="24"/>
                <w:u w:val="single"/>
                <w:lang w:val="en-US" w:eastAsia="zh-CN"/>
              </w:rPr>
            </w:pPr>
            <w:r>
              <w:rPr>
                <w:rFonts w:hint="eastAsia"/>
                <w:color w:val="auto"/>
                <w:spacing w:val="-2"/>
                <w:sz w:val="24"/>
                <w:u w:val="single"/>
                <w:lang w:val="en-US" w:eastAsia="zh-CN"/>
              </w:rPr>
              <w:t>1）植被</w:t>
            </w:r>
          </w:p>
          <w:p w14:paraId="1004FEEC">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根据《中国植被》及《湖南植被》相关记载，项目区域植被成分属华东植物区系，所在气候区的地带性植被为中亚热带常绿阔叶林，其次为亚热带松林、杉木林和竹林，再者为灌草丛。由于河道沿线海拔较低，邻近城镇区域，人类活动频繁，开发强度高，原生林已不复存在，而代之以次生林、次生灌草和人工植被。</w:t>
            </w:r>
          </w:p>
          <w:p w14:paraId="6AC40A93">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根据植物资源现状调查，区域内的植被类型主要有：杉木林、油茶林、马尾松林、杂木灌丛、灌草丛、经济林和农业植被等；树种主要有：杉、马尾松、栎、樟、竹等，以及灌木和草本植被。</w:t>
            </w:r>
          </w:p>
          <w:p w14:paraId="7D9E1D16">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油茶林：在评价区范围内分布广泛，与杂木灌丛共同组成评价区的两大优势植被。其林冠稠密，高度在</w:t>
            </w:r>
            <w:r>
              <w:rPr>
                <w:rFonts w:hint="eastAsia"/>
                <w:color w:val="auto"/>
                <w:spacing w:val="-2"/>
                <w:sz w:val="24"/>
                <w:u w:val="single"/>
                <w:lang w:val="en-US" w:eastAsia="zh-CN"/>
              </w:rPr>
              <w:t>2</w:t>
            </w:r>
            <w:r>
              <w:rPr>
                <w:rFonts w:hint="eastAsia"/>
                <w:color w:val="auto"/>
                <w:spacing w:val="-2"/>
                <w:sz w:val="24"/>
                <w:u w:val="single"/>
              </w:rPr>
              <w:t>米左右，郁闭度多在0.7～0.9之间，林象成深绿色，下部灌、草发育。该群落目前发育良好，种群较为稳定、生活力较强。</w:t>
            </w:r>
          </w:p>
          <w:p w14:paraId="7A870710">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杂木灌丛：主要分布于已有河堤、道路及人类活动频繁区域附近的山坡地带，建群种以阔叶树种为主，阔叶树种与马尾松林和杉木林下层树木相近，群落郁闭度在0.3~0.8左右。</w:t>
            </w:r>
          </w:p>
          <w:p w14:paraId="455D19CA">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灌草丛：主要分布在河堤道路两侧的荒地间及一些低丘岗地，成条状和块状分布，以茅草等禾草类为优势种，多混生大量的竹，夹杂一些零星的灌木树种，高度在1m以下，为人类强烈干扰衍生的植被。</w:t>
            </w:r>
          </w:p>
          <w:p w14:paraId="44364731">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经济林：主要分布于工程所在地房前屋后、主要为油茶、柑橘等。</w:t>
            </w:r>
          </w:p>
          <w:p w14:paraId="1F2FC02E">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农作物植被：粮食作物以水稻、红薯、玉米为主，经济作物以蔬菜为主。</w:t>
            </w:r>
          </w:p>
          <w:p w14:paraId="3614D686">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总体上，评价区范围内植被简单，自然植被以较密集的杉木、马尾松、油茶、竹为主，人工植被以农作物植被为主。群落外观以葱绿为主，季相变化不大，四季常绿。区域范围内主要为水田、菜地，植被主要为农作物，如水稻、玉米、蔬菜。评价区域内未发现古大树及珍稀植物的分布。</w:t>
            </w:r>
          </w:p>
          <w:p w14:paraId="340093B4">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eastAsia="宋体"/>
                <w:color w:val="auto"/>
                <w:spacing w:val="-2"/>
                <w:sz w:val="24"/>
                <w:u w:val="single"/>
                <w:lang w:val="en-US" w:eastAsia="zh-CN"/>
              </w:rPr>
            </w:pPr>
            <w:r>
              <w:rPr>
                <w:rFonts w:hint="eastAsia"/>
                <w:color w:val="auto"/>
                <w:spacing w:val="-2"/>
                <w:sz w:val="24"/>
                <w:u w:val="single"/>
                <w:lang w:val="en-US" w:eastAsia="zh-CN"/>
              </w:rPr>
              <w:t>2）动物</w:t>
            </w:r>
          </w:p>
          <w:p w14:paraId="2AAF9780">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评价区域的生态地理区属亚热带林灌、农田动物群。由于评价区域人类活动较频繁，区域对土地资源的利用已达到很高的程度，大型野生动物已经绝迹。</w:t>
            </w:r>
          </w:p>
          <w:p w14:paraId="74E490D2">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受到人类长期活动的地方，野生动物的生存环境基本上已经遭到破坏。野生动物多为适应耕地和居民点的种类，林栖鸟类较少见，而以盗食谷物的鼠类和鸟类居多，生活于耕地区捕食昆虫、鼠类的两栖类、爬行类动物较多，主要野生动物有蛙、野兔、田鼠、蝙蝠、蛇、野鸡等。本地常见家畜、家禽主要有猪、牛、羊、兔、鸡、鸭、鹅等。</w:t>
            </w:r>
          </w:p>
          <w:p w14:paraId="42438713">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eastAsia="宋体"/>
                <w:b/>
                <w:bCs/>
                <w:color w:val="auto"/>
                <w:spacing w:val="-2"/>
                <w:sz w:val="24"/>
                <w:u w:val="single"/>
                <w:lang w:val="en-US" w:eastAsia="zh-CN"/>
              </w:rPr>
            </w:pPr>
            <w:r>
              <w:rPr>
                <w:rFonts w:hint="eastAsia"/>
                <w:b/>
                <w:bCs/>
                <w:color w:val="auto"/>
                <w:spacing w:val="-2"/>
                <w:sz w:val="24"/>
                <w:u w:val="single"/>
                <w:lang w:val="en-US" w:eastAsia="zh-CN"/>
              </w:rPr>
              <w:t>2.2 水生生态环境质量现状</w:t>
            </w:r>
          </w:p>
          <w:p w14:paraId="69E7952B">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lang w:val="en-US" w:eastAsia="zh-CN"/>
              </w:rPr>
            </w:pPr>
            <w:r>
              <w:rPr>
                <w:rFonts w:hint="eastAsia"/>
                <w:color w:val="auto"/>
                <w:spacing w:val="-2"/>
                <w:sz w:val="24"/>
                <w:u w:val="single"/>
                <w:lang w:val="en-US" w:eastAsia="zh-CN"/>
              </w:rPr>
              <w:t>结合现场调查和收集相关资料显示，项目沿线两侧大多途径菜土等区域，沿途存在一家工业企业，改变了渠道的天然属性，尤其是在枯水季节影响较为突出其生态，环境以城市生态系统为主。该生态系统中人为主要的生命群体，动物群落基本上是家养动物群落，其生存除部分受气候与疾病等的影响外，基本不受天敌的威胁，主要受人的支配。绿色植物主要为人工栽种的行道树和草坪，成为生态系统的核心，起到美化环境、消除污染和净化空气的作用。</w:t>
            </w:r>
          </w:p>
          <w:p w14:paraId="1183D6EF">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lang w:val="en-US" w:eastAsia="zh-CN"/>
              </w:rPr>
            </w:pPr>
            <w:r>
              <w:rPr>
                <w:rFonts w:hint="eastAsia"/>
                <w:color w:val="auto"/>
                <w:spacing w:val="-2"/>
                <w:sz w:val="24"/>
                <w:u w:val="single"/>
                <w:lang w:val="en-US" w:eastAsia="zh-CN"/>
              </w:rPr>
              <w:t>1）两栖爬行类</w:t>
            </w:r>
          </w:p>
          <w:p w14:paraId="79645A65">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lang w:val="en-US" w:eastAsia="zh-CN"/>
              </w:rPr>
            </w:pPr>
            <w:r>
              <w:rPr>
                <w:rFonts w:hint="eastAsia"/>
                <w:color w:val="auto"/>
                <w:spacing w:val="-2"/>
                <w:sz w:val="24"/>
                <w:u w:val="single"/>
                <w:lang w:val="en-US" w:eastAsia="zh-CN"/>
              </w:rPr>
              <w:t>项目周边区域两栖、爬行类动物主要有蟾蜍、蛇、蛙等，未发现国家保护珍稀植物的分布，无国家保护珍稀两栖爬行类动物。</w:t>
            </w:r>
          </w:p>
          <w:p w14:paraId="0C630B26">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lang w:val="en-US" w:eastAsia="zh-CN"/>
              </w:rPr>
            </w:pPr>
            <w:r>
              <w:rPr>
                <w:rFonts w:hint="eastAsia"/>
                <w:color w:val="auto"/>
                <w:spacing w:val="-2"/>
                <w:sz w:val="24"/>
                <w:u w:val="single"/>
                <w:lang w:val="en-US" w:eastAsia="zh-CN"/>
              </w:rPr>
              <w:t>2）水生生物</w:t>
            </w:r>
          </w:p>
          <w:p w14:paraId="06D5AFEA">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lang w:val="en-US" w:eastAsia="zh-CN"/>
              </w:rPr>
            </w:pPr>
            <w:r>
              <w:rPr>
                <w:rFonts w:hint="eastAsia"/>
                <w:color w:val="auto"/>
                <w:spacing w:val="-2"/>
                <w:sz w:val="24"/>
                <w:u w:val="single"/>
                <w:lang w:val="en-US" w:eastAsia="zh-CN"/>
              </w:rPr>
              <w:t>据调查本项目涉及水生植物主要为浮游植物，以硅藻居多，绿藻次之，蓝藻门和裸藻门最少，从种类成分看，几乎全为普生性淡水种。本项目涉及水域内未发现有国家Ⅰ、Ⅱ级保护鱼类，分布多为多带高原鳅、松潘裸鲫等小型鱼类。</w:t>
            </w:r>
          </w:p>
          <w:p w14:paraId="64D5B8F8">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eastAsia="宋体"/>
                <w:b/>
                <w:bCs/>
                <w:color w:val="auto"/>
                <w:spacing w:val="-2"/>
                <w:sz w:val="24"/>
                <w:u w:val="none"/>
                <w:lang w:val="en-US" w:eastAsia="zh-CN"/>
              </w:rPr>
            </w:pPr>
            <w:r>
              <w:rPr>
                <w:rFonts w:hint="eastAsia"/>
                <w:b/>
                <w:bCs/>
                <w:color w:val="auto"/>
                <w:spacing w:val="-2"/>
                <w:sz w:val="24"/>
                <w:u w:val="none"/>
                <w:lang w:val="en-US" w:eastAsia="zh-CN"/>
              </w:rPr>
              <w:t>2.3 水文特征</w:t>
            </w:r>
          </w:p>
          <w:p w14:paraId="58E4F9B1">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none"/>
                <w:lang w:val="en-US" w:eastAsia="zh-CN"/>
              </w:rPr>
            </w:pPr>
            <w:r>
              <w:rPr>
                <w:rFonts w:hint="eastAsia"/>
                <w:color w:val="auto"/>
                <w:spacing w:val="-2"/>
                <w:sz w:val="24"/>
                <w:u w:val="none"/>
                <w:lang w:val="en-US" w:eastAsia="zh-CN"/>
              </w:rPr>
              <w:t>临湘境内有长江38.5公里，大小河流133条，其中流域面积大于3.0平方公里、干流长3公里以上的河流、溪港92条，流域面积大于10平方公里的河流41条，其中流经规划区的河流有五条，分别为长安河、上港溪、辛庄河、师家河及肖家堰。临湘境内有大小湖泊17个，其中规划区内的具有较大规模的湖泊为白云湖。白云湖作为规划区内唯一的人工湖，最主要的功能为景观环境功能，其次为雨水调蓄功能。</w:t>
            </w:r>
          </w:p>
          <w:p w14:paraId="358ECE51">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color w:val="auto"/>
                <w:spacing w:val="-2"/>
                <w:sz w:val="24"/>
                <w:u w:val="none"/>
                <w:lang w:val="en-US" w:eastAsia="zh-CN"/>
              </w:rPr>
            </w:pPr>
            <w:r>
              <w:rPr>
                <w:rFonts w:hint="eastAsia"/>
                <w:color w:val="auto"/>
                <w:spacing w:val="-2"/>
                <w:sz w:val="24"/>
                <w:u w:val="none"/>
                <w:lang w:val="en-US" w:eastAsia="zh-CN"/>
              </w:rPr>
              <w:t>1）长安河</w:t>
            </w:r>
          </w:p>
          <w:p w14:paraId="3287A159">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none"/>
                <w:lang w:val="en-US" w:eastAsia="zh-CN"/>
              </w:rPr>
            </w:pPr>
            <w:r>
              <w:rPr>
                <w:rFonts w:hint="eastAsia"/>
                <w:color w:val="auto"/>
                <w:spacing w:val="-2"/>
                <w:sz w:val="24"/>
                <w:u w:val="none"/>
                <w:lang w:val="en-US" w:eastAsia="zh-CN"/>
              </w:rPr>
              <w:t>长安河发源于五尖山南麓横铺乡坪头村的八房冲，自南向北注入黄盖湖，汇于长江。长安河作为规划区城市污水处理尾水和雨水的主要受纳水体，根据临湘市水域功能区划要求，长安河规划区段执行国家《地表水环境质量标准》（GB3838－2002）Ⅲ类水质标准。</w:t>
            </w:r>
          </w:p>
          <w:p w14:paraId="61714802">
            <w:pPr>
              <w:keepNext w:val="0"/>
              <w:keepLines w:val="0"/>
              <w:numPr>
                <w:ilvl w:val="0"/>
                <w:numId w:val="8"/>
              </w:numPr>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none"/>
                <w:lang w:val="en-US" w:eastAsia="zh-CN"/>
              </w:rPr>
            </w:pPr>
            <w:r>
              <w:rPr>
                <w:rFonts w:hint="eastAsia"/>
                <w:color w:val="auto"/>
                <w:spacing w:val="-2"/>
                <w:sz w:val="24"/>
                <w:u w:val="none"/>
                <w:lang w:val="en-US" w:eastAsia="zh-CN"/>
              </w:rPr>
              <w:t>上港溪</w:t>
            </w:r>
          </w:p>
          <w:p w14:paraId="798FAACA">
            <w:pPr>
              <w:keepNext w:val="0"/>
              <w:keepLines w:val="0"/>
              <w:numPr>
                <w:ilvl w:val="0"/>
                <w:numId w:val="0"/>
              </w:numPr>
              <w:suppressLineNumbers w:val="0"/>
              <w:autoSpaceDE w:val="0"/>
              <w:autoSpaceDN w:val="0"/>
              <w:adjustRightInd w:val="0"/>
              <w:snapToGrid w:val="0"/>
              <w:spacing w:before="0" w:beforeAutospacing="0" w:after="0" w:afterAutospacing="0" w:line="360" w:lineRule="auto"/>
              <w:ind w:left="0" w:right="0" w:rightChars="0" w:firstLine="472" w:firstLineChars="200"/>
              <w:rPr>
                <w:rFonts w:hint="default"/>
                <w:color w:val="auto"/>
                <w:spacing w:val="-2"/>
                <w:sz w:val="24"/>
                <w:u w:val="none"/>
                <w:lang w:val="en-US" w:eastAsia="zh-CN"/>
              </w:rPr>
            </w:pPr>
            <w:r>
              <w:rPr>
                <w:rFonts w:hint="default"/>
                <w:color w:val="auto"/>
                <w:spacing w:val="-2"/>
                <w:sz w:val="24"/>
                <w:u w:val="none"/>
                <w:lang w:val="en-US" w:eastAsia="zh-CN"/>
              </w:rPr>
              <w:t>上港溪主要流经规划区的北部区域，作为该片区行洪和行涝的主要通道，其过流断面较小，水体自净能力有限，不宜作规划区污水处理厂的尾水受纳水体，仅作雨水的行泄通道。根据《临湘市城市总体规划（2016-2030年）》，上港溪水质应按《地表水环境质量标准》（GB3838-2002）III类水体水质目标进行保护和控制。</w:t>
            </w:r>
          </w:p>
          <w:p w14:paraId="75C188AB">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default"/>
                <w:b/>
                <w:bCs/>
                <w:color w:val="auto"/>
                <w:kern w:val="0"/>
                <w:sz w:val="24"/>
                <w:u w:val="single"/>
              </w:rPr>
            </w:pPr>
            <w:r>
              <w:rPr>
                <w:rFonts w:hint="eastAsia"/>
                <w:b/>
                <w:bCs/>
                <w:color w:val="auto"/>
                <w:kern w:val="0"/>
                <w:sz w:val="24"/>
                <w:u w:val="single"/>
                <w:lang w:val="en-US" w:eastAsia="zh-CN"/>
              </w:rPr>
              <w:t>3</w:t>
            </w:r>
            <w:r>
              <w:rPr>
                <w:rFonts w:hint="default"/>
                <w:b/>
                <w:bCs/>
                <w:color w:val="auto"/>
                <w:kern w:val="0"/>
                <w:sz w:val="24"/>
                <w:u w:val="single"/>
              </w:rPr>
              <w:t>、环境空气质量现状</w:t>
            </w:r>
          </w:p>
          <w:p w14:paraId="39B0E629">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color w:val="auto"/>
                <w:spacing w:val="-2"/>
                <w:sz w:val="24"/>
                <w:u w:val="single"/>
              </w:rPr>
            </w:pPr>
            <w:r>
              <w:rPr>
                <w:rFonts w:hint="eastAsia"/>
                <w:b/>
                <w:bCs/>
                <w:color w:val="auto"/>
                <w:spacing w:val="-2"/>
                <w:sz w:val="24"/>
                <w:u w:val="single"/>
                <w:lang w:val="en-US" w:eastAsia="zh-CN"/>
              </w:rPr>
              <w:t xml:space="preserve">3.1 </w:t>
            </w:r>
            <w:r>
              <w:rPr>
                <w:rFonts w:hint="eastAsia"/>
                <w:b/>
                <w:bCs/>
                <w:color w:val="auto"/>
                <w:spacing w:val="-2"/>
                <w:sz w:val="24"/>
                <w:u w:val="single"/>
              </w:rPr>
              <w:t>基本污染物环境质量现状及达标区判定</w:t>
            </w:r>
          </w:p>
          <w:p w14:paraId="776E6621">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color w:val="auto"/>
                <w:spacing w:val="-2"/>
                <w:sz w:val="24"/>
                <w:u w:val="single"/>
              </w:rPr>
            </w:pPr>
            <w:r>
              <w:rPr>
                <w:rFonts w:hint="eastAsia"/>
                <w:color w:val="auto"/>
                <w:spacing w:val="-2"/>
                <w:sz w:val="24"/>
                <w:u w:val="single"/>
              </w:rPr>
              <w:t>根据《环境影响评价技术导则大气环境》（HJ2.2-2018），项目所在区域达标判定优先采用国家或地方生态环境主管部门公开发布的评价基准年环境质量公告或环境质量报告中的数据或结论。项目位于二类环境空气功能区，执行《环境空气质量标准》（GB3095-2012）及其修改单中的二级标准。</w:t>
            </w:r>
          </w:p>
          <w:p w14:paraId="57D800D0">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color w:val="auto"/>
                <w:spacing w:val="-2"/>
                <w:sz w:val="24"/>
                <w:u w:val="single"/>
              </w:rPr>
            </w:pPr>
            <w:r>
              <w:rPr>
                <w:rFonts w:hint="eastAsia"/>
                <w:color w:val="auto"/>
                <w:spacing w:val="-2"/>
                <w:sz w:val="24"/>
                <w:u w:val="single"/>
              </w:rPr>
              <w:t>根据</w:t>
            </w:r>
            <w:r>
              <w:rPr>
                <w:rFonts w:hint="eastAsia"/>
                <w:color w:val="auto"/>
                <w:sz w:val="24"/>
                <w:u w:val="single"/>
                <w:lang w:val="en-US" w:eastAsia="zh-CN"/>
              </w:rPr>
              <w:t>岳阳</w:t>
            </w:r>
            <w:r>
              <w:rPr>
                <w:rFonts w:hint="eastAsia"/>
                <w:color w:val="auto"/>
                <w:sz w:val="24"/>
                <w:u w:val="single"/>
              </w:rPr>
              <w:t>市生态环境局公布的《岳阳市2023年度生态环境质量公报》</w:t>
            </w:r>
            <w:r>
              <w:rPr>
                <w:rFonts w:hint="eastAsia"/>
                <w:color w:val="auto"/>
                <w:spacing w:val="-2"/>
                <w:sz w:val="24"/>
                <w:u w:val="single"/>
              </w:rPr>
              <w:t>，202</w:t>
            </w:r>
            <w:r>
              <w:rPr>
                <w:rFonts w:hint="eastAsia"/>
                <w:color w:val="auto"/>
                <w:spacing w:val="-2"/>
                <w:sz w:val="24"/>
                <w:u w:val="single"/>
                <w:lang w:val="en-US" w:eastAsia="zh-CN"/>
              </w:rPr>
              <w:t>3</w:t>
            </w:r>
            <w:r>
              <w:rPr>
                <w:rFonts w:hint="eastAsia"/>
                <w:color w:val="auto"/>
                <w:spacing w:val="-2"/>
                <w:sz w:val="24"/>
                <w:u w:val="single"/>
              </w:rPr>
              <w:t>年</w:t>
            </w:r>
            <w:r>
              <w:rPr>
                <w:rFonts w:hint="eastAsia"/>
                <w:color w:val="auto"/>
                <w:spacing w:val="-2"/>
                <w:sz w:val="24"/>
                <w:u w:val="single"/>
                <w:lang w:val="en-US" w:eastAsia="zh-CN"/>
              </w:rPr>
              <w:t>临湘</w:t>
            </w:r>
            <w:r>
              <w:rPr>
                <w:rFonts w:hint="eastAsia"/>
                <w:color w:val="auto"/>
                <w:spacing w:val="-2"/>
                <w:sz w:val="24"/>
                <w:u w:val="single"/>
              </w:rPr>
              <w:t>市环境空气质量现状评价表见</w:t>
            </w:r>
            <w:r>
              <w:rPr>
                <w:rFonts w:hint="eastAsia"/>
                <w:color w:val="auto"/>
                <w:spacing w:val="-2"/>
                <w:sz w:val="24"/>
                <w:u w:val="single"/>
                <w:lang w:eastAsia="zh-CN"/>
              </w:rPr>
              <w:t>下表</w:t>
            </w:r>
            <w:r>
              <w:rPr>
                <w:rFonts w:hint="eastAsia"/>
                <w:color w:val="auto"/>
                <w:spacing w:val="-2"/>
                <w:sz w:val="24"/>
                <w:u w:val="single"/>
              </w:rPr>
              <w:t>。</w:t>
            </w:r>
          </w:p>
          <w:p w14:paraId="0CC94601">
            <w:pPr>
              <w:pStyle w:val="80"/>
              <w:keepNext w:val="0"/>
              <w:keepLines w:val="0"/>
              <w:suppressLineNumbers w:val="0"/>
              <w:spacing w:before="0" w:beforeLines="0" w:beforeAutospacing="0" w:after="0" w:afterAutospacing="0" w:line="360" w:lineRule="exact"/>
              <w:ind w:left="0" w:right="0"/>
              <w:rPr>
                <w:rFonts w:hint="default"/>
                <w:color w:val="auto"/>
                <w:sz w:val="21"/>
                <w:szCs w:val="21"/>
                <w:u w:val="single"/>
              </w:rPr>
            </w:pPr>
            <w:r>
              <w:rPr>
                <w:rFonts w:hint="default"/>
                <w:color w:val="auto"/>
                <w:sz w:val="21"/>
                <w:szCs w:val="21"/>
                <w:u w:val="single"/>
              </w:rPr>
              <w:t>表</w:t>
            </w:r>
            <w:r>
              <w:rPr>
                <w:rFonts w:hint="eastAsia"/>
                <w:color w:val="auto"/>
                <w:sz w:val="21"/>
                <w:szCs w:val="21"/>
                <w:u w:val="single"/>
              </w:rPr>
              <w:t>3-</w:t>
            </w:r>
            <w:r>
              <w:rPr>
                <w:rFonts w:hint="eastAsia"/>
                <w:color w:val="auto"/>
                <w:sz w:val="21"/>
                <w:szCs w:val="21"/>
                <w:u w:val="single"/>
                <w:lang w:val="en-US" w:eastAsia="zh-CN"/>
              </w:rPr>
              <w:t>2</w:t>
            </w:r>
            <w:r>
              <w:rPr>
                <w:rFonts w:hint="eastAsia"/>
                <w:color w:val="auto"/>
                <w:sz w:val="21"/>
                <w:szCs w:val="21"/>
                <w:u w:val="single"/>
              </w:rPr>
              <w:t xml:space="preserve">  </w:t>
            </w:r>
            <w:r>
              <w:rPr>
                <w:rFonts w:hint="default"/>
                <w:color w:val="auto"/>
                <w:sz w:val="21"/>
                <w:szCs w:val="21"/>
                <w:u w:val="single"/>
              </w:rPr>
              <w:t>区域空气质量现状评价表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2223"/>
              <w:gridCol w:w="1408"/>
              <w:gridCol w:w="1408"/>
              <w:gridCol w:w="1157"/>
              <w:gridCol w:w="1043"/>
            </w:tblGrid>
            <w:tr w14:paraId="1A7ED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dxa"/>
                  <w:noWrap w:val="0"/>
                  <w:vAlign w:val="center"/>
                </w:tcPr>
                <w:p w14:paraId="01FF3B34">
                  <w:pPr>
                    <w:keepNext w:val="0"/>
                    <w:keepLines w:val="0"/>
                    <w:suppressLineNumbers w:val="0"/>
                    <w:adjustRightInd w:val="0"/>
                    <w:snapToGrid w:val="0"/>
                    <w:spacing w:before="0" w:beforeAutospacing="0" w:after="0" w:afterAutospacing="0"/>
                    <w:ind w:left="0" w:right="0"/>
                    <w:jc w:val="center"/>
                    <w:rPr>
                      <w:rFonts w:hint="default"/>
                      <w:b/>
                      <w:bCs/>
                      <w:color w:val="auto"/>
                      <w:szCs w:val="21"/>
                      <w:u w:val="single"/>
                    </w:rPr>
                  </w:pPr>
                  <w:r>
                    <w:rPr>
                      <w:rFonts w:hint="default"/>
                      <w:b/>
                      <w:bCs/>
                      <w:color w:val="auto"/>
                      <w:szCs w:val="21"/>
                      <w:u w:val="single"/>
                    </w:rPr>
                    <w:t>污染物</w:t>
                  </w:r>
                </w:p>
              </w:tc>
              <w:tc>
                <w:tcPr>
                  <w:tcW w:w="2348" w:type="dxa"/>
                  <w:noWrap w:val="0"/>
                  <w:vAlign w:val="center"/>
                </w:tcPr>
                <w:p w14:paraId="636A0EB4">
                  <w:pPr>
                    <w:keepNext w:val="0"/>
                    <w:keepLines w:val="0"/>
                    <w:suppressLineNumbers w:val="0"/>
                    <w:adjustRightInd w:val="0"/>
                    <w:snapToGrid w:val="0"/>
                    <w:spacing w:before="0" w:beforeAutospacing="0" w:after="0" w:afterAutospacing="0"/>
                    <w:ind w:left="0" w:right="0"/>
                    <w:jc w:val="center"/>
                    <w:rPr>
                      <w:rFonts w:hint="default"/>
                      <w:b/>
                      <w:bCs/>
                      <w:color w:val="auto"/>
                      <w:szCs w:val="21"/>
                      <w:u w:val="single"/>
                    </w:rPr>
                  </w:pPr>
                  <w:r>
                    <w:rPr>
                      <w:rFonts w:hint="default"/>
                      <w:b/>
                      <w:bCs/>
                      <w:color w:val="auto"/>
                      <w:szCs w:val="21"/>
                      <w:u w:val="single"/>
                    </w:rPr>
                    <w:t>年评价指标</w:t>
                  </w:r>
                </w:p>
              </w:tc>
              <w:tc>
                <w:tcPr>
                  <w:tcW w:w="1425" w:type="dxa"/>
                  <w:noWrap w:val="0"/>
                  <w:vAlign w:val="center"/>
                </w:tcPr>
                <w:p w14:paraId="6EF1B27E">
                  <w:pPr>
                    <w:keepNext w:val="0"/>
                    <w:keepLines w:val="0"/>
                    <w:suppressLineNumbers w:val="0"/>
                    <w:adjustRightInd w:val="0"/>
                    <w:snapToGrid w:val="0"/>
                    <w:spacing w:before="0" w:beforeAutospacing="0" w:after="0" w:afterAutospacing="0"/>
                    <w:ind w:left="0" w:right="0"/>
                    <w:jc w:val="center"/>
                    <w:rPr>
                      <w:rFonts w:hint="default"/>
                      <w:b/>
                      <w:bCs/>
                      <w:color w:val="auto"/>
                      <w:szCs w:val="21"/>
                      <w:u w:val="single"/>
                    </w:rPr>
                  </w:pPr>
                  <w:r>
                    <w:rPr>
                      <w:rFonts w:hint="default"/>
                      <w:b/>
                      <w:bCs/>
                      <w:color w:val="auto"/>
                      <w:szCs w:val="21"/>
                      <w:u w:val="single"/>
                    </w:rPr>
                    <w:t>现状浓度/（μg/m</w:t>
                  </w:r>
                  <w:r>
                    <w:rPr>
                      <w:rFonts w:hint="default"/>
                      <w:b/>
                      <w:bCs/>
                      <w:color w:val="auto"/>
                      <w:szCs w:val="21"/>
                      <w:u w:val="single"/>
                      <w:vertAlign w:val="superscript"/>
                    </w:rPr>
                    <w:t>3</w:t>
                  </w:r>
                  <w:r>
                    <w:rPr>
                      <w:rFonts w:hint="default"/>
                      <w:b/>
                      <w:bCs/>
                      <w:color w:val="auto"/>
                      <w:szCs w:val="21"/>
                      <w:u w:val="single"/>
                    </w:rPr>
                    <w:t>）</w:t>
                  </w:r>
                </w:p>
              </w:tc>
              <w:tc>
                <w:tcPr>
                  <w:tcW w:w="1425" w:type="dxa"/>
                  <w:noWrap w:val="0"/>
                  <w:vAlign w:val="center"/>
                </w:tcPr>
                <w:p w14:paraId="7899B1DA">
                  <w:pPr>
                    <w:keepNext w:val="0"/>
                    <w:keepLines w:val="0"/>
                    <w:suppressLineNumbers w:val="0"/>
                    <w:adjustRightInd w:val="0"/>
                    <w:snapToGrid w:val="0"/>
                    <w:spacing w:before="0" w:beforeAutospacing="0" w:after="0" w:afterAutospacing="0"/>
                    <w:ind w:left="0" w:right="0"/>
                    <w:jc w:val="center"/>
                    <w:rPr>
                      <w:rFonts w:hint="default"/>
                      <w:b/>
                      <w:bCs/>
                      <w:color w:val="auto"/>
                      <w:szCs w:val="21"/>
                      <w:u w:val="single"/>
                    </w:rPr>
                  </w:pPr>
                  <w:r>
                    <w:rPr>
                      <w:rFonts w:hint="default"/>
                      <w:b/>
                      <w:bCs/>
                      <w:color w:val="auto"/>
                      <w:szCs w:val="21"/>
                      <w:u w:val="single"/>
                    </w:rPr>
                    <w:t>标准值/（μg/m</w:t>
                  </w:r>
                  <w:r>
                    <w:rPr>
                      <w:rFonts w:hint="default"/>
                      <w:b/>
                      <w:bCs/>
                      <w:color w:val="auto"/>
                      <w:szCs w:val="21"/>
                      <w:u w:val="single"/>
                      <w:vertAlign w:val="superscript"/>
                    </w:rPr>
                    <w:t>3</w:t>
                  </w:r>
                  <w:r>
                    <w:rPr>
                      <w:rFonts w:hint="default"/>
                      <w:b/>
                      <w:bCs/>
                      <w:color w:val="auto"/>
                      <w:szCs w:val="21"/>
                      <w:u w:val="single"/>
                    </w:rPr>
                    <w:t>）</w:t>
                  </w:r>
                </w:p>
              </w:tc>
              <w:tc>
                <w:tcPr>
                  <w:tcW w:w="1190" w:type="dxa"/>
                  <w:noWrap w:val="0"/>
                  <w:vAlign w:val="center"/>
                </w:tcPr>
                <w:p w14:paraId="69FA4993">
                  <w:pPr>
                    <w:keepNext w:val="0"/>
                    <w:keepLines w:val="0"/>
                    <w:suppressLineNumbers w:val="0"/>
                    <w:adjustRightInd w:val="0"/>
                    <w:snapToGrid w:val="0"/>
                    <w:spacing w:before="0" w:beforeAutospacing="0" w:after="0" w:afterAutospacing="0"/>
                    <w:ind w:left="0" w:right="0"/>
                    <w:jc w:val="center"/>
                    <w:rPr>
                      <w:rFonts w:hint="default"/>
                      <w:b/>
                      <w:bCs/>
                      <w:color w:val="auto"/>
                      <w:szCs w:val="21"/>
                      <w:u w:val="single"/>
                    </w:rPr>
                  </w:pPr>
                  <w:r>
                    <w:rPr>
                      <w:rFonts w:hint="default"/>
                      <w:b/>
                      <w:bCs/>
                      <w:color w:val="auto"/>
                      <w:szCs w:val="21"/>
                      <w:u w:val="single"/>
                    </w:rPr>
                    <w:t>占标率/%</w:t>
                  </w:r>
                </w:p>
              </w:tc>
              <w:tc>
                <w:tcPr>
                  <w:tcW w:w="1085" w:type="dxa"/>
                  <w:noWrap w:val="0"/>
                  <w:vAlign w:val="center"/>
                </w:tcPr>
                <w:p w14:paraId="08B76F37">
                  <w:pPr>
                    <w:keepNext w:val="0"/>
                    <w:keepLines w:val="0"/>
                    <w:suppressLineNumbers w:val="0"/>
                    <w:adjustRightInd w:val="0"/>
                    <w:snapToGrid w:val="0"/>
                    <w:spacing w:before="0" w:beforeAutospacing="0" w:after="0" w:afterAutospacing="0"/>
                    <w:ind w:left="0" w:right="0"/>
                    <w:jc w:val="center"/>
                    <w:rPr>
                      <w:rFonts w:hint="default"/>
                      <w:b/>
                      <w:bCs/>
                      <w:color w:val="auto"/>
                      <w:szCs w:val="21"/>
                      <w:u w:val="single"/>
                    </w:rPr>
                  </w:pPr>
                  <w:r>
                    <w:rPr>
                      <w:rFonts w:hint="default"/>
                      <w:b/>
                      <w:bCs/>
                      <w:color w:val="auto"/>
                      <w:szCs w:val="21"/>
                      <w:u w:val="single"/>
                    </w:rPr>
                    <w:t>达标</w:t>
                  </w:r>
                </w:p>
                <w:p w14:paraId="6C9B48E9">
                  <w:pPr>
                    <w:keepNext w:val="0"/>
                    <w:keepLines w:val="0"/>
                    <w:suppressLineNumbers w:val="0"/>
                    <w:adjustRightInd w:val="0"/>
                    <w:snapToGrid w:val="0"/>
                    <w:spacing w:before="0" w:beforeAutospacing="0" w:after="0" w:afterAutospacing="0"/>
                    <w:ind w:left="0" w:right="0"/>
                    <w:jc w:val="center"/>
                    <w:rPr>
                      <w:rFonts w:hint="default"/>
                      <w:b/>
                      <w:bCs/>
                      <w:color w:val="auto"/>
                      <w:szCs w:val="21"/>
                      <w:u w:val="single"/>
                    </w:rPr>
                  </w:pPr>
                  <w:r>
                    <w:rPr>
                      <w:rFonts w:hint="default"/>
                      <w:b/>
                      <w:bCs/>
                      <w:color w:val="auto"/>
                      <w:szCs w:val="21"/>
                      <w:u w:val="single"/>
                    </w:rPr>
                    <w:t>情况</w:t>
                  </w:r>
                </w:p>
              </w:tc>
            </w:tr>
            <w:tr w14:paraId="0B81A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dxa"/>
                  <w:noWrap w:val="0"/>
                  <w:vAlign w:val="center"/>
                </w:tcPr>
                <w:p w14:paraId="594E4566">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SO</w:t>
                  </w:r>
                  <w:r>
                    <w:rPr>
                      <w:rFonts w:hint="default"/>
                      <w:color w:val="auto"/>
                      <w:szCs w:val="21"/>
                      <w:u w:val="single"/>
                      <w:vertAlign w:val="subscript"/>
                    </w:rPr>
                    <w:t>2</w:t>
                  </w:r>
                </w:p>
              </w:tc>
              <w:tc>
                <w:tcPr>
                  <w:tcW w:w="2348" w:type="dxa"/>
                  <w:noWrap w:val="0"/>
                  <w:vAlign w:val="center"/>
                </w:tcPr>
                <w:p w14:paraId="00897E20">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年平均质量浓度</w:t>
                  </w:r>
                </w:p>
              </w:tc>
              <w:tc>
                <w:tcPr>
                  <w:tcW w:w="1425" w:type="dxa"/>
                  <w:noWrap w:val="0"/>
                  <w:vAlign w:val="center"/>
                </w:tcPr>
                <w:p w14:paraId="1655411D">
                  <w:pPr>
                    <w:pStyle w:val="85"/>
                    <w:keepNext w:val="0"/>
                    <w:keepLines w:val="0"/>
                    <w:widowControl w:val="0"/>
                    <w:suppressLineNumbers w:val="0"/>
                    <w:spacing w:before="0" w:beforeAutospacing="0" w:after="0" w:afterAutospacing="0"/>
                    <w:ind w:left="0" w:right="0"/>
                    <w:outlineLvl w:val="0"/>
                    <w:rPr>
                      <w:rFonts w:hint="eastAsia" w:eastAsia="宋体"/>
                      <w:color w:val="auto"/>
                      <w:u w:val="single"/>
                      <w:lang w:eastAsia="zh-CN"/>
                    </w:rPr>
                  </w:pPr>
                  <w:r>
                    <w:rPr>
                      <w:rFonts w:hint="eastAsia"/>
                      <w:b w:val="0"/>
                      <w:bCs/>
                      <w:color w:val="auto"/>
                      <w:kern w:val="2"/>
                      <w:u w:val="single"/>
                      <w:lang w:val="en-US" w:eastAsia="zh-CN"/>
                    </w:rPr>
                    <w:t>5</w:t>
                  </w:r>
                </w:p>
              </w:tc>
              <w:tc>
                <w:tcPr>
                  <w:tcW w:w="1425" w:type="dxa"/>
                  <w:noWrap w:val="0"/>
                  <w:vAlign w:val="center"/>
                </w:tcPr>
                <w:p w14:paraId="2FDF56F8">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bCs/>
                      <w:color w:val="auto"/>
                      <w:szCs w:val="21"/>
                      <w:u w:val="single"/>
                    </w:rPr>
                    <w:t>60</w:t>
                  </w:r>
                </w:p>
              </w:tc>
              <w:tc>
                <w:tcPr>
                  <w:tcW w:w="1190" w:type="dxa"/>
                  <w:noWrap w:val="0"/>
                  <w:vAlign w:val="center"/>
                </w:tcPr>
                <w:p w14:paraId="010ED471">
                  <w:pPr>
                    <w:keepNext w:val="0"/>
                    <w:keepLines w:val="0"/>
                    <w:suppressLineNumbers w:val="0"/>
                    <w:adjustRightInd w:val="0"/>
                    <w:snapToGrid w:val="0"/>
                    <w:spacing w:before="0" w:beforeAutospacing="0" w:after="0" w:afterAutospacing="0"/>
                    <w:ind w:left="0" w:right="0"/>
                    <w:jc w:val="center"/>
                    <w:rPr>
                      <w:rFonts w:hint="default" w:eastAsia="宋体"/>
                      <w:color w:val="auto"/>
                      <w:szCs w:val="21"/>
                      <w:u w:val="single"/>
                      <w:lang w:val="en-US" w:eastAsia="zh-CN"/>
                    </w:rPr>
                  </w:pPr>
                  <w:r>
                    <w:rPr>
                      <w:rFonts w:hint="eastAsia"/>
                      <w:color w:val="auto"/>
                      <w:szCs w:val="21"/>
                      <w:u w:val="single"/>
                      <w:lang w:val="en-US" w:eastAsia="zh-CN"/>
                    </w:rPr>
                    <w:t>8.33</w:t>
                  </w:r>
                </w:p>
              </w:tc>
              <w:tc>
                <w:tcPr>
                  <w:tcW w:w="1085" w:type="dxa"/>
                  <w:noWrap w:val="0"/>
                  <w:vAlign w:val="center"/>
                </w:tcPr>
                <w:p w14:paraId="3AF60FF8">
                  <w:pPr>
                    <w:pStyle w:val="86"/>
                    <w:keepNext w:val="0"/>
                    <w:keepLines w:val="0"/>
                    <w:suppressLineNumbers w:val="0"/>
                    <w:spacing w:before="0" w:beforeAutospacing="0" w:after="0" w:afterAutospacing="0" w:line="240" w:lineRule="auto"/>
                    <w:ind w:left="0" w:right="0" w:firstLine="0" w:firstLineChars="0"/>
                    <w:jc w:val="center"/>
                    <w:rPr>
                      <w:rFonts w:hint="default"/>
                      <w:color w:val="auto"/>
                      <w:szCs w:val="21"/>
                      <w:u w:val="single"/>
                    </w:rPr>
                  </w:pPr>
                  <w:r>
                    <w:rPr>
                      <w:rFonts w:hint="default"/>
                      <w:color w:val="auto"/>
                      <w:sz w:val="21"/>
                      <w:szCs w:val="21"/>
                      <w:u w:val="single"/>
                    </w:rPr>
                    <w:t>达标</w:t>
                  </w:r>
                </w:p>
              </w:tc>
            </w:tr>
            <w:tr w14:paraId="22B78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dxa"/>
                  <w:noWrap w:val="0"/>
                  <w:vAlign w:val="center"/>
                </w:tcPr>
                <w:p w14:paraId="39531195">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NO</w:t>
                  </w:r>
                  <w:r>
                    <w:rPr>
                      <w:rFonts w:hint="default"/>
                      <w:color w:val="auto"/>
                      <w:szCs w:val="21"/>
                      <w:u w:val="single"/>
                      <w:vertAlign w:val="subscript"/>
                    </w:rPr>
                    <w:t>2</w:t>
                  </w:r>
                </w:p>
              </w:tc>
              <w:tc>
                <w:tcPr>
                  <w:tcW w:w="2348" w:type="dxa"/>
                  <w:noWrap w:val="0"/>
                  <w:vAlign w:val="center"/>
                </w:tcPr>
                <w:p w14:paraId="24F1E59B">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年平均质量浓度</w:t>
                  </w:r>
                </w:p>
              </w:tc>
              <w:tc>
                <w:tcPr>
                  <w:tcW w:w="1425" w:type="dxa"/>
                  <w:noWrap w:val="0"/>
                  <w:vAlign w:val="center"/>
                </w:tcPr>
                <w:p w14:paraId="0FE38F08">
                  <w:pPr>
                    <w:pStyle w:val="85"/>
                    <w:keepNext w:val="0"/>
                    <w:keepLines w:val="0"/>
                    <w:widowControl w:val="0"/>
                    <w:suppressLineNumbers w:val="0"/>
                    <w:spacing w:before="0" w:beforeAutospacing="0" w:after="0" w:afterAutospacing="0"/>
                    <w:ind w:left="0" w:right="0"/>
                    <w:outlineLvl w:val="0"/>
                    <w:rPr>
                      <w:rFonts w:hint="default" w:eastAsia="宋体"/>
                      <w:color w:val="auto"/>
                      <w:u w:val="single"/>
                      <w:lang w:val="en-US" w:eastAsia="zh-CN"/>
                    </w:rPr>
                  </w:pPr>
                  <w:r>
                    <w:rPr>
                      <w:rFonts w:hint="eastAsia"/>
                      <w:b w:val="0"/>
                      <w:bCs/>
                      <w:color w:val="auto"/>
                      <w:kern w:val="2"/>
                      <w:u w:val="single"/>
                      <w:lang w:val="en-US" w:eastAsia="zh-CN"/>
                    </w:rPr>
                    <w:t>21</w:t>
                  </w:r>
                </w:p>
              </w:tc>
              <w:tc>
                <w:tcPr>
                  <w:tcW w:w="1425" w:type="dxa"/>
                  <w:noWrap w:val="0"/>
                  <w:vAlign w:val="center"/>
                </w:tcPr>
                <w:p w14:paraId="05B6D344">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bCs/>
                      <w:color w:val="auto"/>
                      <w:szCs w:val="21"/>
                      <w:u w:val="single"/>
                    </w:rPr>
                    <w:t>40</w:t>
                  </w:r>
                </w:p>
              </w:tc>
              <w:tc>
                <w:tcPr>
                  <w:tcW w:w="1190" w:type="dxa"/>
                  <w:noWrap w:val="0"/>
                  <w:vAlign w:val="center"/>
                </w:tcPr>
                <w:p w14:paraId="4FE96A20">
                  <w:pPr>
                    <w:keepNext w:val="0"/>
                    <w:keepLines w:val="0"/>
                    <w:suppressLineNumbers w:val="0"/>
                    <w:adjustRightInd w:val="0"/>
                    <w:snapToGrid w:val="0"/>
                    <w:spacing w:before="0" w:beforeAutospacing="0" w:after="0" w:afterAutospacing="0"/>
                    <w:ind w:left="0" w:right="0"/>
                    <w:jc w:val="center"/>
                    <w:rPr>
                      <w:rFonts w:hint="default" w:eastAsia="宋体"/>
                      <w:color w:val="auto"/>
                      <w:szCs w:val="21"/>
                      <w:u w:val="single"/>
                      <w:lang w:val="en-US" w:eastAsia="zh-CN"/>
                    </w:rPr>
                  </w:pPr>
                  <w:r>
                    <w:rPr>
                      <w:rFonts w:hint="eastAsia"/>
                      <w:color w:val="auto"/>
                      <w:szCs w:val="21"/>
                      <w:u w:val="single"/>
                      <w:lang w:val="en-US" w:eastAsia="zh-CN"/>
                    </w:rPr>
                    <w:t>52.5</w:t>
                  </w:r>
                </w:p>
              </w:tc>
              <w:tc>
                <w:tcPr>
                  <w:tcW w:w="1085" w:type="dxa"/>
                  <w:noWrap w:val="0"/>
                  <w:vAlign w:val="center"/>
                </w:tcPr>
                <w:p w14:paraId="628B9920">
                  <w:pPr>
                    <w:pStyle w:val="86"/>
                    <w:keepNext w:val="0"/>
                    <w:keepLines w:val="0"/>
                    <w:suppressLineNumbers w:val="0"/>
                    <w:spacing w:before="0" w:beforeAutospacing="0" w:after="0" w:afterAutospacing="0" w:line="240" w:lineRule="auto"/>
                    <w:ind w:left="0" w:right="0" w:firstLine="0" w:firstLineChars="0"/>
                    <w:jc w:val="center"/>
                    <w:rPr>
                      <w:rFonts w:hint="default"/>
                      <w:color w:val="auto"/>
                      <w:szCs w:val="21"/>
                      <w:u w:val="single"/>
                    </w:rPr>
                  </w:pPr>
                  <w:r>
                    <w:rPr>
                      <w:rFonts w:hint="default"/>
                      <w:color w:val="auto"/>
                      <w:sz w:val="21"/>
                      <w:szCs w:val="21"/>
                      <w:u w:val="single"/>
                    </w:rPr>
                    <w:t>达标</w:t>
                  </w:r>
                </w:p>
              </w:tc>
            </w:tr>
            <w:tr w14:paraId="7E537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dxa"/>
                  <w:noWrap w:val="0"/>
                  <w:vAlign w:val="center"/>
                </w:tcPr>
                <w:p w14:paraId="5ACF5F33">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PM</w:t>
                  </w:r>
                  <w:r>
                    <w:rPr>
                      <w:rFonts w:hint="default"/>
                      <w:color w:val="auto"/>
                      <w:szCs w:val="21"/>
                      <w:u w:val="single"/>
                      <w:vertAlign w:val="subscript"/>
                    </w:rPr>
                    <w:t>10</w:t>
                  </w:r>
                </w:p>
              </w:tc>
              <w:tc>
                <w:tcPr>
                  <w:tcW w:w="2348" w:type="dxa"/>
                  <w:noWrap w:val="0"/>
                  <w:vAlign w:val="center"/>
                </w:tcPr>
                <w:p w14:paraId="2C34A59B">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年平均质量浓度</w:t>
                  </w:r>
                </w:p>
              </w:tc>
              <w:tc>
                <w:tcPr>
                  <w:tcW w:w="1425" w:type="dxa"/>
                  <w:noWrap w:val="0"/>
                  <w:vAlign w:val="center"/>
                </w:tcPr>
                <w:p w14:paraId="3A6C2626">
                  <w:pPr>
                    <w:pStyle w:val="85"/>
                    <w:keepNext w:val="0"/>
                    <w:keepLines w:val="0"/>
                    <w:widowControl w:val="0"/>
                    <w:suppressLineNumbers w:val="0"/>
                    <w:spacing w:before="0" w:beforeAutospacing="0" w:after="0" w:afterAutospacing="0"/>
                    <w:ind w:left="0" w:right="0"/>
                    <w:outlineLvl w:val="0"/>
                    <w:rPr>
                      <w:rFonts w:hint="eastAsia" w:eastAsia="宋体"/>
                      <w:color w:val="auto"/>
                      <w:u w:val="single"/>
                      <w:lang w:eastAsia="zh-CN"/>
                    </w:rPr>
                  </w:pPr>
                  <w:r>
                    <w:rPr>
                      <w:rStyle w:val="87"/>
                      <w:rFonts w:hint="eastAsia" w:cs="Times New Roman"/>
                      <w:b w:val="0"/>
                      <w:color w:val="auto"/>
                      <w:u w:val="single"/>
                    </w:rPr>
                    <w:t>4</w:t>
                  </w:r>
                  <w:r>
                    <w:rPr>
                      <w:rStyle w:val="87"/>
                      <w:rFonts w:hint="eastAsia" w:cs="Times New Roman"/>
                      <w:b w:val="0"/>
                      <w:color w:val="auto"/>
                      <w:u w:val="single"/>
                      <w:lang w:val="en-US" w:eastAsia="zh-CN"/>
                    </w:rPr>
                    <w:t>8</w:t>
                  </w:r>
                </w:p>
              </w:tc>
              <w:tc>
                <w:tcPr>
                  <w:tcW w:w="1425" w:type="dxa"/>
                  <w:noWrap w:val="0"/>
                  <w:vAlign w:val="center"/>
                </w:tcPr>
                <w:p w14:paraId="534CA683">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bCs/>
                      <w:color w:val="auto"/>
                      <w:szCs w:val="21"/>
                      <w:u w:val="single"/>
                    </w:rPr>
                    <w:t>70</w:t>
                  </w:r>
                </w:p>
              </w:tc>
              <w:tc>
                <w:tcPr>
                  <w:tcW w:w="1190" w:type="dxa"/>
                  <w:noWrap w:val="0"/>
                  <w:vAlign w:val="center"/>
                </w:tcPr>
                <w:p w14:paraId="14AC9784">
                  <w:pPr>
                    <w:keepNext w:val="0"/>
                    <w:keepLines w:val="0"/>
                    <w:suppressLineNumbers w:val="0"/>
                    <w:adjustRightInd w:val="0"/>
                    <w:snapToGrid w:val="0"/>
                    <w:spacing w:before="0" w:beforeAutospacing="0" w:after="0" w:afterAutospacing="0"/>
                    <w:ind w:left="0" w:right="0"/>
                    <w:jc w:val="center"/>
                    <w:rPr>
                      <w:rFonts w:hint="default" w:eastAsia="宋体"/>
                      <w:color w:val="auto"/>
                      <w:szCs w:val="21"/>
                      <w:u w:val="single"/>
                      <w:lang w:val="en-US" w:eastAsia="zh-CN"/>
                    </w:rPr>
                  </w:pPr>
                  <w:r>
                    <w:rPr>
                      <w:rFonts w:hint="eastAsia"/>
                      <w:color w:val="auto"/>
                      <w:szCs w:val="21"/>
                      <w:u w:val="single"/>
                      <w:lang w:val="en-US" w:eastAsia="zh-CN"/>
                    </w:rPr>
                    <w:t>68.57</w:t>
                  </w:r>
                </w:p>
              </w:tc>
              <w:tc>
                <w:tcPr>
                  <w:tcW w:w="1085" w:type="dxa"/>
                  <w:noWrap w:val="0"/>
                  <w:vAlign w:val="center"/>
                </w:tcPr>
                <w:p w14:paraId="7E98FB82">
                  <w:pPr>
                    <w:keepNext w:val="0"/>
                    <w:keepLines w:val="0"/>
                    <w:suppressLineNumbers w:val="0"/>
                    <w:spacing w:before="0" w:beforeAutospacing="0" w:after="0" w:afterAutospacing="0"/>
                    <w:ind w:left="0" w:right="0"/>
                    <w:jc w:val="center"/>
                    <w:rPr>
                      <w:rFonts w:hint="default"/>
                      <w:color w:val="auto"/>
                      <w:szCs w:val="21"/>
                      <w:u w:val="single"/>
                    </w:rPr>
                  </w:pPr>
                  <w:r>
                    <w:rPr>
                      <w:rFonts w:hint="default"/>
                      <w:color w:val="auto"/>
                      <w:szCs w:val="21"/>
                      <w:u w:val="single"/>
                    </w:rPr>
                    <w:t>达标</w:t>
                  </w:r>
                </w:p>
              </w:tc>
            </w:tr>
            <w:tr w14:paraId="024ED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dxa"/>
                  <w:noWrap w:val="0"/>
                  <w:vAlign w:val="center"/>
                </w:tcPr>
                <w:p w14:paraId="294AA50E">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PM</w:t>
                  </w:r>
                  <w:r>
                    <w:rPr>
                      <w:rFonts w:hint="default"/>
                      <w:color w:val="auto"/>
                      <w:szCs w:val="21"/>
                      <w:u w:val="single"/>
                      <w:vertAlign w:val="subscript"/>
                    </w:rPr>
                    <w:t>2.5</w:t>
                  </w:r>
                </w:p>
              </w:tc>
              <w:tc>
                <w:tcPr>
                  <w:tcW w:w="2348" w:type="dxa"/>
                  <w:noWrap w:val="0"/>
                  <w:vAlign w:val="center"/>
                </w:tcPr>
                <w:p w14:paraId="0A5B4393">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年平均质量浓度</w:t>
                  </w:r>
                </w:p>
              </w:tc>
              <w:tc>
                <w:tcPr>
                  <w:tcW w:w="1425" w:type="dxa"/>
                  <w:noWrap w:val="0"/>
                  <w:vAlign w:val="center"/>
                </w:tcPr>
                <w:p w14:paraId="6C41F028">
                  <w:pPr>
                    <w:pStyle w:val="85"/>
                    <w:keepNext w:val="0"/>
                    <w:keepLines w:val="0"/>
                    <w:widowControl w:val="0"/>
                    <w:suppressLineNumbers w:val="0"/>
                    <w:spacing w:before="0" w:beforeAutospacing="0" w:after="0" w:afterAutospacing="0"/>
                    <w:ind w:left="0" w:right="0"/>
                    <w:outlineLvl w:val="0"/>
                    <w:rPr>
                      <w:rFonts w:hint="default" w:eastAsia="宋体"/>
                      <w:color w:val="auto"/>
                      <w:u w:val="single"/>
                      <w:lang w:val="en-US" w:eastAsia="zh-CN"/>
                    </w:rPr>
                  </w:pPr>
                  <w:r>
                    <w:rPr>
                      <w:rFonts w:hint="eastAsia" w:cs="Times New Roman"/>
                      <w:b w:val="0"/>
                      <w:bCs/>
                      <w:color w:val="auto"/>
                      <w:u w:val="single"/>
                      <w:lang w:val="en-US" w:eastAsia="zh-CN"/>
                    </w:rPr>
                    <w:t>37</w:t>
                  </w:r>
                </w:p>
              </w:tc>
              <w:tc>
                <w:tcPr>
                  <w:tcW w:w="1425" w:type="dxa"/>
                  <w:noWrap w:val="0"/>
                  <w:vAlign w:val="center"/>
                </w:tcPr>
                <w:p w14:paraId="268F29DA">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bCs/>
                      <w:color w:val="auto"/>
                      <w:szCs w:val="21"/>
                      <w:u w:val="single"/>
                    </w:rPr>
                    <w:t>35</w:t>
                  </w:r>
                </w:p>
              </w:tc>
              <w:tc>
                <w:tcPr>
                  <w:tcW w:w="1190" w:type="dxa"/>
                  <w:noWrap w:val="0"/>
                  <w:vAlign w:val="center"/>
                </w:tcPr>
                <w:p w14:paraId="2894BB18">
                  <w:pPr>
                    <w:keepNext w:val="0"/>
                    <w:keepLines w:val="0"/>
                    <w:suppressLineNumbers w:val="0"/>
                    <w:adjustRightInd w:val="0"/>
                    <w:snapToGrid w:val="0"/>
                    <w:spacing w:before="0" w:beforeAutospacing="0" w:after="0" w:afterAutospacing="0"/>
                    <w:ind w:left="0" w:right="0"/>
                    <w:jc w:val="center"/>
                    <w:rPr>
                      <w:rFonts w:hint="default" w:eastAsia="宋体"/>
                      <w:color w:val="auto"/>
                      <w:szCs w:val="21"/>
                      <w:u w:val="single"/>
                      <w:lang w:val="en-US" w:eastAsia="zh-CN"/>
                    </w:rPr>
                  </w:pPr>
                  <w:r>
                    <w:rPr>
                      <w:rFonts w:hint="eastAsia"/>
                      <w:color w:val="auto"/>
                      <w:szCs w:val="21"/>
                      <w:u w:val="single"/>
                      <w:lang w:val="en-US" w:eastAsia="zh-CN"/>
                    </w:rPr>
                    <w:t>105.7</w:t>
                  </w:r>
                </w:p>
              </w:tc>
              <w:tc>
                <w:tcPr>
                  <w:tcW w:w="1085" w:type="dxa"/>
                  <w:noWrap w:val="0"/>
                  <w:vAlign w:val="center"/>
                </w:tcPr>
                <w:p w14:paraId="056C9D70">
                  <w:pPr>
                    <w:keepNext w:val="0"/>
                    <w:keepLines w:val="0"/>
                    <w:suppressLineNumbers w:val="0"/>
                    <w:spacing w:before="0" w:beforeAutospacing="0" w:after="0" w:afterAutospacing="0"/>
                    <w:ind w:left="0" w:right="0"/>
                    <w:jc w:val="center"/>
                    <w:rPr>
                      <w:rFonts w:hint="eastAsia" w:eastAsia="宋体"/>
                      <w:color w:val="auto"/>
                      <w:szCs w:val="21"/>
                      <w:u w:val="single"/>
                      <w:lang w:eastAsia="zh-CN"/>
                    </w:rPr>
                  </w:pPr>
                  <w:r>
                    <w:rPr>
                      <w:rFonts w:hint="eastAsia"/>
                      <w:color w:val="auto"/>
                      <w:szCs w:val="21"/>
                      <w:u w:val="single"/>
                      <w:lang w:val="en-US" w:eastAsia="zh-CN"/>
                    </w:rPr>
                    <w:t>超标</w:t>
                  </w:r>
                </w:p>
              </w:tc>
            </w:tr>
            <w:tr w14:paraId="2E000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dxa"/>
                  <w:noWrap w:val="0"/>
                  <w:vAlign w:val="center"/>
                </w:tcPr>
                <w:p w14:paraId="7FDA421A">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CO</w:t>
                  </w:r>
                </w:p>
              </w:tc>
              <w:tc>
                <w:tcPr>
                  <w:tcW w:w="2348" w:type="dxa"/>
                  <w:noWrap w:val="0"/>
                  <w:vAlign w:val="center"/>
                </w:tcPr>
                <w:p w14:paraId="76CD7203">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第95百分位数</w:t>
                  </w:r>
                </w:p>
                <w:p w14:paraId="6D60DEB9">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日平均浓度</w:t>
                  </w:r>
                </w:p>
              </w:tc>
              <w:tc>
                <w:tcPr>
                  <w:tcW w:w="1425" w:type="dxa"/>
                  <w:noWrap w:val="0"/>
                  <w:vAlign w:val="center"/>
                </w:tcPr>
                <w:p w14:paraId="1DCC74B1">
                  <w:pPr>
                    <w:pStyle w:val="85"/>
                    <w:keepNext w:val="0"/>
                    <w:keepLines w:val="0"/>
                    <w:widowControl w:val="0"/>
                    <w:suppressLineNumbers w:val="0"/>
                    <w:spacing w:before="0" w:beforeAutospacing="0" w:after="0" w:afterAutospacing="0"/>
                    <w:ind w:left="0" w:right="0"/>
                    <w:outlineLvl w:val="0"/>
                    <w:rPr>
                      <w:rFonts w:hint="default"/>
                      <w:color w:val="auto"/>
                      <w:u w:val="single"/>
                    </w:rPr>
                  </w:pPr>
                  <w:r>
                    <w:rPr>
                      <w:rStyle w:val="87"/>
                      <w:rFonts w:hint="eastAsia" w:cs="Times New Roman"/>
                      <w:b w:val="0"/>
                      <w:color w:val="auto"/>
                      <w:u w:val="single"/>
                    </w:rPr>
                    <w:t>1.1mg/m</w:t>
                  </w:r>
                  <w:r>
                    <w:rPr>
                      <w:rStyle w:val="87"/>
                      <w:rFonts w:hint="eastAsia" w:cs="Times New Roman"/>
                      <w:b w:val="0"/>
                      <w:color w:val="auto"/>
                      <w:u w:val="single"/>
                      <w:vertAlign w:val="superscript"/>
                    </w:rPr>
                    <w:t>3</w:t>
                  </w:r>
                </w:p>
              </w:tc>
              <w:tc>
                <w:tcPr>
                  <w:tcW w:w="1425" w:type="dxa"/>
                  <w:noWrap w:val="0"/>
                  <w:vAlign w:val="center"/>
                </w:tcPr>
                <w:p w14:paraId="71AB6F74">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bCs/>
                      <w:color w:val="auto"/>
                      <w:szCs w:val="21"/>
                      <w:u w:val="single"/>
                    </w:rPr>
                    <w:t>4</w:t>
                  </w:r>
                  <w:r>
                    <w:rPr>
                      <w:rStyle w:val="87"/>
                      <w:rFonts w:hint="eastAsia"/>
                      <w:color w:val="auto"/>
                      <w:u w:val="single"/>
                    </w:rPr>
                    <w:t>mg/m</w:t>
                  </w:r>
                  <w:r>
                    <w:rPr>
                      <w:rStyle w:val="87"/>
                      <w:rFonts w:hint="eastAsia"/>
                      <w:color w:val="auto"/>
                      <w:u w:val="single"/>
                      <w:vertAlign w:val="superscript"/>
                    </w:rPr>
                    <w:t>3</w:t>
                  </w:r>
                </w:p>
              </w:tc>
              <w:tc>
                <w:tcPr>
                  <w:tcW w:w="1190" w:type="dxa"/>
                  <w:noWrap w:val="0"/>
                  <w:vAlign w:val="center"/>
                </w:tcPr>
                <w:p w14:paraId="6A70FDB0">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eastAsia"/>
                      <w:color w:val="auto"/>
                      <w:szCs w:val="21"/>
                      <w:u w:val="single"/>
                    </w:rPr>
                    <w:t>27.50</w:t>
                  </w:r>
                </w:p>
              </w:tc>
              <w:tc>
                <w:tcPr>
                  <w:tcW w:w="1085" w:type="dxa"/>
                  <w:noWrap w:val="0"/>
                  <w:vAlign w:val="center"/>
                </w:tcPr>
                <w:p w14:paraId="55C02E36">
                  <w:pPr>
                    <w:pStyle w:val="86"/>
                    <w:keepNext w:val="0"/>
                    <w:keepLines w:val="0"/>
                    <w:suppressLineNumbers w:val="0"/>
                    <w:spacing w:before="0" w:beforeAutospacing="0" w:after="0" w:afterAutospacing="0" w:line="240" w:lineRule="auto"/>
                    <w:ind w:left="0" w:right="0" w:firstLine="0" w:firstLineChars="0"/>
                    <w:jc w:val="center"/>
                    <w:rPr>
                      <w:rFonts w:hint="default"/>
                      <w:color w:val="auto"/>
                      <w:szCs w:val="21"/>
                      <w:u w:val="single"/>
                    </w:rPr>
                  </w:pPr>
                  <w:r>
                    <w:rPr>
                      <w:rFonts w:hint="default"/>
                      <w:color w:val="auto"/>
                      <w:sz w:val="21"/>
                      <w:szCs w:val="21"/>
                      <w:u w:val="single"/>
                    </w:rPr>
                    <w:t>达标</w:t>
                  </w:r>
                </w:p>
              </w:tc>
            </w:tr>
            <w:tr w14:paraId="2837A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8" w:type="dxa"/>
                  <w:noWrap w:val="0"/>
                  <w:vAlign w:val="center"/>
                </w:tcPr>
                <w:p w14:paraId="40E6B3BD">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O</w:t>
                  </w:r>
                  <w:r>
                    <w:rPr>
                      <w:rFonts w:hint="default"/>
                      <w:color w:val="auto"/>
                      <w:szCs w:val="21"/>
                      <w:u w:val="single"/>
                      <w:vertAlign w:val="subscript"/>
                    </w:rPr>
                    <w:t>3</w:t>
                  </w:r>
                </w:p>
              </w:tc>
              <w:tc>
                <w:tcPr>
                  <w:tcW w:w="2348" w:type="dxa"/>
                  <w:noWrap w:val="0"/>
                  <w:vAlign w:val="center"/>
                </w:tcPr>
                <w:p w14:paraId="6FCEFF23">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第90百分位数</w:t>
                  </w:r>
                </w:p>
                <w:p w14:paraId="777AF1A5">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color w:val="auto"/>
                      <w:szCs w:val="21"/>
                      <w:u w:val="single"/>
                    </w:rPr>
                    <w:t>日最大8h平均浓度</w:t>
                  </w:r>
                </w:p>
              </w:tc>
              <w:tc>
                <w:tcPr>
                  <w:tcW w:w="1425" w:type="dxa"/>
                  <w:noWrap w:val="0"/>
                  <w:vAlign w:val="center"/>
                </w:tcPr>
                <w:p w14:paraId="25C0A610">
                  <w:pPr>
                    <w:pStyle w:val="85"/>
                    <w:keepNext w:val="0"/>
                    <w:keepLines w:val="0"/>
                    <w:widowControl w:val="0"/>
                    <w:suppressLineNumbers w:val="0"/>
                    <w:spacing w:before="0" w:beforeAutospacing="0" w:after="0" w:afterAutospacing="0"/>
                    <w:ind w:left="0" w:right="0"/>
                    <w:outlineLvl w:val="0"/>
                    <w:rPr>
                      <w:rFonts w:hint="default"/>
                      <w:color w:val="auto"/>
                      <w:u w:val="single"/>
                    </w:rPr>
                  </w:pPr>
                  <w:r>
                    <w:rPr>
                      <w:rStyle w:val="87"/>
                      <w:rFonts w:hint="eastAsia" w:cs="Times New Roman"/>
                      <w:b w:val="0"/>
                      <w:color w:val="auto"/>
                      <w:u w:val="single"/>
                    </w:rPr>
                    <w:t>144</w:t>
                  </w:r>
                </w:p>
              </w:tc>
              <w:tc>
                <w:tcPr>
                  <w:tcW w:w="1425" w:type="dxa"/>
                  <w:noWrap w:val="0"/>
                  <w:vAlign w:val="center"/>
                </w:tcPr>
                <w:p w14:paraId="4C16C8B9">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default"/>
                      <w:bCs/>
                      <w:color w:val="auto"/>
                      <w:szCs w:val="21"/>
                      <w:u w:val="single"/>
                    </w:rPr>
                    <w:t>160</w:t>
                  </w:r>
                </w:p>
              </w:tc>
              <w:tc>
                <w:tcPr>
                  <w:tcW w:w="1190" w:type="dxa"/>
                  <w:noWrap w:val="0"/>
                  <w:vAlign w:val="center"/>
                </w:tcPr>
                <w:p w14:paraId="4974739F">
                  <w:pPr>
                    <w:keepNext w:val="0"/>
                    <w:keepLines w:val="0"/>
                    <w:suppressLineNumbers w:val="0"/>
                    <w:adjustRightInd w:val="0"/>
                    <w:snapToGrid w:val="0"/>
                    <w:spacing w:before="0" w:beforeAutospacing="0" w:after="0" w:afterAutospacing="0"/>
                    <w:ind w:left="0" w:right="0"/>
                    <w:jc w:val="center"/>
                    <w:rPr>
                      <w:rFonts w:hint="default"/>
                      <w:color w:val="auto"/>
                      <w:szCs w:val="21"/>
                      <w:u w:val="single"/>
                    </w:rPr>
                  </w:pPr>
                  <w:r>
                    <w:rPr>
                      <w:rFonts w:hint="eastAsia"/>
                      <w:color w:val="auto"/>
                      <w:szCs w:val="21"/>
                      <w:u w:val="single"/>
                    </w:rPr>
                    <w:t>90.00</w:t>
                  </w:r>
                </w:p>
              </w:tc>
              <w:tc>
                <w:tcPr>
                  <w:tcW w:w="1085" w:type="dxa"/>
                  <w:noWrap w:val="0"/>
                  <w:vAlign w:val="center"/>
                </w:tcPr>
                <w:p w14:paraId="2D0E94AD">
                  <w:pPr>
                    <w:pStyle w:val="86"/>
                    <w:keepNext w:val="0"/>
                    <w:keepLines w:val="0"/>
                    <w:suppressLineNumbers w:val="0"/>
                    <w:spacing w:before="0" w:beforeAutospacing="0" w:after="0" w:afterAutospacing="0" w:line="240" w:lineRule="auto"/>
                    <w:ind w:left="0" w:right="0" w:firstLine="0" w:firstLineChars="0"/>
                    <w:jc w:val="center"/>
                    <w:rPr>
                      <w:rFonts w:hint="default"/>
                      <w:color w:val="auto"/>
                      <w:szCs w:val="21"/>
                      <w:u w:val="single"/>
                    </w:rPr>
                  </w:pPr>
                  <w:r>
                    <w:rPr>
                      <w:rFonts w:hint="default"/>
                      <w:color w:val="auto"/>
                      <w:sz w:val="21"/>
                      <w:szCs w:val="21"/>
                      <w:u w:val="single"/>
                    </w:rPr>
                    <w:t>达标</w:t>
                  </w:r>
                </w:p>
              </w:tc>
            </w:tr>
          </w:tbl>
          <w:p w14:paraId="28B84457">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none"/>
                <w:lang w:eastAsia="zh-CN"/>
              </w:rPr>
            </w:pPr>
            <w:r>
              <w:rPr>
                <w:rFonts w:hint="default"/>
                <w:color w:val="auto"/>
                <w:kern w:val="0"/>
                <w:sz w:val="24"/>
                <w:u w:val="single"/>
                <w:lang w:val="zh-CN"/>
              </w:rPr>
              <w:t>本项目引用数据为近3年的生态环境主管部门公开发布的质量数据，引用的监测数据合理。由上表可知</w:t>
            </w:r>
            <w:r>
              <w:rPr>
                <w:rFonts w:hint="default"/>
                <w:color w:val="auto"/>
                <w:kern w:val="0"/>
                <w:sz w:val="24"/>
                <w:u w:val="single"/>
              </w:rPr>
              <w:t>，</w:t>
            </w:r>
            <w:r>
              <w:rPr>
                <w:rFonts w:hint="eastAsia"/>
                <w:color w:val="auto"/>
                <w:kern w:val="0"/>
                <w:sz w:val="24"/>
                <w:u w:val="single"/>
                <w:lang w:val="en-US" w:eastAsia="zh-CN"/>
              </w:rPr>
              <w:t>项目所在区域</w:t>
            </w:r>
            <w:r>
              <w:rPr>
                <w:rFonts w:hint="eastAsia"/>
                <w:color w:val="auto"/>
                <w:sz w:val="24"/>
                <w:u w:val="single"/>
              </w:rPr>
              <w:t>202</w:t>
            </w:r>
            <w:r>
              <w:rPr>
                <w:rFonts w:hint="eastAsia"/>
                <w:color w:val="auto"/>
                <w:sz w:val="24"/>
                <w:u w:val="single"/>
                <w:lang w:val="en-US" w:eastAsia="zh-CN"/>
              </w:rPr>
              <w:t>3</w:t>
            </w:r>
            <w:r>
              <w:rPr>
                <w:rFonts w:hint="default"/>
                <w:color w:val="auto"/>
                <w:sz w:val="24"/>
                <w:u w:val="single"/>
              </w:rPr>
              <w:t>年</w:t>
            </w:r>
            <w:r>
              <w:rPr>
                <w:rFonts w:hint="eastAsia"/>
                <w:color w:val="auto"/>
                <w:sz w:val="24"/>
                <w:u w:val="single"/>
              </w:rPr>
              <w:t>环境空气</w:t>
            </w:r>
            <w:r>
              <w:rPr>
                <w:rFonts w:hint="eastAsia"/>
                <w:color w:val="auto"/>
                <w:sz w:val="24"/>
                <w:u w:val="single"/>
                <w:lang w:val="en-US" w:eastAsia="zh-CN"/>
              </w:rPr>
              <w:t>质量</w:t>
            </w:r>
            <w:r>
              <w:rPr>
                <w:rFonts w:hint="eastAsia"/>
                <w:color w:val="auto"/>
                <w:sz w:val="24"/>
                <w:u w:val="single"/>
              </w:rPr>
              <w:t>中</w:t>
            </w:r>
            <w:r>
              <w:rPr>
                <w:rFonts w:hint="default"/>
                <w:color w:val="auto"/>
                <w:sz w:val="24"/>
                <w:u w:val="single"/>
              </w:rPr>
              <w:t>SO</w:t>
            </w:r>
            <w:r>
              <w:rPr>
                <w:rFonts w:hint="default"/>
                <w:color w:val="auto"/>
                <w:sz w:val="24"/>
                <w:u w:val="single"/>
                <w:vertAlign w:val="subscript"/>
              </w:rPr>
              <w:t>2</w:t>
            </w:r>
            <w:r>
              <w:rPr>
                <w:rFonts w:hint="default"/>
                <w:color w:val="auto"/>
                <w:sz w:val="24"/>
                <w:u w:val="single"/>
              </w:rPr>
              <w:t>、NO</w:t>
            </w:r>
            <w:r>
              <w:rPr>
                <w:rFonts w:hint="default"/>
                <w:color w:val="auto"/>
                <w:sz w:val="24"/>
                <w:u w:val="single"/>
                <w:vertAlign w:val="subscript"/>
              </w:rPr>
              <w:t>2</w:t>
            </w:r>
            <w:r>
              <w:rPr>
                <w:rFonts w:hint="default"/>
                <w:color w:val="auto"/>
                <w:sz w:val="24"/>
                <w:u w:val="single"/>
              </w:rPr>
              <w:t>、</w:t>
            </w:r>
            <w:r>
              <w:rPr>
                <w:rFonts w:hint="eastAsia"/>
                <w:bCs/>
                <w:color w:val="auto"/>
                <w:sz w:val="24"/>
                <w:u w:val="single"/>
              </w:rPr>
              <w:t>PM</w:t>
            </w:r>
            <w:r>
              <w:rPr>
                <w:rFonts w:hint="eastAsia"/>
                <w:bCs/>
                <w:color w:val="auto"/>
                <w:sz w:val="24"/>
                <w:u w:val="single"/>
                <w:vertAlign w:val="subscript"/>
              </w:rPr>
              <w:t>10</w:t>
            </w:r>
            <w:r>
              <w:rPr>
                <w:rFonts w:hint="eastAsia"/>
                <w:color w:val="auto"/>
                <w:sz w:val="24"/>
                <w:u w:val="single"/>
              </w:rPr>
              <w:t>年平均质量浓度及CO的日平均第95百分位质量浓度、O</w:t>
            </w:r>
            <w:r>
              <w:rPr>
                <w:rFonts w:hint="eastAsia"/>
                <w:color w:val="auto"/>
                <w:sz w:val="24"/>
                <w:u w:val="single"/>
                <w:vertAlign w:val="subscript"/>
              </w:rPr>
              <w:t>3</w:t>
            </w:r>
            <w:r>
              <w:rPr>
                <w:rFonts w:hint="eastAsia"/>
                <w:color w:val="auto"/>
                <w:sz w:val="24"/>
                <w:u w:val="single"/>
              </w:rPr>
              <w:t>的8小时最大平均第90百分位浓度均可达到《环境空气质量标准》（GB3095-2012）中二级标准限值要求</w:t>
            </w:r>
            <w:r>
              <w:rPr>
                <w:rFonts w:hint="eastAsia"/>
                <w:color w:val="auto"/>
                <w:sz w:val="24"/>
                <w:u w:val="single"/>
                <w:lang w:eastAsia="zh-CN"/>
              </w:rPr>
              <w:t>。但PM2.5的年平均浓度出现超标，根据《环境空气质量评价技术规范》（HJ663-2013），判定本项目所在区域为非达标区。</w:t>
            </w:r>
          </w:p>
          <w:p w14:paraId="48498E3A">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olor w:val="auto"/>
                <w:sz w:val="24"/>
                <w:u w:val="single"/>
                <w:lang w:eastAsia="zh-CN"/>
              </w:rPr>
            </w:pPr>
            <w:r>
              <w:rPr>
                <w:rFonts w:hint="eastAsia"/>
                <w:color w:val="auto"/>
                <w:sz w:val="24"/>
                <w:u w:val="single"/>
                <w:lang w:eastAsia="zh-CN"/>
              </w:rPr>
              <w:t>近年来，</w:t>
            </w:r>
            <w:r>
              <w:rPr>
                <w:rFonts w:hint="eastAsia"/>
                <w:color w:val="auto"/>
                <w:sz w:val="24"/>
                <w:u w:val="single"/>
                <w:lang w:val="en-US" w:eastAsia="zh-CN"/>
              </w:rPr>
              <w:t>临湘市</w:t>
            </w:r>
            <w:r>
              <w:rPr>
                <w:rFonts w:hint="eastAsia"/>
                <w:color w:val="auto"/>
                <w:sz w:val="24"/>
                <w:u w:val="single"/>
                <w:lang w:eastAsia="zh-CN"/>
              </w:rPr>
              <w:t>在促进企业升级、优化能源结构、工业企业污染治理、扬尘污染治理、移动源污染防治、面源大气污染防控、重污染天气应急等八个方面集中发力，助推“环境空气质量达标”，采取上述空气质量改善措施后，</w:t>
            </w:r>
            <w:r>
              <w:rPr>
                <w:rFonts w:hint="eastAsia"/>
                <w:color w:val="auto"/>
                <w:sz w:val="24"/>
                <w:u w:val="single"/>
                <w:lang w:val="en-US" w:eastAsia="zh-CN"/>
              </w:rPr>
              <w:t>岳阳</w:t>
            </w:r>
            <w:r>
              <w:rPr>
                <w:rFonts w:hint="eastAsia"/>
                <w:color w:val="auto"/>
                <w:sz w:val="24"/>
                <w:u w:val="single"/>
                <w:lang w:eastAsia="zh-CN"/>
              </w:rPr>
              <w:t>市大气环境质量状况可以得到进一步改善。</w:t>
            </w:r>
          </w:p>
          <w:p w14:paraId="7308AE0A">
            <w:pPr>
              <w:keepNext w:val="0"/>
              <w:keepLines w:val="0"/>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eastAsia="宋体" w:cs="Times New Roman"/>
                <w:b/>
                <w:bCs/>
                <w:color w:val="auto"/>
                <w:sz w:val="24"/>
                <w:u w:val="none"/>
                <w:lang w:val="en-US" w:eastAsia="zh-CN"/>
              </w:rPr>
            </w:pPr>
            <w:r>
              <w:rPr>
                <w:rFonts w:hint="eastAsia"/>
                <w:b/>
                <w:bCs/>
                <w:color w:val="auto"/>
                <w:sz w:val="24"/>
                <w:u w:val="none"/>
                <w:lang w:val="en-US" w:eastAsia="zh-CN"/>
              </w:rPr>
              <w:t xml:space="preserve">3.2 </w:t>
            </w:r>
            <w:r>
              <w:rPr>
                <w:rFonts w:hint="default" w:ascii="Times New Roman" w:hAnsi="Times New Roman" w:cs="Times New Roman"/>
                <w:b/>
                <w:bCs/>
                <w:color w:val="auto"/>
                <w:sz w:val="24"/>
                <w:u w:val="none"/>
              </w:rPr>
              <w:t>特征污染物</w:t>
            </w:r>
            <w:r>
              <w:rPr>
                <w:rFonts w:hint="eastAsia" w:cs="Times New Roman"/>
                <w:b/>
                <w:bCs/>
                <w:color w:val="auto"/>
                <w:sz w:val="24"/>
                <w:u w:val="none"/>
                <w:lang w:val="en-US" w:eastAsia="zh-CN"/>
              </w:rPr>
              <w:t>补充监测</w:t>
            </w:r>
          </w:p>
          <w:p w14:paraId="6D9E53B3">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u w:val="none"/>
                <w:lang w:eastAsia="zh-CN"/>
              </w:rPr>
            </w:pPr>
            <w:r>
              <w:rPr>
                <w:rFonts w:hint="default" w:ascii="Times New Roman" w:hAnsi="Times New Roman" w:cs="Times New Roman"/>
                <w:color w:val="auto"/>
                <w:sz w:val="24"/>
                <w:u w:val="none"/>
              </w:rPr>
              <w:t>为了解</w:t>
            </w:r>
            <w:r>
              <w:rPr>
                <w:rFonts w:hint="eastAsia" w:cs="Times New Roman"/>
                <w:color w:val="auto"/>
                <w:sz w:val="24"/>
                <w:u w:val="none"/>
                <w:lang w:val="en-US" w:eastAsia="zh-CN"/>
              </w:rPr>
              <w:t>项目建设区域</w:t>
            </w:r>
            <w:r>
              <w:rPr>
                <w:rFonts w:hint="default" w:ascii="Times New Roman" w:hAnsi="Times New Roman" w:cs="Times New Roman"/>
                <w:color w:val="auto"/>
                <w:sz w:val="24"/>
                <w:u w:val="none"/>
              </w:rPr>
              <w:t>环境</w:t>
            </w:r>
            <w:r>
              <w:rPr>
                <w:rFonts w:hint="eastAsia" w:cs="Times New Roman"/>
                <w:color w:val="auto"/>
                <w:sz w:val="24"/>
                <w:u w:val="none"/>
                <w:lang w:val="en-US" w:eastAsia="zh-CN"/>
              </w:rPr>
              <w:t>空气</w:t>
            </w:r>
            <w:r>
              <w:rPr>
                <w:rFonts w:hint="default" w:ascii="Times New Roman" w:hAnsi="Times New Roman" w:cs="Times New Roman"/>
                <w:color w:val="auto"/>
                <w:sz w:val="24"/>
                <w:u w:val="none"/>
              </w:rPr>
              <w:t>质量现状，本次环评委托湖南西南检验检测有限公司于202</w:t>
            </w:r>
            <w:r>
              <w:rPr>
                <w:rFonts w:hint="eastAsia" w:cs="Times New Roman"/>
                <w:color w:val="auto"/>
                <w:sz w:val="24"/>
                <w:u w:val="none"/>
                <w:lang w:val="en-US" w:eastAsia="zh-CN"/>
              </w:rPr>
              <w:t>4</w:t>
            </w:r>
            <w:r>
              <w:rPr>
                <w:rFonts w:hint="default" w:ascii="Times New Roman" w:hAnsi="Times New Roman" w:cs="Times New Roman"/>
                <w:color w:val="auto"/>
                <w:sz w:val="24"/>
                <w:highlight w:val="none"/>
                <w:u w:val="none"/>
              </w:rPr>
              <w:t>年</w:t>
            </w:r>
            <w:r>
              <w:rPr>
                <w:rFonts w:hint="eastAsia" w:cs="Times New Roman"/>
                <w:color w:val="auto"/>
                <w:sz w:val="24"/>
                <w:highlight w:val="none"/>
                <w:u w:val="none"/>
                <w:lang w:val="en-US" w:eastAsia="zh-CN"/>
              </w:rPr>
              <w:t>7</w:t>
            </w:r>
            <w:r>
              <w:rPr>
                <w:rFonts w:hint="default" w:ascii="Times New Roman" w:hAnsi="Times New Roman" w:cs="Times New Roman"/>
                <w:color w:val="auto"/>
                <w:sz w:val="24"/>
                <w:highlight w:val="none"/>
                <w:u w:val="none"/>
              </w:rPr>
              <w:t>月</w:t>
            </w:r>
            <w:r>
              <w:rPr>
                <w:rFonts w:hint="eastAsia" w:cs="Times New Roman"/>
                <w:color w:val="auto"/>
                <w:sz w:val="24"/>
                <w:highlight w:val="none"/>
                <w:u w:val="none"/>
                <w:lang w:val="en-US" w:eastAsia="zh-CN"/>
              </w:rPr>
              <w:t>31</w:t>
            </w:r>
            <w:r>
              <w:rPr>
                <w:rFonts w:hint="default" w:ascii="Times New Roman" w:hAnsi="Times New Roman" w:cs="Times New Roman"/>
                <w:color w:val="auto"/>
                <w:sz w:val="24"/>
                <w:highlight w:val="none"/>
                <w:u w:val="none"/>
              </w:rPr>
              <w:t>日至</w:t>
            </w:r>
            <w:r>
              <w:rPr>
                <w:rFonts w:hint="eastAsia" w:cs="Times New Roman"/>
                <w:color w:val="auto"/>
                <w:sz w:val="24"/>
                <w:highlight w:val="none"/>
                <w:u w:val="none"/>
                <w:lang w:val="en-US" w:eastAsia="zh-CN"/>
              </w:rPr>
              <w:t>8</w:t>
            </w:r>
            <w:r>
              <w:rPr>
                <w:rFonts w:hint="default" w:ascii="Times New Roman" w:hAnsi="Times New Roman" w:cs="Times New Roman"/>
                <w:color w:val="auto"/>
                <w:sz w:val="24"/>
                <w:highlight w:val="none"/>
                <w:u w:val="none"/>
              </w:rPr>
              <w:t>月</w:t>
            </w:r>
            <w:r>
              <w:rPr>
                <w:rFonts w:hint="eastAsia" w:cs="Times New Roman"/>
                <w:color w:val="auto"/>
                <w:sz w:val="24"/>
                <w:highlight w:val="none"/>
                <w:u w:val="none"/>
                <w:lang w:val="en-US" w:eastAsia="zh-CN"/>
              </w:rPr>
              <w:t>2</w:t>
            </w:r>
            <w:r>
              <w:rPr>
                <w:rFonts w:hint="default" w:ascii="Times New Roman" w:hAnsi="Times New Roman" w:cs="Times New Roman"/>
                <w:color w:val="auto"/>
                <w:sz w:val="24"/>
                <w:highlight w:val="none"/>
                <w:u w:val="none"/>
              </w:rPr>
              <w:t>日</w:t>
            </w:r>
            <w:r>
              <w:rPr>
                <w:rFonts w:hint="eastAsia" w:cs="Times New Roman"/>
                <w:color w:val="auto"/>
                <w:sz w:val="24"/>
                <w:highlight w:val="none"/>
                <w:u w:val="none"/>
                <w:lang w:val="en-US" w:eastAsia="zh-CN"/>
              </w:rPr>
              <w:t>对项目下风向特征点位（肖家畈居民点）</w:t>
            </w:r>
            <w:r>
              <w:rPr>
                <w:rFonts w:hint="eastAsia" w:ascii="Times New Roman" w:hAnsi="Times New Roman" w:cs="Times New Roman"/>
                <w:color w:val="auto"/>
                <w:sz w:val="24"/>
                <w:highlight w:val="none"/>
                <w:u w:val="none"/>
                <w:lang w:val="en-US" w:eastAsia="zh-CN"/>
              </w:rPr>
              <w:t>进</w:t>
            </w:r>
            <w:r>
              <w:rPr>
                <w:rFonts w:hint="eastAsia" w:ascii="Times New Roman" w:hAnsi="Times New Roman" w:cs="Times New Roman"/>
                <w:color w:val="auto"/>
                <w:sz w:val="24"/>
                <w:u w:val="none"/>
                <w:lang w:val="en-US" w:eastAsia="zh-CN"/>
              </w:rPr>
              <w:t>行</w:t>
            </w:r>
            <w:r>
              <w:rPr>
                <w:rFonts w:hint="eastAsia" w:cs="Times New Roman"/>
                <w:color w:val="auto"/>
                <w:sz w:val="24"/>
                <w:u w:val="none"/>
                <w:lang w:val="en-US" w:eastAsia="zh-CN"/>
              </w:rPr>
              <w:t>了现状</w:t>
            </w:r>
            <w:r>
              <w:rPr>
                <w:rFonts w:hint="default" w:ascii="Times New Roman" w:hAnsi="Times New Roman" w:cs="Times New Roman"/>
                <w:color w:val="auto"/>
                <w:sz w:val="24"/>
                <w:u w:val="none"/>
              </w:rPr>
              <w:t>监测，监测结果如下表</w:t>
            </w:r>
            <w:r>
              <w:rPr>
                <w:rFonts w:hint="eastAsia" w:ascii="Times New Roman" w:hAnsi="Times New Roman" w:cs="Times New Roman"/>
                <w:color w:val="auto"/>
                <w:sz w:val="24"/>
                <w:u w:val="none"/>
                <w:lang w:eastAsia="zh-CN"/>
              </w:rPr>
              <w:t>。</w:t>
            </w:r>
          </w:p>
          <w:p w14:paraId="4023FAE1">
            <w:pPr>
              <w:pStyle w:val="80"/>
              <w:keepNext w:val="0"/>
              <w:keepLines w:val="0"/>
              <w:numPr>
                <w:ilvl w:val="0"/>
                <w:numId w:val="0"/>
              </w:numPr>
              <w:suppressLineNumbers w:val="0"/>
              <w:spacing w:before="0" w:beforeLines="0" w:beforeAutospacing="0" w:after="0" w:afterAutospacing="0" w:line="360" w:lineRule="exact"/>
              <w:ind w:left="0" w:leftChars="0" w:right="0"/>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eastAsia="zh-CN"/>
              </w:rPr>
              <w:t>表</w:t>
            </w:r>
            <w:r>
              <w:rPr>
                <w:rFonts w:hint="eastAsia" w:ascii="Times New Roman" w:hAnsi="Times New Roman" w:cs="Times New Roman"/>
                <w:color w:val="auto"/>
                <w:sz w:val="21"/>
                <w:szCs w:val="21"/>
                <w:u w:val="none"/>
                <w:lang w:val="en-US" w:eastAsia="zh-CN"/>
              </w:rPr>
              <w:t>3-</w:t>
            </w:r>
            <w:r>
              <w:rPr>
                <w:rFonts w:hint="eastAsia" w:cs="Times New Roman"/>
                <w:color w:val="auto"/>
                <w:sz w:val="21"/>
                <w:szCs w:val="21"/>
                <w:u w:val="none"/>
                <w:lang w:val="en-US" w:eastAsia="zh-CN"/>
              </w:rPr>
              <w:t>3  环境空气质量现状监测结果一览表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2"/>
              <w:gridCol w:w="1224"/>
              <w:gridCol w:w="1675"/>
              <w:gridCol w:w="1362"/>
              <w:gridCol w:w="1036"/>
              <w:gridCol w:w="1313"/>
            </w:tblGrid>
            <w:tr w14:paraId="1CED0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Align w:val="center"/>
                </w:tcPr>
                <w:p w14:paraId="4232C563">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采样点位</w:t>
                  </w:r>
                </w:p>
              </w:tc>
              <w:tc>
                <w:tcPr>
                  <w:tcW w:w="755" w:type="pct"/>
                  <w:vAlign w:val="center"/>
                </w:tcPr>
                <w:p w14:paraId="661A3293">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监测项目</w:t>
                  </w:r>
                </w:p>
              </w:tc>
              <w:tc>
                <w:tcPr>
                  <w:tcW w:w="1033" w:type="pct"/>
                  <w:vAlign w:val="center"/>
                </w:tcPr>
                <w:p w14:paraId="7012A5BC">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b/>
                      <w:bCs/>
                      <w:color w:val="auto"/>
                      <w:sz w:val="21"/>
                      <w:szCs w:val="21"/>
                      <w:highlight w:val="yellow"/>
                      <w:u w:val="none"/>
                    </w:rPr>
                  </w:pPr>
                  <w:r>
                    <w:rPr>
                      <w:rFonts w:hint="default" w:ascii="Times New Roman" w:hAnsi="Times New Roman" w:cs="Times New Roman"/>
                      <w:b/>
                      <w:bCs/>
                      <w:color w:val="auto"/>
                      <w:sz w:val="21"/>
                      <w:szCs w:val="21"/>
                      <w:highlight w:val="none"/>
                      <w:u w:val="none"/>
                    </w:rPr>
                    <w:t>监测日期</w:t>
                  </w:r>
                </w:p>
              </w:tc>
              <w:tc>
                <w:tcPr>
                  <w:tcW w:w="840" w:type="pct"/>
                  <w:vAlign w:val="center"/>
                </w:tcPr>
                <w:p w14:paraId="59EA7728">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监测结果</w:t>
                  </w:r>
                </w:p>
              </w:tc>
              <w:tc>
                <w:tcPr>
                  <w:tcW w:w="639" w:type="pct"/>
                  <w:vAlign w:val="center"/>
                </w:tcPr>
                <w:p w14:paraId="6DAB5A86">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eastAsia="宋体" w:cs="Times New Roman"/>
                      <w:b/>
                      <w:bCs/>
                      <w:color w:val="auto"/>
                      <w:sz w:val="21"/>
                      <w:szCs w:val="21"/>
                      <w:u w:val="none"/>
                      <w:lang w:val="en-US" w:eastAsia="zh-CN"/>
                    </w:rPr>
                  </w:pPr>
                  <w:r>
                    <w:rPr>
                      <w:rFonts w:hint="eastAsia" w:cs="Times New Roman"/>
                      <w:b/>
                      <w:bCs/>
                      <w:color w:val="auto"/>
                      <w:sz w:val="21"/>
                      <w:szCs w:val="21"/>
                      <w:u w:val="none"/>
                      <w:lang w:val="en-US" w:eastAsia="zh-CN"/>
                    </w:rPr>
                    <w:t>单位</w:t>
                  </w:r>
                </w:p>
              </w:tc>
              <w:tc>
                <w:tcPr>
                  <w:tcW w:w="810" w:type="pct"/>
                  <w:vAlign w:val="center"/>
                </w:tcPr>
                <w:p w14:paraId="0938601E">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参考限值</w:t>
                  </w:r>
                </w:p>
              </w:tc>
            </w:tr>
            <w:tr w14:paraId="0212D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restart"/>
                  <w:vAlign w:val="center"/>
                </w:tcPr>
                <w:p w14:paraId="0F42FB39">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eastAsia="宋体" w:cs="Times New Roman"/>
                      <w:color w:val="auto"/>
                      <w:sz w:val="21"/>
                      <w:szCs w:val="21"/>
                      <w:u w:val="none"/>
                      <w:lang w:eastAsia="zh-CN"/>
                    </w:rPr>
                  </w:pPr>
                  <w:r>
                    <w:rPr>
                      <w:rFonts w:hint="eastAsia" w:ascii="Times New Roman" w:hAnsi="Times New Roman" w:eastAsia="宋体" w:cs="Times New Roman"/>
                      <w:bCs/>
                      <w:color w:val="auto"/>
                      <w:kern w:val="2"/>
                      <w:sz w:val="21"/>
                      <w:szCs w:val="21"/>
                      <w:lang w:val="en-US" w:eastAsia="zh-CN" w:bidi="ar-SA"/>
                    </w:rPr>
                    <w:t>肖家畈居民点</w:t>
                  </w:r>
                </w:p>
              </w:tc>
              <w:tc>
                <w:tcPr>
                  <w:tcW w:w="755" w:type="pct"/>
                  <w:vMerge w:val="restart"/>
                  <w:vAlign w:val="center"/>
                </w:tcPr>
                <w:p w14:paraId="61AEE747">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总悬浮颗粒物</w:t>
                  </w:r>
                </w:p>
              </w:tc>
              <w:tc>
                <w:tcPr>
                  <w:tcW w:w="1033" w:type="pct"/>
                  <w:vAlign w:val="center"/>
                </w:tcPr>
                <w:p w14:paraId="60EE043C">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2024.7.31</w:t>
                  </w:r>
                </w:p>
              </w:tc>
              <w:tc>
                <w:tcPr>
                  <w:tcW w:w="840" w:type="pct"/>
                  <w:vAlign w:val="center"/>
                </w:tcPr>
                <w:p w14:paraId="226B83D5">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0.106</w:t>
                  </w:r>
                </w:p>
              </w:tc>
              <w:tc>
                <w:tcPr>
                  <w:tcW w:w="639" w:type="pct"/>
                  <w:vAlign w:val="center"/>
                </w:tcPr>
                <w:p w14:paraId="4630939C">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m</w:t>
                  </w:r>
                  <w:r>
                    <w:rPr>
                      <w:rFonts w:hint="default" w:ascii="Times New Roman" w:hAnsi="Times New Roman" w:cs="Times New Roman"/>
                      <w:b w:val="0"/>
                      <w:bCs w:val="0"/>
                      <w:color w:val="auto"/>
                      <w:sz w:val="21"/>
                      <w:szCs w:val="21"/>
                      <w:u w:val="none"/>
                    </w:rPr>
                    <w:t>g/m</w:t>
                  </w:r>
                  <w:r>
                    <w:rPr>
                      <w:rFonts w:hint="default" w:ascii="Times New Roman" w:hAnsi="Times New Roman" w:cs="Times New Roman"/>
                      <w:b w:val="0"/>
                      <w:bCs w:val="0"/>
                      <w:color w:val="auto"/>
                      <w:sz w:val="21"/>
                      <w:szCs w:val="21"/>
                      <w:u w:val="none"/>
                      <w:vertAlign w:val="superscript"/>
                    </w:rPr>
                    <w:t>3</w:t>
                  </w:r>
                </w:p>
              </w:tc>
              <w:tc>
                <w:tcPr>
                  <w:tcW w:w="810" w:type="pct"/>
                  <w:vMerge w:val="restart"/>
                  <w:vAlign w:val="center"/>
                </w:tcPr>
                <w:p w14:paraId="518E6823">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r>
                    <w:rPr>
                      <w:rFonts w:hint="eastAsia" w:cs="Times New Roman"/>
                      <w:color w:val="auto"/>
                      <w:sz w:val="21"/>
                      <w:szCs w:val="21"/>
                      <w:u w:val="none"/>
                      <w:lang w:val="en-US" w:eastAsia="zh-CN"/>
                    </w:rPr>
                    <w:t>0.300m</w:t>
                  </w:r>
                  <w:r>
                    <w:rPr>
                      <w:rFonts w:hint="default" w:ascii="Times New Roman" w:hAnsi="Times New Roman" w:cs="Times New Roman"/>
                      <w:color w:val="auto"/>
                      <w:sz w:val="21"/>
                      <w:szCs w:val="21"/>
                      <w:u w:val="none"/>
                    </w:rPr>
                    <w:t>g/m</w:t>
                  </w:r>
                  <w:r>
                    <w:rPr>
                      <w:rFonts w:hint="default" w:ascii="Times New Roman" w:hAnsi="Times New Roman" w:cs="Times New Roman"/>
                      <w:color w:val="auto"/>
                      <w:sz w:val="21"/>
                      <w:szCs w:val="21"/>
                      <w:u w:val="none"/>
                      <w:vertAlign w:val="superscript"/>
                    </w:rPr>
                    <w:t>3</w:t>
                  </w:r>
                </w:p>
              </w:tc>
            </w:tr>
            <w:tr w14:paraId="605C6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continue"/>
                  <w:vAlign w:val="center"/>
                </w:tcPr>
                <w:p w14:paraId="4062CC01">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755" w:type="pct"/>
                  <w:vMerge w:val="continue"/>
                  <w:vAlign w:val="center"/>
                </w:tcPr>
                <w:p w14:paraId="5C3B5D6C">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1033" w:type="pct"/>
                  <w:vAlign w:val="center"/>
                </w:tcPr>
                <w:p w14:paraId="395563AE">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2024.8.1</w:t>
                  </w:r>
                </w:p>
              </w:tc>
              <w:tc>
                <w:tcPr>
                  <w:tcW w:w="840" w:type="pct"/>
                  <w:vAlign w:val="center"/>
                </w:tcPr>
                <w:p w14:paraId="1EAD3438">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0.125</w:t>
                  </w:r>
                </w:p>
              </w:tc>
              <w:tc>
                <w:tcPr>
                  <w:tcW w:w="639" w:type="pct"/>
                  <w:vAlign w:val="center"/>
                </w:tcPr>
                <w:p w14:paraId="3B7BEB2B">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m</w:t>
                  </w:r>
                  <w:r>
                    <w:rPr>
                      <w:rFonts w:hint="default" w:ascii="Times New Roman" w:hAnsi="Times New Roman" w:cs="Times New Roman"/>
                      <w:b w:val="0"/>
                      <w:bCs w:val="0"/>
                      <w:color w:val="auto"/>
                      <w:sz w:val="21"/>
                      <w:szCs w:val="21"/>
                      <w:u w:val="none"/>
                    </w:rPr>
                    <w:t>g/m</w:t>
                  </w:r>
                  <w:r>
                    <w:rPr>
                      <w:rFonts w:hint="default" w:ascii="Times New Roman" w:hAnsi="Times New Roman" w:cs="Times New Roman"/>
                      <w:b w:val="0"/>
                      <w:bCs w:val="0"/>
                      <w:color w:val="auto"/>
                      <w:sz w:val="21"/>
                      <w:szCs w:val="21"/>
                      <w:u w:val="none"/>
                      <w:vertAlign w:val="superscript"/>
                    </w:rPr>
                    <w:t>3</w:t>
                  </w:r>
                </w:p>
              </w:tc>
              <w:tc>
                <w:tcPr>
                  <w:tcW w:w="810" w:type="pct"/>
                  <w:vMerge w:val="continue"/>
                  <w:vAlign w:val="center"/>
                </w:tcPr>
                <w:p w14:paraId="1817EED5">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color w:val="auto"/>
                      <w:sz w:val="21"/>
                      <w:szCs w:val="21"/>
                      <w:u w:val="none"/>
                      <w:lang w:val="en-US" w:eastAsia="zh-CN"/>
                    </w:rPr>
                  </w:pPr>
                </w:p>
              </w:tc>
            </w:tr>
            <w:tr w14:paraId="375A9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continue"/>
                  <w:vAlign w:val="center"/>
                </w:tcPr>
                <w:p w14:paraId="52F337EA">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755" w:type="pct"/>
                  <w:vMerge w:val="continue"/>
                  <w:vAlign w:val="center"/>
                </w:tcPr>
                <w:p w14:paraId="37EFDF4D">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1033" w:type="pct"/>
                  <w:vAlign w:val="center"/>
                </w:tcPr>
                <w:p w14:paraId="4243D71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2024.8.2</w:t>
                  </w:r>
                </w:p>
              </w:tc>
              <w:tc>
                <w:tcPr>
                  <w:tcW w:w="840" w:type="pct"/>
                  <w:vAlign w:val="center"/>
                </w:tcPr>
                <w:p w14:paraId="57E4D9F9">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0.120</w:t>
                  </w:r>
                </w:p>
              </w:tc>
              <w:tc>
                <w:tcPr>
                  <w:tcW w:w="639" w:type="pct"/>
                  <w:vAlign w:val="center"/>
                </w:tcPr>
                <w:p w14:paraId="3C4D2502">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m</w:t>
                  </w:r>
                  <w:r>
                    <w:rPr>
                      <w:rFonts w:hint="default" w:ascii="Times New Roman" w:hAnsi="Times New Roman" w:cs="Times New Roman"/>
                      <w:b w:val="0"/>
                      <w:bCs w:val="0"/>
                      <w:color w:val="auto"/>
                      <w:sz w:val="21"/>
                      <w:szCs w:val="21"/>
                      <w:u w:val="none"/>
                    </w:rPr>
                    <w:t>g/m</w:t>
                  </w:r>
                  <w:r>
                    <w:rPr>
                      <w:rFonts w:hint="default" w:ascii="Times New Roman" w:hAnsi="Times New Roman" w:cs="Times New Roman"/>
                      <w:b w:val="0"/>
                      <w:bCs w:val="0"/>
                      <w:color w:val="auto"/>
                      <w:sz w:val="21"/>
                      <w:szCs w:val="21"/>
                      <w:u w:val="none"/>
                      <w:vertAlign w:val="superscript"/>
                    </w:rPr>
                    <w:t>3</w:t>
                  </w:r>
                </w:p>
              </w:tc>
              <w:tc>
                <w:tcPr>
                  <w:tcW w:w="810" w:type="pct"/>
                  <w:vMerge w:val="continue"/>
                  <w:vAlign w:val="center"/>
                </w:tcPr>
                <w:p w14:paraId="162DEB3B">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color w:val="auto"/>
                      <w:sz w:val="21"/>
                      <w:szCs w:val="21"/>
                      <w:u w:val="none"/>
                      <w:lang w:val="en-US" w:eastAsia="zh-CN"/>
                    </w:rPr>
                  </w:pPr>
                </w:p>
              </w:tc>
            </w:tr>
            <w:tr w14:paraId="7F7F5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continue"/>
                  <w:vAlign w:val="center"/>
                </w:tcPr>
                <w:p w14:paraId="37C6B1DC">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755" w:type="pct"/>
                  <w:vMerge w:val="restart"/>
                  <w:vAlign w:val="center"/>
                </w:tcPr>
                <w:p w14:paraId="29211FCD">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硫化氢</w:t>
                  </w:r>
                </w:p>
              </w:tc>
              <w:tc>
                <w:tcPr>
                  <w:tcW w:w="1033" w:type="pct"/>
                  <w:vAlign w:val="center"/>
                </w:tcPr>
                <w:p w14:paraId="063B861E">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cs="Times New Roman"/>
                      <w:color w:val="auto"/>
                      <w:sz w:val="21"/>
                      <w:szCs w:val="21"/>
                      <w:highlight w:val="yellow"/>
                      <w:u w:val="none"/>
                      <w:lang w:val="en-US" w:eastAsia="zh-CN"/>
                    </w:rPr>
                  </w:pPr>
                  <w:r>
                    <w:rPr>
                      <w:rFonts w:hint="eastAsia" w:cs="Times New Roman"/>
                      <w:color w:val="auto"/>
                      <w:sz w:val="21"/>
                      <w:szCs w:val="21"/>
                      <w:highlight w:val="none"/>
                      <w:u w:val="none"/>
                      <w:lang w:val="en-US" w:eastAsia="zh-CN"/>
                    </w:rPr>
                    <w:t>2024.7.31</w:t>
                  </w:r>
                </w:p>
              </w:tc>
              <w:tc>
                <w:tcPr>
                  <w:tcW w:w="840" w:type="pct"/>
                  <w:vAlign w:val="center"/>
                </w:tcPr>
                <w:p w14:paraId="1926C899">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0.006</w:t>
                  </w:r>
                </w:p>
              </w:tc>
              <w:tc>
                <w:tcPr>
                  <w:tcW w:w="639" w:type="pct"/>
                  <w:vAlign w:val="center"/>
                </w:tcPr>
                <w:p w14:paraId="6BA4ED74">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m</w:t>
                  </w:r>
                  <w:r>
                    <w:rPr>
                      <w:rFonts w:hint="default" w:ascii="Times New Roman" w:hAnsi="Times New Roman" w:cs="Times New Roman"/>
                      <w:b w:val="0"/>
                      <w:bCs w:val="0"/>
                      <w:color w:val="auto"/>
                      <w:sz w:val="21"/>
                      <w:szCs w:val="21"/>
                      <w:u w:val="none"/>
                    </w:rPr>
                    <w:t>g/m</w:t>
                  </w:r>
                  <w:r>
                    <w:rPr>
                      <w:rFonts w:hint="default" w:ascii="Times New Roman" w:hAnsi="Times New Roman" w:cs="Times New Roman"/>
                      <w:b w:val="0"/>
                      <w:bCs w:val="0"/>
                      <w:color w:val="auto"/>
                      <w:sz w:val="21"/>
                      <w:szCs w:val="21"/>
                      <w:u w:val="none"/>
                      <w:vertAlign w:val="superscript"/>
                    </w:rPr>
                    <w:t>3</w:t>
                  </w:r>
                </w:p>
              </w:tc>
              <w:tc>
                <w:tcPr>
                  <w:tcW w:w="810" w:type="pct"/>
                  <w:vMerge w:val="restart"/>
                  <w:vAlign w:val="center"/>
                </w:tcPr>
                <w:p w14:paraId="6F68D762">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color w:val="auto"/>
                      <w:sz w:val="21"/>
                      <w:szCs w:val="21"/>
                      <w:u w:val="none"/>
                      <w:vertAlign w:val="superscript"/>
                      <w:lang w:val="en-US" w:eastAsia="zh-CN"/>
                    </w:rPr>
                  </w:pPr>
                  <w:r>
                    <w:rPr>
                      <w:rFonts w:hint="eastAsia" w:cs="Times New Roman"/>
                      <w:color w:val="auto"/>
                      <w:sz w:val="21"/>
                      <w:szCs w:val="21"/>
                      <w:u w:val="none"/>
                      <w:lang w:val="en-US" w:eastAsia="zh-CN"/>
                    </w:rPr>
                    <w:t>0.010m</w:t>
                  </w:r>
                  <w:r>
                    <w:rPr>
                      <w:rFonts w:hint="default" w:ascii="Times New Roman" w:hAnsi="Times New Roman" w:cs="Times New Roman"/>
                      <w:color w:val="auto"/>
                      <w:sz w:val="21"/>
                      <w:szCs w:val="21"/>
                      <w:u w:val="none"/>
                    </w:rPr>
                    <w:t>g/m</w:t>
                  </w:r>
                  <w:r>
                    <w:rPr>
                      <w:rFonts w:hint="default" w:ascii="Times New Roman" w:hAnsi="Times New Roman" w:cs="Times New Roman"/>
                      <w:color w:val="auto"/>
                      <w:sz w:val="21"/>
                      <w:szCs w:val="21"/>
                      <w:u w:val="none"/>
                      <w:vertAlign w:val="superscript"/>
                    </w:rPr>
                    <w:t>3</w:t>
                  </w:r>
                </w:p>
              </w:tc>
            </w:tr>
            <w:tr w14:paraId="5559E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continue"/>
                  <w:vAlign w:val="center"/>
                </w:tcPr>
                <w:p w14:paraId="739F71F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755" w:type="pct"/>
                  <w:vMerge w:val="continue"/>
                  <w:vAlign w:val="center"/>
                </w:tcPr>
                <w:p w14:paraId="30E7B5D7">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1033" w:type="pct"/>
                  <w:vAlign w:val="center"/>
                </w:tcPr>
                <w:p w14:paraId="6CB7CB26">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cs="Times New Roman"/>
                      <w:color w:val="auto"/>
                      <w:sz w:val="21"/>
                      <w:szCs w:val="21"/>
                      <w:highlight w:val="yellow"/>
                      <w:u w:val="none"/>
                      <w:lang w:val="en-US" w:eastAsia="zh-CN"/>
                    </w:rPr>
                  </w:pPr>
                  <w:r>
                    <w:rPr>
                      <w:rFonts w:hint="eastAsia" w:cs="Times New Roman"/>
                      <w:color w:val="auto"/>
                      <w:sz w:val="21"/>
                      <w:szCs w:val="21"/>
                      <w:highlight w:val="none"/>
                      <w:u w:val="none"/>
                      <w:lang w:val="en-US" w:eastAsia="zh-CN"/>
                    </w:rPr>
                    <w:t>2024.8.1</w:t>
                  </w:r>
                </w:p>
              </w:tc>
              <w:tc>
                <w:tcPr>
                  <w:tcW w:w="840" w:type="pct"/>
                  <w:vAlign w:val="center"/>
                </w:tcPr>
                <w:p w14:paraId="23ED1793">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0.125</w:t>
                  </w:r>
                </w:p>
              </w:tc>
              <w:tc>
                <w:tcPr>
                  <w:tcW w:w="639" w:type="pct"/>
                  <w:vAlign w:val="center"/>
                </w:tcPr>
                <w:p w14:paraId="00C5A43E">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m</w:t>
                  </w:r>
                  <w:r>
                    <w:rPr>
                      <w:rFonts w:hint="default" w:ascii="Times New Roman" w:hAnsi="Times New Roman" w:cs="Times New Roman"/>
                      <w:b w:val="0"/>
                      <w:bCs w:val="0"/>
                      <w:color w:val="auto"/>
                      <w:sz w:val="21"/>
                      <w:szCs w:val="21"/>
                      <w:u w:val="none"/>
                    </w:rPr>
                    <w:t>g/m</w:t>
                  </w:r>
                  <w:r>
                    <w:rPr>
                      <w:rFonts w:hint="default" w:ascii="Times New Roman" w:hAnsi="Times New Roman" w:cs="Times New Roman"/>
                      <w:b w:val="0"/>
                      <w:bCs w:val="0"/>
                      <w:color w:val="auto"/>
                      <w:sz w:val="21"/>
                      <w:szCs w:val="21"/>
                      <w:u w:val="none"/>
                      <w:vertAlign w:val="superscript"/>
                    </w:rPr>
                    <w:t>3</w:t>
                  </w:r>
                </w:p>
              </w:tc>
              <w:tc>
                <w:tcPr>
                  <w:tcW w:w="810" w:type="pct"/>
                  <w:vMerge w:val="continue"/>
                  <w:vAlign w:val="center"/>
                </w:tcPr>
                <w:p w14:paraId="5BC8B6F7">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color w:val="auto"/>
                      <w:sz w:val="21"/>
                      <w:szCs w:val="21"/>
                      <w:u w:val="none"/>
                      <w:lang w:val="en-US" w:eastAsia="zh-CN"/>
                    </w:rPr>
                  </w:pPr>
                </w:p>
              </w:tc>
            </w:tr>
            <w:tr w14:paraId="3498D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continue"/>
                  <w:vAlign w:val="center"/>
                </w:tcPr>
                <w:p w14:paraId="3BE0FE03">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755" w:type="pct"/>
                  <w:vMerge w:val="continue"/>
                  <w:vAlign w:val="center"/>
                </w:tcPr>
                <w:p w14:paraId="3967E219">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1033" w:type="pct"/>
                  <w:vAlign w:val="center"/>
                </w:tcPr>
                <w:p w14:paraId="2A33A9EB">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cs="Times New Roman"/>
                      <w:color w:val="auto"/>
                      <w:sz w:val="21"/>
                      <w:szCs w:val="21"/>
                      <w:highlight w:val="yellow"/>
                      <w:u w:val="none"/>
                      <w:lang w:val="en-US" w:eastAsia="zh-CN"/>
                    </w:rPr>
                  </w:pPr>
                  <w:r>
                    <w:rPr>
                      <w:rFonts w:hint="eastAsia" w:cs="Times New Roman"/>
                      <w:color w:val="auto"/>
                      <w:sz w:val="21"/>
                      <w:szCs w:val="21"/>
                      <w:highlight w:val="none"/>
                      <w:u w:val="none"/>
                      <w:lang w:val="en-US" w:eastAsia="zh-CN"/>
                    </w:rPr>
                    <w:t>2024.8.2</w:t>
                  </w:r>
                </w:p>
              </w:tc>
              <w:tc>
                <w:tcPr>
                  <w:tcW w:w="840" w:type="pct"/>
                  <w:vAlign w:val="center"/>
                </w:tcPr>
                <w:p w14:paraId="336C6734">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0.120</w:t>
                  </w:r>
                </w:p>
              </w:tc>
              <w:tc>
                <w:tcPr>
                  <w:tcW w:w="639" w:type="pct"/>
                  <w:vAlign w:val="center"/>
                </w:tcPr>
                <w:p w14:paraId="459D538F">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m</w:t>
                  </w:r>
                  <w:r>
                    <w:rPr>
                      <w:rFonts w:hint="default" w:ascii="Times New Roman" w:hAnsi="Times New Roman" w:cs="Times New Roman"/>
                      <w:b w:val="0"/>
                      <w:bCs w:val="0"/>
                      <w:color w:val="auto"/>
                      <w:sz w:val="21"/>
                      <w:szCs w:val="21"/>
                      <w:u w:val="none"/>
                    </w:rPr>
                    <w:t>g/m</w:t>
                  </w:r>
                  <w:r>
                    <w:rPr>
                      <w:rFonts w:hint="default" w:ascii="Times New Roman" w:hAnsi="Times New Roman" w:cs="Times New Roman"/>
                      <w:b w:val="0"/>
                      <w:bCs w:val="0"/>
                      <w:color w:val="auto"/>
                      <w:sz w:val="21"/>
                      <w:szCs w:val="21"/>
                      <w:u w:val="none"/>
                      <w:vertAlign w:val="superscript"/>
                    </w:rPr>
                    <w:t>3</w:t>
                  </w:r>
                </w:p>
              </w:tc>
              <w:tc>
                <w:tcPr>
                  <w:tcW w:w="810" w:type="pct"/>
                  <w:vMerge w:val="continue"/>
                  <w:vAlign w:val="center"/>
                </w:tcPr>
                <w:p w14:paraId="780343A9">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color w:val="auto"/>
                      <w:sz w:val="21"/>
                      <w:szCs w:val="21"/>
                      <w:u w:val="none"/>
                      <w:lang w:val="en-US" w:eastAsia="zh-CN"/>
                    </w:rPr>
                  </w:pPr>
                </w:p>
              </w:tc>
            </w:tr>
            <w:tr w14:paraId="1A4A0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continue"/>
                  <w:vAlign w:val="center"/>
                </w:tcPr>
                <w:p w14:paraId="503FD48C">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755" w:type="pct"/>
                  <w:vMerge w:val="restart"/>
                  <w:vAlign w:val="center"/>
                </w:tcPr>
                <w:p w14:paraId="56F53FD7">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氨气</w:t>
                  </w:r>
                </w:p>
              </w:tc>
              <w:tc>
                <w:tcPr>
                  <w:tcW w:w="1033" w:type="pct"/>
                  <w:vAlign w:val="center"/>
                </w:tcPr>
                <w:p w14:paraId="03488088">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cs="Times New Roman"/>
                      <w:color w:val="auto"/>
                      <w:sz w:val="21"/>
                      <w:szCs w:val="21"/>
                      <w:highlight w:val="yellow"/>
                      <w:u w:val="none"/>
                      <w:lang w:val="en-US" w:eastAsia="zh-CN"/>
                    </w:rPr>
                  </w:pPr>
                  <w:r>
                    <w:rPr>
                      <w:rFonts w:hint="eastAsia" w:cs="Times New Roman"/>
                      <w:color w:val="auto"/>
                      <w:sz w:val="21"/>
                      <w:szCs w:val="21"/>
                      <w:highlight w:val="none"/>
                      <w:u w:val="none"/>
                      <w:lang w:val="en-US" w:eastAsia="zh-CN"/>
                    </w:rPr>
                    <w:t>2024.7.31</w:t>
                  </w:r>
                </w:p>
              </w:tc>
              <w:tc>
                <w:tcPr>
                  <w:tcW w:w="840" w:type="pct"/>
                  <w:vAlign w:val="center"/>
                </w:tcPr>
                <w:p w14:paraId="689A51A4">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0.12</w:t>
                  </w:r>
                </w:p>
              </w:tc>
              <w:tc>
                <w:tcPr>
                  <w:tcW w:w="639" w:type="pct"/>
                  <w:vAlign w:val="center"/>
                </w:tcPr>
                <w:p w14:paraId="15C220BA">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m</w:t>
                  </w:r>
                  <w:r>
                    <w:rPr>
                      <w:rFonts w:hint="default" w:ascii="Times New Roman" w:hAnsi="Times New Roman" w:cs="Times New Roman"/>
                      <w:b w:val="0"/>
                      <w:bCs w:val="0"/>
                      <w:color w:val="auto"/>
                      <w:sz w:val="21"/>
                      <w:szCs w:val="21"/>
                      <w:u w:val="none"/>
                    </w:rPr>
                    <w:t>g/m</w:t>
                  </w:r>
                  <w:r>
                    <w:rPr>
                      <w:rFonts w:hint="default" w:ascii="Times New Roman" w:hAnsi="Times New Roman" w:cs="Times New Roman"/>
                      <w:b w:val="0"/>
                      <w:bCs w:val="0"/>
                      <w:color w:val="auto"/>
                      <w:sz w:val="21"/>
                      <w:szCs w:val="21"/>
                      <w:u w:val="none"/>
                      <w:vertAlign w:val="superscript"/>
                    </w:rPr>
                    <w:t>3</w:t>
                  </w:r>
                </w:p>
              </w:tc>
              <w:tc>
                <w:tcPr>
                  <w:tcW w:w="810" w:type="pct"/>
                  <w:vMerge w:val="restart"/>
                  <w:vAlign w:val="center"/>
                </w:tcPr>
                <w:p w14:paraId="5D6BFA08">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0.200m</w:t>
                  </w:r>
                  <w:r>
                    <w:rPr>
                      <w:rFonts w:hint="default" w:ascii="Times New Roman" w:hAnsi="Times New Roman" w:cs="Times New Roman"/>
                      <w:color w:val="auto"/>
                      <w:sz w:val="21"/>
                      <w:szCs w:val="21"/>
                      <w:u w:val="none"/>
                    </w:rPr>
                    <w:t>g/m</w:t>
                  </w:r>
                  <w:r>
                    <w:rPr>
                      <w:rFonts w:hint="default" w:ascii="Times New Roman" w:hAnsi="Times New Roman" w:cs="Times New Roman"/>
                      <w:color w:val="auto"/>
                      <w:sz w:val="21"/>
                      <w:szCs w:val="21"/>
                      <w:u w:val="none"/>
                      <w:vertAlign w:val="superscript"/>
                    </w:rPr>
                    <w:t>3</w:t>
                  </w:r>
                </w:p>
              </w:tc>
            </w:tr>
            <w:tr w14:paraId="426A8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continue"/>
                  <w:vAlign w:val="center"/>
                </w:tcPr>
                <w:p w14:paraId="5D4C81CB">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755" w:type="pct"/>
                  <w:vMerge w:val="continue"/>
                  <w:vAlign w:val="center"/>
                </w:tcPr>
                <w:p w14:paraId="1819C2FD">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1033" w:type="pct"/>
                  <w:vAlign w:val="center"/>
                </w:tcPr>
                <w:p w14:paraId="37CAB683">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cs="Times New Roman"/>
                      <w:color w:val="auto"/>
                      <w:sz w:val="21"/>
                      <w:szCs w:val="21"/>
                      <w:highlight w:val="yellow"/>
                      <w:u w:val="none"/>
                      <w:lang w:val="en-US" w:eastAsia="zh-CN"/>
                    </w:rPr>
                  </w:pPr>
                  <w:r>
                    <w:rPr>
                      <w:rFonts w:hint="eastAsia" w:cs="Times New Roman"/>
                      <w:color w:val="auto"/>
                      <w:sz w:val="21"/>
                      <w:szCs w:val="21"/>
                      <w:highlight w:val="none"/>
                      <w:u w:val="none"/>
                      <w:lang w:val="en-US" w:eastAsia="zh-CN"/>
                    </w:rPr>
                    <w:t>2024.8.1</w:t>
                  </w:r>
                </w:p>
              </w:tc>
              <w:tc>
                <w:tcPr>
                  <w:tcW w:w="840" w:type="pct"/>
                  <w:vAlign w:val="center"/>
                </w:tcPr>
                <w:p w14:paraId="2C73BE78">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0.12</w:t>
                  </w:r>
                </w:p>
              </w:tc>
              <w:tc>
                <w:tcPr>
                  <w:tcW w:w="639" w:type="pct"/>
                  <w:vAlign w:val="center"/>
                </w:tcPr>
                <w:p w14:paraId="649FBAB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m</w:t>
                  </w:r>
                  <w:r>
                    <w:rPr>
                      <w:rFonts w:hint="default" w:ascii="Times New Roman" w:hAnsi="Times New Roman" w:cs="Times New Roman"/>
                      <w:b w:val="0"/>
                      <w:bCs w:val="0"/>
                      <w:color w:val="auto"/>
                      <w:sz w:val="21"/>
                      <w:szCs w:val="21"/>
                      <w:u w:val="none"/>
                    </w:rPr>
                    <w:t>g/m</w:t>
                  </w:r>
                  <w:r>
                    <w:rPr>
                      <w:rFonts w:hint="default" w:ascii="Times New Roman" w:hAnsi="Times New Roman" w:cs="Times New Roman"/>
                      <w:b w:val="0"/>
                      <w:bCs w:val="0"/>
                      <w:color w:val="auto"/>
                      <w:sz w:val="21"/>
                      <w:szCs w:val="21"/>
                      <w:u w:val="none"/>
                      <w:vertAlign w:val="superscript"/>
                    </w:rPr>
                    <w:t>3</w:t>
                  </w:r>
                </w:p>
              </w:tc>
              <w:tc>
                <w:tcPr>
                  <w:tcW w:w="810" w:type="pct"/>
                  <w:vMerge w:val="continue"/>
                  <w:vAlign w:val="center"/>
                </w:tcPr>
                <w:p w14:paraId="15557601">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color w:val="auto"/>
                      <w:sz w:val="21"/>
                      <w:szCs w:val="21"/>
                      <w:u w:val="none"/>
                      <w:lang w:val="en-US" w:eastAsia="zh-CN"/>
                    </w:rPr>
                  </w:pPr>
                </w:p>
              </w:tc>
            </w:tr>
            <w:tr w14:paraId="496EF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continue"/>
                  <w:vAlign w:val="center"/>
                </w:tcPr>
                <w:p w14:paraId="3CA4BC0D">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755" w:type="pct"/>
                  <w:vMerge w:val="continue"/>
                  <w:vAlign w:val="center"/>
                </w:tcPr>
                <w:p w14:paraId="42B11751">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1033" w:type="pct"/>
                  <w:vAlign w:val="center"/>
                </w:tcPr>
                <w:p w14:paraId="251D7438">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cs="Times New Roman"/>
                      <w:color w:val="auto"/>
                      <w:sz w:val="21"/>
                      <w:szCs w:val="21"/>
                      <w:highlight w:val="yellow"/>
                      <w:u w:val="none"/>
                      <w:lang w:val="en-US" w:eastAsia="zh-CN"/>
                    </w:rPr>
                  </w:pPr>
                  <w:r>
                    <w:rPr>
                      <w:rFonts w:hint="eastAsia" w:cs="Times New Roman"/>
                      <w:color w:val="auto"/>
                      <w:sz w:val="21"/>
                      <w:szCs w:val="21"/>
                      <w:highlight w:val="none"/>
                      <w:u w:val="none"/>
                      <w:lang w:val="en-US" w:eastAsia="zh-CN"/>
                    </w:rPr>
                    <w:t>2024.8.2</w:t>
                  </w:r>
                </w:p>
              </w:tc>
              <w:tc>
                <w:tcPr>
                  <w:tcW w:w="840" w:type="pct"/>
                  <w:vAlign w:val="center"/>
                </w:tcPr>
                <w:p w14:paraId="14D4445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0.10</w:t>
                  </w:r>
                </w:p>
              </w:tc>
              <w:tc>
                <w:tcPr>
                  <w:tcW w:w="639" w:type="pct"/>
                  <w:vAlign w:val="center"/>
                </w:tcPr>
                <w:p w14:paraId="027F18EC">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m</w:t>
                  </w:r>
                  <w:r>
                    <w:rPr>
                      <w:rFonts w:hint="default" w:ascii="Times New Roman" w:hAnsi="Times New Roman" w:cs="Times New Roman"/>
                      <w:b w:val="0"/>
                      <w:bCs w:val="0"/>
                      <w:color w:val="auto"/>
                      <w:sz w:val="21"/>
                      <w:szCs w:val="21"/>
                      <w:u w:val="none"/>
                    </w:rPr>
                    <w:t>g/m</w:t>
                  </w:r>
                  <w:r>
                    <w:rPr>
                      <w:rFonts w:hint="default" w:ascii="Times New Roman" w:hAnsi="Times New Roman" w:cs="Times New Roman"/>
                      <w:b w:val="0"/>
                      <w:bCs w:val="0"/>
                      <w:color w:val="auto"/>
                      <w:sz w:val="21"/>
                      <w:szCs w:val="21"/>
                      <w:u w:val="none"/>
                      <w:vertAlign w:val="superscript"/>
                    </w:rPr>
                    <w:t>3</w:t>
                  </w:r>
                </w:p>
              </w:tc>
              <w:tc>
                <w:tcPr>
                  <w:tcW w:w="810" w:type="pct"/>
                  <w:vMerge w:val="continue"/>
                  <w:vAlign w:val="center"/>
                </w:tcPr>
                <w:p w14:paraId="748B594E">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color w:val="auto"/>
                      <w:sz w:val="21"/>
                      <w:szCs w:val="21"/>
                      <w:u w:val="none"/>
                      <w:lang w:val="en-US" w:eastAsia="zh-CN"/>
                    </w:rPr>
                  </w:pPr>
                </w:p>
              </w:tc>
            </w:tr>
            <w:tr w14:paraId="2FE28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continue"/>
                  <w:vAlign w:val="center"/>
                </w:tcPr>
                <w:p w14:paraId="161BE854">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755" w:type="pct"/>
                  <w:vMerge w:val="restart"/>
                  <w:vAlign w:val="center"/>
                </w:tcPr>
                <w:p w14:paraId="41633604">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臭气浓度</w:t>
                  </w:r>
                </w:p>
              </w:tc>
              <w:tc>
                <w:tcPr>
                  <w:tcW w:w="1033" w:type="pct"/>
                  <w:vAlign w:val="center"/>
                </w:tcPr>
                <w:p w14:paraId="29A58DDE">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cs="Times New Roman"/>
                      <w:color w:val="auto"/>
                      <w:sz w:val="21"/>
                      <w:szCs w:val="21"/>
                      <w:highlight w:val="yellow"/>
                      <w:u w:val="none"/>
                      <w:lang w:val="en-US" w:eastAsia="zh-CN"/>
                    </w:rPr>
                  </w:pPr>
                  <w:r>
                    <w:rPr>
                      <w:rFonts w:hint="eastAsia" w:cs="Times New Roman"/>
                      <w:color w:val="auto"/>
                      <w:sz w:val="21"/>
                      <w:szCs w:val="21"/>
                      <w:highlight w:val="none"/>
                      <w:u w:val="none"/>
                      <w:lang w:val="en-US" w:eastAsia="zh-CN"/>
                    </w:rPr>
                    <w:t>2024.7.31</w:t>
                  </w:r>
                </w:p>
              </w:tc>
              <w:tc>
                <w:tcPr>
                  <w:tcW w:w="840" w:type="pct"/>
                  <w:vAlign w:val="center"/>
                </w:tcPr>
                <w:p w14:paraId="6BF4E232">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17</w:t>
                  </w:r>
                </w:p>
              </w:tc>
              <w:tc>
                <w:tcPr>
                  <w:tcW w:w="639" w:type="pct"/>
                  <w:vMerge w:val="restart"/>
                  <w:vAlign w:val="center"/>
                </w:tcPr>
                <w:p w14:paraId="5D402207">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无量纲</w:t>
                  </w:r>
                </w:p>
              </w:tc>
              <w:tc>
                <w:tcPr>
                  <w:tcW w:w="810" w:type="pct"/>
                  <w:vMerge w:val="restart"/>
                  <w:vAlign w:val="center"/>
                </w:tcPr>
                <w:p w14:paraId="7D6DBB66">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20</w:t>
                  </w:r>
                </w:p>
              </w:tc>
            </w:tr>
            <w:tr w14:paraId="4C49D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continue"/>
                  <w:vAlign w:val="center"/>
                </w:tcPr>
                <w:p w14:paraId="326E4586">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755" w:type="pct"/>
                  <w:vMerge w:val="continue"/>
                  <w:vAlign w:val="center"/>
                </w:tcPr>
                <w:p w14:paraId="0D8E4A06">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1033" w:type="pct"/>
                  <w:vAlign w:val="center"/>
                </w:tcPr>
                <w:p w14:paraId="3A7EEC15">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cs="Times New Roman"/>
                      <w:color w:val="auto"/>
                      <w:sz w:val="21"/>
                      <w:szCs w:val="21"/>
                      <w:highlight w:val="yellow"/>
                      <w:u w:val="none"/>
                      <w:lang w:val="en-US" w:eastAsia="zh-CN"/>
                    </w:rPr>
                  </w:pPr>
                  <w:r>
                    <w:rPr>
                      <w:rFonts w:hint="eastAsia" w:cs="Times New Roman"/>
                      <w:color w:val="auto"/>
                      <w:sz w:val="21"/>
                      <w:szCs w:val="21"/>
                      <w:highlight w:val="none"/>
                      <w:u w:val="none"/>
                      <w:lang w:val="en-US" w:eastAsia="zh-CN"/>
                    </w:rPr>
                    <w:t>2024.8.1</w:t>
                  </w:r>
                </w:p>
              </w:tc>
              <w:tc>
                <w:tcPr>
                  <w:tcW w:w="840" w:type="pct"/>
                  <w:vAlign w:val="center"/>
                </w:tcPr>
                <w:p w14:paraId="7616F363">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16</w:t>
                  </w:r>
                </w:p>
              </w:tc>
              <w:tc>
                <w:tcPr>
                  <w:tcW w:w="639" w:type="pct"/>
                  <w:vMerge w:val="continue"/>
                  <w:vAlign w:val="center"/>
                </w:tcPr>
                <w:p w14:paraId="4171C89D">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p>
              </w:tc>
              <w:tc>
                <w:tcPr>
                  <w:tcW w:w="810" w:type="pct"/>
                  <w:vMerge w:val="continue"/>
                  <w:vAlign w:val="center"/>
                </w:tcPr>
                <w:p w14:paraId="5C183F59">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color w:val="auto"/>
                      <w:sz w:val="21"/>
                      <w:szCs w:val="21"/>
                      <w:u w:val="none"/>
                      <w:lang w:val="en-US" w:eastAsia="zh-CN"/>
                    </w:rPr>
                  </w:pPr>
                </w:p>
              </w:tc>
            </w:tr>
            <w:tr w14:paraId="192BC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0" w:type="pct"/>
                  <w:vMerge w:val="continue"/>
                  <w:vAlign w:val="center"/>
                </w:tcPr>
                <w:p w14:paraId="63811BD5">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755" w:type="pct"/>
                  <w:vMerge w:val="continue"/>
                  <w:vAlign w:val="center"/>
                </w:tcPr>
                <w:p w14:paraId="4AAEF754">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u w:val="none"/>
                    </w:rPr>
                  </w:pPr>
                </w:p>
              </w:tc>
              <w:tc>
                <w:tcPr>
                  <w:tcW w:w="1033" w:type="pct"/>
                  <w:vAlign w:val="center"/>
                </w:tcPr>
                <w:p w14:paraId="4107464F">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cs="Times New Roman"/>
                      <w:color w:val="auto"/>
                      <w:sz w:val="21"/>
                      <w:szCs w:val="21"/>
                      <w:highlight w:val="yellow"/>
                      <w:u w:val="none"/>
                      <w:lang w:val="en-US" w:eastAsia="zh-CN"/>
                    </w:rPr>
                  </w:pPr>
                  <w:r>
                    <w:rPr>
                      <w:rFonts w:hint="eastAsia" w:cs="Times New Roman"/>
                      <w:color w:val="auto"/>
                      <w:sz w:val="21"/>
                      <w:szCs w:val="21"/>
                      <w:highlight w:val="none"/>
                      <w:u w:val="none"/>
                      <w:lang w:val="en-US" w:eastAsia="zh-CN"/>
                    </w:rPr>
                    <w:t>2024.8.2</w:t>
                  </w:r>
                </w:p>
              </w:tc>
              <w:tc>
                <w:tcPr>
                  <w:tcW w:w="840" w:type="pct"/>
                  <w:vAlign w:val="center"/>
                </w:tcPr>
                <w:p w14:paraId="051A74D8">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15</w:t>
                  </w:r>
                </w:p>
              </w:tc>
              <w:tc>
                <w:tcPr>
                  <w:tcW w:w="639" w:type="pct"/>
                  <w:vMerge w:val="continue"/>
                  <w:vAlign w:val="center"/>
                </w:tcPr>
                <w:p w14:paraId="3F20B4A8">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eastAsia="宋体" w:cs="Times New Roman"/>
                      <w:color w:val="auto"/>
                      <w:sz w:val="21"/>
                      <w:szCs w:val="21"/>
                      <w:u w:val="none"/>
                      <w:lang w:val="en-US" w:eastAsia="zh-CN"/>
                    </w:rPr>
                  </w:pPr>
                </w:p>
              </w:tc>
              <w:tc>
                <w:tcPr>
                  <w:tcW w:w="810" w:type="pct"/>
                  <w:vMerge w:val="continue"/>
                  <w:vAlign w:val="center"/>
                </w:tcPr>
                <w:p w14:paraId="17046718">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color w:val="auto"/>
                      <w:sz w:val="21"/>
                      <w:szCs w:val="21"/>
                      <w:u w:val="none"/>
                      <w:lang w:val="en-US" w:eastAsia="zh-CN"/>
                    </w:rPr>
                  </w:pPr>
                </w:p>
              </w:tc>
            </w:tr>
          </w:tbl>
          <w:p w14:paraId="3CED17B6">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b/>
                <w:color w:val="auto"/>
                <w:sz w:val="24"/>
                <w:u w:val="none"/>
              </w:rPr>
            </w:pPr>
            <w:r>
              <w:rPr>
                <w:rFonts w:hint="default" w:ascii="Times New Roman" w:hAnsi="Times New Roman" w:cs="Times New Roman"/>
                <w:color w:val="auto"/>
                <w:sz w:val="24"/>
                <w:u w:val="none"/>
              </w:rPr>
              <w:t>由表3-</w:t>
            </w:r>
            <w:r>
              <w:rPr>
                <w:rFonts w:hint="eastAsia" w:cs="Times New Roman"/>
                <w:color w:val="auto"/>
                <w:sz w:val="24"/>
                <w:u w:val="none"/>
                <w:lang w:val="en-US" w:eastAsia="zh-CN"/>
              </w:rPr>
              <w:t>3</w:t>
            </w:r>
            <w:r>
              <w:rPr>
                <w:rFonts w:hint="default" w:ascii="Times New Roman" w:hAnsi="Times New Roman" w:cs="Times New Roman"/>
                <w:color w:val="auto"/>
                <w:sz w:val="24"/>
                <w:u w:val="none"/>
              </w:rPr>
              <w:t>可知，项目所在区域特征污染物</w:t>
            </w:r>
            <w:r>
              <w:rPr>
                <w:rFonts w:hint="eastAsia" w:cs="Times New Roman"/>
                <w:color w:val="auto"/>
                <w:sz w:val="24"/>
                <w:u w:val="none"/>
                <w:lang w:val="en-US" w:eastAsia="zh-CN"/>
              </w:rPr>
              <w:t>总悬浮颗粒物</w:t>
            </w:r>
            <w:r>
              <w:rPr>
                <w:rFonts w:hint="default" w:ascii="Times New Roman" w:hAnsi="Times New Roman" w:cs="Times New Roman"/>
                <w:color w:val="auto"/>
                <w:sz w:val="24"/>
                <w:u w:val="none"/>
              </w:rPr>
              <w:t>浓度满足《</w:t>
            </w:r>
            <w:r>
              <w:rPr>
                <w:rFonts w:hint="eastAsia" w:ascii="Times New Roman" w:hAnsi="Times New Roman" w:cs="Times New Roman"/>
                <w:color w:val="auto"/>
                <w:sz w:val="24"/>
                <w:u w:val="none"/>
                <w:lang w:eastAsia="zh-CN"/>
              </w:rPr>
              <w:t>环境空气质量标准</w:t>
            </w:r>
            <w:r>
              <w:rPr>
                <w:rFonts w:hint="default" w:ascii="Times New Roman" w:hAnsi="Times New Roman" w:cs="Times New Roman"/>
                <w:color w:val="auto"/>
                <w:sz w:val="24"/>
                <w:u w:val="none"/>
              </w:rPr>
              <w:t>》（</w:t>
            </w:r>
            <w:r>
              <w:rPr>
                <w:rFonts w:hint="eastAsia" w:ascii="Times New Roman" w:hAnsi="Times New Roman" w:cs="Times New Roman"/>
                <w:color w:val="auto"/>
                <w:sz w:val="24"/>
                <w:u w:val="none"/>
                <w:lang w:val="en-US" w:eastAsia="zh-CN"/>
              </w:rPr>
              <w:t>GB3095-2012</w:t>
            </w:r>
            <w:r>
              <w:rPr>
                <w:rFonts w:hint="default" w:ascii="Times New Roman" w:hAnsi="Times New Roman" w:cs="Times New Roman"/>
                <w:color w:val="auto"/>
                <w:sz w:val="24"/>
                <w:u w:val="none"/>
              </w:rPr>
              <w:t>）</w:t>
            </w:r>
            <w:r>
              <w:rPr>
                <w:rFonts w:hint="eastAsia" w:ascii="Times New Roman" w:hAnsi="Times New Roman" w:cs="Times New Roman"/>
                <w:color w:val="auto"/>
                <w:sz w:val="24"/>
                <w:u w:val="none"/>
                <w:lang w:eastAsia="zh-CN"/>
              </w:rPr>
              <w:t>中二级标准要求</w:t>
            </w:r>
            <w:r>
              <w:rPr>
                <w:rFonts w:hint="eastAsia" w:cs="Times New Roman"/>
                <w:color w:val="auto"/>
                <w:sz w:val="24"/>
                <w:u w:val="none"/>
                <w:lang w:eastAsia="zh-CN"/>
              </w:rPr>
              <w:t>，</w:t>
            </w:r>
            <w:r>
              <w:rPr>
                <w:rFonts w:hint="eastAsia" w:ascii="Times New Roman" w:hAnsi="Times New Roman" w:eastAsia="宋体" w:cs="Times New Roman"/>
                <w:color w:val="auto"/>
                <w:sz w:val="24"/>
                <w:u w:val="none"/>
                <w:lang w:val="en-US" w:eastAsia="zh-CN"/>
              </w:rPr>
              <w:t>硫化氢、氨气浓度满足《</w:t>
            </w:r>
            <w:r>
              <w:rPr>
                <w:rFonts w:hint="eastAsia" w:ascii="Times New Roman" w:hAnsi="Times New Roman" w:eastAsia="宋体" w:cs="Times New Roman"/>
                <w:color w:val="auto"/>
                <w:sz w:val="24"/>
                <w:u w:val="none"/>
              </w:rPr>
              <w:t>环境影响评价技术导则 大气环境</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rPr>
              <w:fldChar w:fldCharType="begin"/>
            </w:r>
            <w:r>
              <w:rPr>
                <w:rFonts w:hint="eastAsia" w:ascii="Times New Roman" w:hAnsi="Times New Roman" w:eastAsia="宋体" w:cs="Times New Roman"/>
                <w:color w:val="auto"/>
                <w:sz w:val="24"/>
                <w:u w:val="none"/>
              </w:rPr>
              <w:instrText xml:space="preserve"> HYPERLINK "https://www.mee.gov.cn/ywgz/fgbz/bz/bzwb/other/pjjsdz/201808/W020180814672740551977.pdf" </w:instrText>
            </w:r>
            <w:r>
              <w:rPr>
                <w:rFonts w:hint="eastAsia" w:ascii="Times New Roman" w:hAnsi="Times New Roman" w:eastAsia="宋体" w:cs="Times New Roman"/>
                <w:color w:val="auto"/>
                <w:sz w:val="24"/>
                <w:u w:val="none"/>
              </w:rPr>
              <w:fldChar w:fldCharType="separate"/>
            </w:r>
            <w:r>
              <w:rPr>
                <w:rFonts w:hint="eastAsia" w:ascii="Times New Roman" w:hAnsi="Times New Roman" w:eastAsia="宋体" w:cs="Times New Roman"/>
                <w:color w:val="auto"/>
                <w:sz w:val="24"/>
                <w:u w:val="none"/>
              </w:rPr>
              <w:t>HJ 2.2-2018</w:t>
            </w:r>
            <w:r>
              <w:rPr>
                <w:rFonts w:hint="eastAsia" w:ascii="Times New Roman" w:hAnsi="Times New Roman" w:eastAsia="宋体" w:cs="Times New Roman"/>
                <w:color w:val="auto"/>
                <w:sz w:val="24"/>
                <w:u w:val="none"/>
              </w:rPr>
              <w:fldChar w:fldCharType="end"/>
            </w:r>
            <w:r>
              <w:rPr>
                <w:rFonts w:hint="eastAsia" w:ascii="Times New Roman" w:hAnsi="Times New Roman" w:eastAsia="宋体" w:cs="Times New Roman"/>
                <w:color w:val="auto"/>
                <w:sz w:val="24"/>
                <w:u w:val="none"/>
                <w:lang w:eastAsia="zh-CN"/>
              </w:rPr>
              <w:t>）附录</w:t>
            </w:r>
            <w:r>
              <w:rPr>
                <w:rFonts w:hint="eastAsia" w:ascii="Times New Roman" w:hAnsi="Times New Roman" w:eastAsia="宋体" w:cs="Times New Roman"/>
                <w:color w:val="auto"/>
                <w:sz w:val="24"/>
                <w:u w:val="none"/>
                <w:lang w:val="en-US" w:eastAsia="zh-CN"/>
              </w:rPr>
              <w:t>D标准限值</w:t>
            </w:r>
            <w:r>
              <w:rPr>
                <w:rFonts w:hint="eastAsia" w:cs="Times New Roman"/>
                <w:color w:val="auto"/>
                <w:sz w:val="24"/>
                <w:u w:val="none"/>
                <w:lang w:eastAsia="zh-CN"/>
              </w:rPr>
              <w:t>，</w:t>
            </w:r>
            <w:r>
              <w:rPr>
                <w:rFonts w:hint="eastAsia" w:cs="Times New Roman"/>
                <w:color w:val="auto"/>
                <w:sz w:val="24"/>
                <w:u w:val="none"/>
                <w:lang w:val="en-US" w:eastAsia="zh-CN"/>
              </w:rPr>
              <w:t>臭气浓度满足《恶臭污染物排放标准》（GB14554-1993）表1厂界新扩改建二级标准限值</w:t>
            </w:r>
            <w:r>
              <w:rPr>
                <w:rFonts w:hint="default" w:ascii="Times New Roman" w:hAnsi="Times New Roman" w:cs="Times New Roman"/>
                <w:color w:val="auto"/>
                <w:sz w:val="24"/>
                <w:u w:val="none"/>
              </w:rPr>
              <w:t>。</w:t>
            </w:r>
          </w:p>
          <w:p w14:paraId="784BB3FD">
            <w:pPr>
              <w:keepNext w:val="0"/>
              <w:keepLines w:val="0"/>
              <w:suppressLineNumbers w:val="0"/>
              <w:adjustRightInd w:val="0"/>
              <w:snapToGrid w:val="0"/>
              <w:spacing w:before="0" w:beforeAutospacing="0" w:after="0" w:afterAutospacing="0" w:line="360" w:lineRule="auto"/>
              <w:ind w:left="0" w:right="0" w:firstLine="482" w:firstLineChars="200"/>
              <w:rPr>
                <w:rFonts w:hint="default"/>
                <w:b/>
                <w:color w:val="auto"/>
                <w:sz w:val="24"/>
                <w:u w:val="single"/>
              </w:rPr>
            </w:pPr>
            <w:r>
              <w:rPr>
                <w:rFonts w:hint="eastAsia"/>
                <w:b/>
                <w:color w:val="auto"/>
                <w:sz w:val="24"/>
                <w:u w:val="single"/>
                <w:lang w:val="en-US" w:eastAsia="zh-CN"/>
              </w:rPr>
              <w:t>4</w:t>
            </w:r>
            <w:r>
              <w:rPr>
                <w:rFonts w:hint="default"/>
                <w:b/>
                <w:color w:val="auto"/>
                <w:sz w:val="24"/>
                <w:u w:val="single"/>
              </w:rPr>
              <w:t>、地表水环境质量现状</w:t>
            </w:r>
          </w:p>
          <w:p w14:paraId="2FF972CB">
            <w:pPr>
              <w:keepNext w:val="0"/>
              <w:keepLines w:val="0"/>
              <w:suppressLineNumbers w:val="0"/>
              <w:adjustRightInd w:val="0"/>
              <w:snapToGrid w:val="0"/>
              <w:spacing w:before="0" w:beforeAutospacing="0" w:after="0" w:afterAutospacing="0" w:line="360" w:lineRule="auto"/>
              <w:ind w:left="0" w:right="0" w:firstLine="472" w:firstLineChars="200"/>
              <w:jc w:val="left"/>
              <w:rPr>
                <w:rFonts w:hint="eastAsia"/>
                <w:color w:val="auto"/>
                <w:sz w:val="24"/>
                <w:u w:val="single"/>
                <w:lang w:val="en-US" w:eastAsia="zh-CN"/>
              </w:rPr>
            </w:pPr>
            <w:r>
              <w:rPr>
                <w:rFonts w:hint="eastAsia"/>
                <w:color w:val="auto"/>
                <w:spacing w:val="-2"/>
                <w:sz w:val="24"/>
                <w:u w:val="single"/>
              </w:rPr>
              <w:t>根据</w:t>
            </w:r>
            <w:r>
              <w:rPr>
                <w:rFonts w:hint="eastAsia"/>
                <w:color w:val="auto"/>
                <w:sz w:val="24"/>
                <w:u w:val="single"/>
                <w:lang w:val="en-US" w:eastAsia="zh-CN"/>
              </w:rPr>
              <w:t>岳阳</w:t>
            </w:r>
            <w:r>
              <w:rPr>
                <w:rFonts w:hint="eastAsia"/>
                <w:color w:val="auto"/>
                <w:sz w:val="24"/>
                <w:u w:val="single"/>
              </w:rPr>
              <w:t>市生态环境局公布的《岳阳市2023年度生态环境质量公报》</w:t>
            </w:r>
            <w:r>
              <w:rPr>
                <w:rFonts w:hint="eastAsia"/>
                <w:color w:val="auto"/>
                <w:sz w:val="24"/>
                <w:u w:val="single"/>
                <w:lang w:val="en-US" w:eastAsia="zh-CN"/>
              </w:rPr>
              <w:t>公布数据，2023年，38个全市江河考核断面中，Ⅰ至Ⅲ类水质断面38个，占比100%。</w:t>
            </w:r>
          </w:p>
          <w:p w14:paraId="209866D1">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color w:val="auto"/>
                <w:sz w:val="24"/>
                <w:u w:val="single"/>
                <w:lang w:val="en-US" w:eastAsia="zh-CN"/>
              </w:rPr>
            </w:pPr>
            <w:r>
              <w:rPr>
                <w:rFonts w:hint="eastAsia"/>
                <w:color w:val="auto"/>
                <w:sz w:val="24"/>
                <w:u w:val="single"/>
                <w:lang w:val="en-US" w:eastAsia="zh-CN"/>
              </w:rPr>
              <w:t>2023年长江干流岳阳段水体水质总体为优。5个监测断面水质均达到Ⅱ类。湘江干、支流岳阳段水体水质总体为优。5个监测断面水质均达到Ⅱ类。环洞庭湖河流水质状况总体为优。Ⅰ～Ⅲ类水质断面28个，占比100%。其中汨罗江水质总体为优，10个控制断面水质均达到或优于Ⅱ类；新墙河水质总体为优，9个控制断面水质均达到或优于Ⅱ类；藕池河东支岳阳段水质总体为优，4个控制断面水质均达到Ⅲ类；华容河水质总体为优，2个控制断面水质均达到Ⅲ类；其他水体（资江洪道、坦渡河和源潭河）3个控制断面水质均达到Ⅱ类。</w:t>
            </w:r>
          </w:p>
          <w:p w14:paraId="2C27E2A0">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eastAsia="宋体"/>
                <w:color w:val="auto"/>
                <w:sz w:val="24"/>
                <w:u w:val="single"/>
                <w:lang w:val="en-US" w:eastAsia="zh-CN"/>
              </w:rPr>
            </w:pPr>
            <w:r>
              <w:rPr>
                <w:rFonts w:hint="eastAsia"/>
                <w:color w:val="auto"/>
                <w:sz w:val="24"/>
                <w:u w:val="single"/>
                <w:lang w:val="en-US" w:eastAsia="zh-CN"/>
              </w:rPr>
              <w:t>从统计结果可知，2023年临湘市控制断面均满足《地表水环境质量标准》（GB3838-2002）III类标准要求，项目区域水环境质量现状良好。</w:t>
            </w:r>
          </w:p>
          <w:p w14:paraId="1E28D737">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color w:val="auto"/>
                <w:sz w:val="24"/>
                <w:highlight w:val="none"/>
                <w:u w:val="single"/>
              </w:rPr>
            </w:pPr>
            <w:r>
              <w:rPr>
                <w:rFonts w:hint="eastAsia"/>
                <w:color w:val="auto"/>
                <w:sz w:val="24"/>
                <w:highlight w:val="none"/>
                <w:u w:val="single"/>
              </w:rPr>
              <w:t>本次地表水评价收集了</w:t>
            </w:r>
            <w:r>
              <w:rPr>
                <w:rFonts w:hint="eastAsia"/>
                <w:color w:val="auto"/>
                <w:sz w:val="24"/>
                <w:highlight w:val="none"/>
                <w:u w:val="single"/>
                <w:lang w:val="en-US" w:eastAsia="zh-CN"/>
              </w:rPr>
              <w:t>由临湘市监测站提供的临湘</w:t>
            </w:r>
            <w:r>
              <w:rPr>
                <w:rFonts w:hint="eastAsia"/>
                <w:color w:val="auto"/>
                <w:sz w:val="24"/>
                <w:highlight w:val="none"/>
                <w:u w:val="single"/>
              </w:rPr>
              <w:t>市常规监测</w:t>
            </w:r>
            <w:r>
              <w:rPr>
                <w:rFonts w:hint="eastAsia"/>
                <w:color w:val="auto"/>
                <w:sz w:val="24"/>
                <w:highlight w:val="none"/>
                <w:u w:val="single"/>
                <w:lang w:val="en-US" w:eastAsia="zh-CN"/>
              </w:rPr>
              <w:t>断面</w:t>
            </w:r>
            <w:r>
              <w:rPr>
                <w:rFonts w:hint="eastAsia"/>
                <w:color w:val="auto"/>
                <w:sz w:val="24"/>
                <w:highlight w:val="none"/>
                <w:u w:val="single"/>
              </w:rPr>
              <w:t>（</w:t>
            </w:r>
            <w:r>
              <w:rPr>
                <w:rFonts w:hint="eastAsia"/>
                <w:color w:val="auto"/>
                <w:sz w:val="24"/>
                <w:highlight w:val="none"/>
                <w:u w:val="single"/>
                <w:lang w:val="en-US" w:eastAsia="zh-CN"/>
              </w:rPr>
              <w:t>长安河天桥</w:t>
            </w:r>
            <w:r>
              <w:rPr>
                <w:rFonts w:hint="eastAsia"/>
                <w:color w:val="auto"/>
                <w:sz w:val="24"/>
                <w:highlight w:val="none"/>
                <w:u w:val="single"/>
              </w:rPr>
              <w:t>）202</w:t>
            </w:r>
            <w:r>
              <w:rPr>
                <w:rFonts w:hint="eastAsia"/>
                <w:color w:val="auto"/>
                <w:sz w:val="24"/>
                <w:highlight w:val="none"/>
                <w:u w:val="single"/>
                <w:lang w:val="en-US" w:eastAsia="zh-CN"/>
              </w:rPr>
              <w:t>3</w:t>
            </w:r>
            <w:r>
              <w:rPr>
                <w:rFonts w:hint="eastAsia"/>
                <w:color w:val="auto"/>
                <w:sz w:val="24"/>
                <w:highlight w:val="none"/>
                <w:u w:val="single"/>
              </w:rPr>
              <w:t>年全年监测统计数据，统计数据见下表。</w:t>
            </w:r>
          </w:p>
          <w:p w14:paraId="076E585E">
            <w:pPr>
              <w:pStyle w:val="90"/>
              <w:keepNext w:val="0"/>
              <w:keepLines w:val="0"/>
              <w:suppressLineNumbers w:val="0"/>
              <w:spacing w:before="0" w:beforeAutospacing="0" w:after="0" w:afterAutospacing="0" w:line="240" w:lineRule="auto"/>
              <w:ind w:left="0" w:right="0"/>
              <w:rPr>
                <w:rFonts w:hint="default" w:eastAsia="宋体"/>
                <w:color w:val="auto"/>
                <w:sz w:val="21"/>
                <w:szCs w:val="21"/>
                <w:highlight w:val="none"/>
                <w:u w:val="single"/>
                <w:lang w:val="en-US" w:eastAsia="zh-CN"/>
              </w:rPr>
            </w:pPr>
            <w:r>
              <w:rPr>
                <w:rFonts w:hint="default"/>
                <w:color w:val="auto"/>
                <w:sz w:val="21"/>
                <w:szCs w:val="21"/>
                <w:highlight w:val="none"/>
                <w:u w:val="single"/>
              </w:rPr>
              <w:t>表3-</w:t>
            </w:r>
            <w:r>
              <w:rPr>
                <w:rFonts w:hint="eastAsia"/>
                <w:color w:val="auto"/>
                <w:sz w:val="21"/>
                <w:szCs w:val="21"/>
                <w:highlight w:val="none"/>
                <w:u w:val="single"/>
                <w:lang w:val="en-US" w:eastAsia="zh-CN"/>
              </w:rPr>
              <w:t>4</w:t>
            </w:r>
            <w:r>
              <w:rPr>
                <w:rFonts w:hint="default"/>
                <w:color w:val="auto"/>
                <w:sz w:val="21"/>
                <w:szCs w:val="21"/>
                <w:highlight w:val="none"/>
                <w:u w:val="single"/>
              </w:rPr>
              <w:t xml:space="preserve">  </w:t>
            </w:r>
            <w:r>
              <w:rPr>
                <w:rFonts w:hint="eastAsia"/>
                <w:color w:val="auto"/>
                <w:sz w:val="21"/>
                <w:szCs w:val="21"/>
                <w:highlight w:val="none"/>
                <w:u w:val="single"/>
                <w:lang w:val="en-US" w:eastAsia="zh-CN"/>
              </w:rPr>
              <w:t>地表水监测数据统计一览表 单位：mg/L，pH无量纲</w:t>
            </w:r>
          </w:p>
          <w:tbl>
            <w:tblPr>
              <w:tblStyle w:val="27"/>
              <w:tblW w:w="4998"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1"/>
              <w:gridCol w:w="1143"/>
              <w:gridCol w:w="1012"/>
              <w:gridCol w:w="1012"/>
              <w:gridCol w:w="1012"/>
              <w:gridCol w:w="1012"/>
              <w:gridCol w:w="1012"/>
              <w:gridCol w:w="1018"/>
            </w:tblGrid>
            <w:tr w14:paraId="23742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543" w:type="pct"/>
                  <w:noWrap w:val="0"/>
                  <w:vAlign w:val="center"/>
                </w:tcPr>
                <w:p w14:paraId="25DDAA54">
                  <w:pPr>
                    <w:pStyle w:val="14"/>
                    <w:keepNext w:val="0"/>
                    <w:keepLines w:val="0"/>
                    <w:numPr>
                      <w:ilvl w:val="0"/>
                      <w:numId w:val="0"/>
                    </w:numPr>
                    <w:suppressLineNumbers w:val="0"/>
                    <w:spacing w:before="0" w:beforeAutospacing="0" w:after="0" w:afterAutospacing="0"/>
                    <w:ind w:left="0" w:right="0"/>
                    <w:jc w:val="center"/>
                    <w:rPr>
                      <w:rFonts w:hint="default" w:eastAsia="宋体"/>
                      <w:b/>
                      <w:bCs/>
                      <w:color w:val="auto"/>
                      <w:szCs w:val="21"/>
                      <w:highlight w:val="none"/>
                      <w:u w:val="single"/>
                      <w:lang w:val="en-US" w:eastAsia="zh-CN"/>
                    </w:rPr>
                  </w:pPr>
                  <w:r>
                    <w:rPr>
                      <w:rFonts w:hint="eastAsia"/>
                      <w:b/>
                      <w:bCs/>
                      <w:color w:val="auto"/>
                      <w:szCs w:val="21"/>
                      <w:highlight w:val="none"/>
                      <w:u w:val="single"/>
                      <w:lang w:val="en-US" w:eastAsia="zh-CN"/>
                    </w:rPr>
                    <w:t>断面</w:t>
                  </w:r>
                </w:p>
              </w:tc>
              <w:tc>
                <w:tcPr>
                  <w:tcW w:w="705" w:type="pct"/>
                  <w:noWrap w:val="0"/>
                  <w:vAlign w:val="center"/>
                </w:tcPr>
                <w:p w14:paraId="663EB6B4">
                  <w:pPr>
                    <w:pStyle w:val="14"/>
                    <w:keepNext w:val="0"/>
                    <w:keepLines w:val="0"/>
                    <w:numPr>
                      <w:ilvl w:val="0"/>
                      <w:numId w:val="0"/>
                    </w:numPr>
                    <w:suppressLineNumbers w:val="0"/>
                    <w:spacing w:before="0" w:beforeAutospacing="0" w:after="0" w:afterAutospacing="0"/>
                    <w:ind w:left="0" w:right="0"/>
                    <w:jc w:val="center"/>
                    <w:rPr>
                      <w:rFonts w:hint="eastAsia" w:eastAsia="宋体"/>
                      <w:b/>
                      <w:bCs/>
                      <w:color w:val="auto"/>
                      <w:szCs w:val="21"/>
                      <w:highlight w:val="none"/>
                      <w:u w:val="single"/>
                      <w:lang w:eastAsia="zh-CN"/>
                    </w:rPr>
                  </w:pPr>
                  <w:r>
                    <w:rPr>
                      <w:rFonts w:hint="eastAsia"/>
                      <w:b/>
                      <w:bCs/>
                      <w:color w:val="auto"/>
                      <w:szCs w:val="21"/>
                      <w:highlight w:val="none"/>
                      <w:u w:val="single"/>
                    </w:rPr>
                    <w:t>监测</w:t>
                  </w:r>
                  <w:r>
                    <w:rPr>
                      <w:rFonts w:hint="eastAsia"/>
                      <w:b/>
                      <w:bCs/>
                      <w:color w:val="auto"/>
                      <w:szCs w:val="21"/>
                      <w:highlight w:val="none"/>
                      <w:u w:val="single"/>
                      <w:lang w:val="en-US" w:eastAsia="zh-CN"/>
                    </w:rPr>
                    <w:t>因子</w:t>
                  </w:r>
                </w:p>
              </w:tc>
              <w:tc>
                <w:tcPr>
                  <w:tcW w:w="624" w:type="pct"/>
                  <w:noWrap w:val="0"/>
                  <w:vAlign w:val="center"/>
                </w:tcPr>
                <w:p w14:paraId="0C776C54">
                  <w:pPr>
                    <w:pStyle w:val="14"/>
                    <w:keepNext w:val="0"/>
                    <w:keepLines w:val="0"/>
                    <w:numPr>
                      <w:ilvl w:val="0"/>
                      <w:numId w:val="0"/>
                    </w:numPr>
                    <w:suppressLineNumbers w:val="0"/>
                    <w:spacing w:before="0" w:beforeAutospacing="0" w:after="0" w:afterAutospacing="0"/>
                    <w:ind w:left="0" w:right="0"/>
                    <w:jc w:val="center"/>
                    <w:rPr>
                      <w:rFonts w:hint="default" w:eastAsia="宋体"/>
                      <w:b/>
                      <w:bCs/>
                      <w:color w:val="auto"/>
                      <w:szCs w:val="21"/>
                      <w:highlight w:val="none"/>
                      <w:u w:val="single"/>
                      <w:lang w:val="en-US" w:eastAsia="zh-CN"/>
                    </w:rPr>
                  </w:pPr>
                  <w:r>
                    <w:rPr>
                      <w:rFonts w:hint="eastAsia"/>
                      <w:b/>
                      <w:bCs/>
                      <w:color w:val="auto"/>
                      <w:szCs w:val="21"/>
                      <w:highlight w:val="none"/>
                      <w:u w:val="single"/>
                      <w:lang w:val="en-US" w:eastAsia="zh-CN"/>
                    </w:rPr>
                    <w:t>最大值</w:t>
                  </w:r>
                </w:p>
              </w:tc>
              <w:tc>
                <w:tcPr>
                  <w:tcW w:w="624" w:type="pct"/>
                  <w:noWrap w:val="0"/>
                  <w:vAlign w:val="center"/>
                </w:tcPr>
                <w:p w14:paraId="7C938313">
                  <w:pPr>
                    <w:pStyle w:val="14"/>
                    <w:keepNext w:val="0"/>
                    <w:keepLines w:val="0"/>
                    <w:numPr>
                      <w:ilvl w:val="0"/>
                      <w:numId w:val="0"/>
                    </w:numPr>
                    <w:suppressLineNumbers w:val="0"/>
                    <w:spacing w:before="0" w:beforeAutospacing="0" w:after="0" w:afterAutospacing="0"/>
                    <w:ind w:left="0" w:right="0"/>
                    <w:jc w:val="center"/>
                    <w:rPr>
                      <w:rFonts w:hint="eastAsia" w:eastAsia="宋体"/>
                      <w:b/>
                      <w:bCs/>
                      <w:color w:val="auto"/>
                      <w:szCs w:val="21"/>
                      <w:highlight w:val="none"/>
                      <w:u w:val="single"/>
                      <w:lang w:val="en-US" w:eastAsia="zh-CN"/>
                    </w:rPr>
                  </w:pPr>
                  <w:r>
                    <w:rPr>
                      <w:rFonts w:hint="eastAsia"/>
                      <w:b/>
                      <w:bCs/>
                      <w:color w:val="auto"/>
                      <w:szCs w:val="21"/>
                      <w:highlight w:val="none"/>
                      <w:u w:val="single"/>
                      <w:lang w:val="en-US" w:eastAsia="zh-CN"/>
                    </w:rPr>
                    <w:t>最小值</w:t>
                  </w:r>
                </w:p>
              </w:tc>
              <w:tc>
                <w:tcPr>
                  <w:tcW w:w="624" w:type="pct"/>
                  <w:noWrap w:val="0"/>
                  <w:vAlign w:val="center"/>
                </w:tcPr>
                <w:p w14:paraId="097A6291">
                  <w:pPr>
                    <w:pStyle w:val="14"/>
                    <w:keepNext w:val="0"/>
                    <w:keepLines w:val="0"/>
                    <w:numPr>
                      <w:ilvl w:val="0"/>
                      <w:numId w:val="0"/>
                    </w:numPr>
                    <w:suppressLineNumbers w:val="0"/>
                    <w:spacing w:before="0" w:beforeAutospacing="0" w:after="0" w:afterAutospacing="0"/>
                    <w:ind w:left="0" w:right="0"/>
                    <w:jc w:val="center"/>
                    <w:rPr>
                      <w:rFonts w:hint="eastAsia" w:eastAsia="宋体"/>
                      <w:b/>
                      <w:bCs/>
                      <w:color w:val="auto"/>
                      <w:szCs w:val="21"/>
                      <w:highlight w:val="none"/>
                      <w:u w:val="single"/>
                      <w:lang w:val="en-US" w:eastAsia="zh-CN"/>
                    </w:rPr>
                  </w:pPr>
                  <w:r>
                    <w:rPr>
                      <w:rFonts w:hint="eastAsia"/>
                      <w:b/>
                      <w:bCs/>
                      <w:color w:val="auto"/>
                      <w:szCs w:val="21"/>
                      <w:highlight w:val="none"/>
                      <w:u w:val="single"/>
                      <w:lang w:val="en-US" w:eastAsia="zh-CN"/>
                    </w:rPr>
                    <w:t>年均值</w:t>
                  </w:r>
                </w:p>
              </w:tc>
              <w:tc>
                <w:tcPr>
                  <w:tcW w:w="624" w:type="pct"/>
                  <w:noWrap w:val="0"/>
                  <w:vAlign w:val="center"/>
                </w:tcPr>
                <w:p w14:paraId="57D75725">
                  <w:pPr>
                    <w:pStyle w:val="14"/>
                    <w:keepNext w:val="0"/>
                    <w:keepLines w:val="0"/>
                    <w:numPr>
                      <w:ilvl w:val="0"/>
                      <w:numId w:val="0"/>
                    </w:numPr>
                    <w:suppressLineNumbers w:val="0"/>
                    <w:spacing w:before="0" w:beforeAutospacing="0" w:after="0" w:afterAutospacing="0"/>
                    <w:ind w:left="0" w:right="0"/>
                    <w:jc w:val="center"/>
                    <w:rPr>
                      <w:rFonts w:hint="eastAsia" w:eastAsia="宋体"/>
                      <w:b/>
                      <w:bCs/>
                      <w:color w:val="auto"/>
                      <w:szCs w:val="21"/>
                      <w:highlight w:val="none"/>
                      <w:u w:val="single"/>
                      <w:lang w:val="en-US" w:eastAsia="zh-CN"/>
                    </w:rPr>
                  </w:pPr>
                  <w:r>
                    <w:rPr>
                      <w:rFonts w:hint="eastAsia"/>
                      <w:b/>
                      <w:bCs/>
                      <w:color w:val="auto"/>
                      <w:szCs w:val="21"/>
                      <w:highlight w:val="none"/>
                      <w:u w:val="single"/>
                      <w:lang w:val="en-US" w:eastAsia="zh-CN"/>
                    </w:rPr>
                    <w:t>超标率（%）</w:t>
                  </w:r>
                </w:p>
              </w:tc>
              <w:tc>
                <w:tcPr>
                  <w:tcW w:w="624" w:type="pct"/>
                  <w:noWrap w:val="0"/>
                  <w:vAlign w:val="center"/>
                </w:tcPr>
                <w:p w14:paraId="1D438446">
                  <w:pPr>
                    <w:pStyle w:val="14"/>
                    <w:keepNext w:val="0"/>
                    <w:keepLines w:val="0"/>
                    <w:numPr>
                      <w:ilvl w:val="0"/>
                      <w:numId w:val="0"/>
                    </w:numPr>
                    <w:suppressLineNumbers w:val="0"/>
                    <w:spacing w:before="0" w:beforeAutospacing="0" w:after="0" w:afterAutospacing="0"/>
                    <w:ind w:left="0" w:right="0"/>
                    <w:jc w:val="center"/>
                    <w:rPr>
                      <w:rFonts w:hint="default" w:eastAsia="宋体"/>
                      <w:b/>
                      <w:bCs/>
                      <w:color w:val="auto"/>
                      <w:szCs w:val="21"/>
                      <w:highlight w:val="none"/>
                      <w:u w:val="single"/>
                      <w:lang w:val="en-US" w:eastAsia="zh-CN"/>
                    </w:rPr>
                  </w:pPr>
                  <w:r>
                    <w:rPr>
                      <w:rFonts w:hint="eastAsia"/>
                      <w:b/>
                      <w:bCs/>
                      <w:color w:val="auto"/>
                      <w:szCs w:val="21"/>
                      <w:highlight w:val="none"/>
                      <w:u w:val="single"/>
                      <w:lang w:val="en-US" w:eastAsia="zh-CN"/>
                    </w:rPr>
                    <w:t>最大超标倍数</w:t>
                  </w:r>
                </w:p>
              </w:tc>
              <w:tc>
                <w:tcPr>
                  <w:tcW w:w="628" w:type="pct"/>
                  <w:noWrap w:val="0"/>
                  <w:vAlign w:val="center"/>
                </w:tcPr>
                <w:p w14:paraId="4D85A958">
                  <w:pPr>
                    <w:pStyle w:val="14"/>
                    <w:keepNext w:val="0"/>
                    <w:keepLines w:val="0"/>
                    <w:numPr>
                      <w:ilvl w:val="0"/>
                      <w:numId w:val="0"/>
                    </w:numPr>
                    <w:suppressLineNumbers w:val="0"/>
                    <w:spacing w:before="0" w:beforeAutospacing="0" w:after="0" w:afterAutospacing="0"/>
                    <w:ind w:left="0" w:right="0"/>
                    <w:jc w:val="center"/>
                    <w:rPr>
                      <w:rFonts w:hint="eastAsia" w:eastAsia="宋体"/>
                      <w:b/>
                      <w:bCs/>
                      <w:color w:val="auto"/>
                      <w:szCs w:val="21"/>
                      <w:highlight w:val="none"/>
                      <w:u w:val="single"/>
                      <w:lang w:val="en-US" w:eastAsia="zh-CN"/>
                    </w:rPr>
                  </w:pPr>
                  <w:r>
                    <w:rPr>
                      <w:rFonts w:hint="eastAsia"/>
                      <w:b/>
                      <w:bCs/>
                      <w:color w:val="auto"/>
                      <w:szCs w:val="21"/>
                      <w:highlight w:val="none"/>
                      <w:u w:val="single"/>
                      <w:lang w:val="en-US" w:eastAsia="zh-CN"/>
                    </w:rPr>
                    <w:t>标准值</w:t>
                  </w:r>
                </w:p>
              </w:tc>
            </w:tr>
            <w:tr w14:paraId="4E18A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vMerge w:val="restart"/>
                  <w:noWrap w:val="0"/>
                  <w:vAlign w:val="center"/>
                </w:tcPr>
                <w:p w14:paraId="2BA4B993">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长安河天桥</w:t>
                  </w:r>
                </w:p>
              </w:tc>
              <w:tc>
                <w:tcPr>
                  <w:tcW w:w="705" w:type="pct"/>
                  <w:noWrap w:val="0"/>
                  <w:vAlign w:val="center"/>
                </w:tcPr>
                <w:p w14:paraId="7AE6D012">
                  <w:pPr>
                    <w:pStyle w:val="14"/>
                    <w:keepNext w:val="0"/>
                    <w:keepLines w:val="0"/>
                    <w:numPr>
                      <w:ilvl w:val="0"/>
                      <w:numId w:val="0"/>
                    </w:numPr>
                    <w:suppressLineNumbers w:val="0"/>
                    <w:spacing w:before="0" w:beforeAutospacing="0" w:after="0" w:afterAutospacing="0"/>
                    <w:ind w:left="0" w:right="0"/>
                    <w:jc w:val="center"/>
                    <w:rPr>
                      <w:rFonts w:hint="default"/>
                      <w:color w:val="auto"/>
                      <w:szCs w:val="21"/>
                      <w:highlight w:val="none"/>
                      <w:u w:val="single"/>
                      <w:lang w:val="en-US" w:eastAsia="zh-CN"/>
                    </w:rPr>
                  </w:pPr>
                  <w:r>
                    <w:rPr>
                      <w:rFonts w:hint="eastAsia"/>
                      <w:color w:val="auto"/>
                      <w:szCs w:val="21"/>
                      <w:highlight w:val="none"/>
                      <w:u w:val="single"/>
                      <w:lang w:val="en-US" w:eastAsia="zh-CN"/>
                    </w:rPr>
                    <w:t>pH值</w:t>
                  </w:r>
                </w:p>
              </w:tc>
              <w:tc>
                <w:tcPr>
                  <w:tcW w:w="624" w:type="pct"/>
                  <w:noWrap w:val="0"/>
                  <w:vAlign w:val="center"/>
                </w:tcPr>
                <w:p w14:paraId="36FE230C">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7.9</w:t>
                  </w:r>
                </w:p>
              </w:tc>
              <w:tc>
                <w:tcPr>
                  <w:tcW w:w="624" w:type="pct"/>
                  <w:noWrap w:val="0"/>
                  <w:vAlign w:val="center"/>
                </w:tcPr>
                <w:p w14:paraId="4794CCC4">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6.8</w:t>
                  </w:r>
                </w:p>
              </w:tc>
              <w:tc>
                <w:tcPr>
                  <w:tcW w:w="624" w:type="pct"/>
                  <w:noWrap w:val="0"/>
                  <w:vAlign w:val="center"/>
                </w:tcPr>
                <w:p w14:paraId="7D941E9B">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7.325</w:t>
                  </w:r>
                </w:p>
              </w:tc>
              <w:tc>
                <w:tcPr>
                  <w:tcW w:w="624" w:type="pct"/>
                  <w:noWrap w:val="0"/>
                  <w:vAlign w:val="center"/>
                </w:tcPr>
                <w:p w14:paraId="66FE5501">
                  <w:pPr>
                    <w:pStyle w:val="14"/>
                    <w:keepNext w:val="0"/>
                    <w:keepLines w:val="0"/>
                    <w:numPr>
                      <w:ilvl w:val="0"/>
                      <w:numId w:val="0"/>
                    </w:numPr>
                    <w:suppressLineNumbers w:val="0"/>
                    <w:spacing w:before="0" w:beforeAutospacing="0" w:after="0" w:afterAutospacing="0"/>
                    <w:ind w:left="0" w:right="0"/>
                    <w:jc w:val="center"/>
                    <w:rPr>
                      <w:rFonts w:hint="eastAsia" w:eastAsia="宋体"/>
                      <w:color w:val="auto"/>
                      <w:szCs w:val="21"/>
                      <w:highlight w:val="none"/>
                      <w:u w:val="single"/>
                      <w:lang w:val="en-US" w:eastAsia="zh-CN"/>
                    </w:rPr>
                  </w:pPr>
                  <w:r>
                    <w:rPr>
                      <w:rFonts w:hint="eastAsia"/>
                      <w:color w:val="auto"/>
                      <w:szCs w:val="21"/>
                      <w:highlight w:val="none"/>
                      <w:u w:val="single"/>
                      <w:lang w:val="en-US" w:eastAsia="zh-CN"/>
                    </w:rPr>
                    <w:t>0</w:t>
                  </w:r>
                </w:p>
              </w:tc>
              <w:tc>
                <w:tcPr>
                  <w:tcW w:w="624" w:type="pct"/>
                  <w:noWrap w:val="0"/>
                  <w:vAlign w:val="center"/>
                </w:tcPr>
                <w:p w14:paraId="683A4831">
                  <w:pPr>
                    <w:keepNext w:val="0"/>
                    <w:keepLines w:val="0"/>
                    <w:numPr>
                      <w:ilvl w:val="0"/>
                      <w:numId w:val="0"/>
                    </w:numPr>
                    <w:suppressLineNumbers w:val="0"/>
                    <w:spacing w:before="0" w:beforeAutospacing="0" w:after="0" w:afterAutospacing="0"/>
                    <w:ind w:left="0" w:right="0"/>
                    <w:jc w:val="center"/>
                    <w:rPr>
                      <w:rFonts w:hint="eastAsia"/>
                      <w:color w:val="auto"/>
                      <w:szCs w:val="21"/>
                      <w:highlight w:val="none"/>
                      <w:u w:val="single"/>
                    </w:rPr>
                  </w:pPr>
                  <w:r>
                    <w:rPr>
                      <w:rFonts w:hint="eastAsia"/>
                      <w:color w:val="auto"/>
                      <w:szCs w:val="21"/>
                      <w:highlight w:val="none"/>
                      <w:u w:val="single"/>
                      <w:lang w:val="en-US" w:eastAsia="zh-CN"/>
                    </w:rPr>
                    <w:t>0</w:t>
                  </w:r>
                </w:p>
              </w:tc>
              <w:tc>
                <w:tcPr>
                  <w:tcW w:w="628" w:type="pct"/>
                  <w:noWrap w:val="0"/>
                  <w:vAlign w:val="center"/>
                </w:tcPr>
                <w:p w14:paraId="1565CF45">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6-9</w:t>
                  </w:r>
                </w:p>
              </w:tc>
            </w:tr>
            <w:tr w14:paraId="31015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vMerge w:val="continue"/>
                  <w:noWrap w:val="0"/>
                  <w:vAlign w:val="center"/>
                </w:tcPr>
                <w:p w14:paraId="430AAE2B">
                  <w:pPr>
                    <w:pStyle w:val="14"/>
                    <w:keepNext w:val="0"/>
                    <w:keepLines w:val="0"/>
                    <w:numPr>
                      <w:ilvl w:val="0"/>
                      <w:numId w:val="0"/>
                    </w:numPr>
                    <w:suppressLineNumbers w:val="0"/>
                    <w:spacing w:before="0" w:beforeAutospacing="0" w:after="0" w:afterAutospacing="0"/>
                    <w:ind w:left="0" w:right="0"/>
                    <w:jc w:val="center"/>
                    <w:rPr>
                      <w:rFonts w:hint="default"/>
                      <w:color w:val="auto"/>
                      <w:szCs w:val="21"/>
                      <w:highlight w:val="none"/>
                      <w:u w:val="single"/>
                    </w:rPr>
                  </w:pPr>
                </w:p>
              </w:tc>
              <w:tc>
                <w:tcPr>
                  <w:tcW w:w="705" w:type="pct"/>
                  <w:noWrap w:val="0"/>
                  <w:vAlign w:val="center"/>
                </w:tcPr>
                <w:p w14:paraId="202AB0FE">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COD</w:t>
                  </w:r>
                </w:p>
              </w:tc>
              <w:tc>
                <w:tcPr>
                  <w:tcW w:w="624" w:type="pct"/>
                  <w:noWrap w:val="0"/>
                  <w:vAlign w:val="center"/>
                </w:tcPr>
                <w:p w14:paraId="5A6D0C35">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18</w:t>
                  </w:r>
                </w:p>
              </w:tc>
              <w:tc>
                <w:tcPr>
                  <w:tcW w:w="624" w:type="pct"/>
                  <w:noWrap w:val="0"/>
                  <w:vAlign w:val="center"/>
                </w:tcPr>
                <w:p w14:paraId="1A8B21C3">
                  <w:pPr>
                    <w:pStyle w:val="14"/>
                    <w:keepNext w:val="0"/>
                    <w:keepLines w:val="0"/>
                    <w:numPr>
                      <w:ilvl w:val="0"/>
                      <w:numId w:val="0"/>
                    </w:numPr>
                    <w:suppressLineNumbers w:val="0"/>
                    <w:spacing w:before="0" w:beforeAutospacing="0" w:after="0" w:afterAutospacing="0"/>
                    <w:ind w:left="0" w:right="0"/>
                    <w:jc w:val="center"/>
                    <w:rPr>
                      <w:rFonts w:hint="eastAsia" w:eastAsia="宋体"/>
                      <w:color w:val="auto"/>
                      <w:szCs w:val="21"/>
                      <w:highlight w:val="none"/>
                      <w:u w:val="single"/>
                      <w:lang w:val="en-US" w:eastAsia="zh-CN"/>
                    </w:rPr>
                  </w:pPr>
                  <w:r>
                    <w:rPr>
                      <w:rFonts w:hint="eastAsia"/>
                      <w:color w:val="auto"/>
                      <w:szCs w:val="21"/>
                      <w:highlight w:val="none"/>
                      <w:u w:val="single"/>
                      <w:lang w:val="en-US" w:eastAsia="zh-CN"/>
                    </w:rPr>
                    <w:t>9</w:t>
                  </w:r>
                </w:p>
              </w:tc>
              <w:tc>
                <w:tcPr>
                  <w:tcW w:w="624" w:type="pct"/>
                  <w:noWrap w:val="0"/>
                  <w:vAlign w:val="center"/>
                </w:tcPr>
                <w:p w14:paraId="2F887B7A">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13</w:t>
                  </w:r>
                </w:p>
              </w:tc>
              <w:tc>
                <w:tcPr>
                  <w:tcW w:w="624" w:type="pct"/>
                  <w:noWrap w:val="0"/>
                  <w:vAlign w:val="center"/>
                </w:tcPr>
                <w:p w14:paraId="4452571F">
                  <w:pPr>
                    <w:keepNext w:val="0"/>
                    <w:keepLines w:val="0"/>
                    <w:numPr>
                      <w:ilvl w:val="0"/>
                      <w:numId w:val="0"/>
                    </w:numPr>
                    <w:suppressLineNumbers w:val="0"/>
                    <w:spacing w:before="0" w:beforeAutospacing="0" w:after="0" w:afterAutospacing="0"/>
                    <w:ind w:left="0" w:right="0"/>
                    <w:jc w:val="center"/>
                    <w:rPr>
                      <w:rFonts w:hint="eastAsia"/>
                      <w:color w:val="auto"/>
                      <w:szCs w:val="21"/>
                      <w:highlight w:val="none"/>
                      <w:u w:val="single"/>
                    </w:rPr>
                  </w:pPr>
                  <w:r>
                    <w:rPr>
                      <w:rFonts w:hint="eastAsia"/>
                      <w:color w:val="auto"/>
                      <w:szCs w:val="21"/>
                      <w:highlight w:val="none"/>
                      <w:u w:val="single"/>
                      <w:lang w:val="en-US" w:eastAsia="zh-CN"/>
                    </w:rPr>
                    <w:t>0</w:t>
                  </w:r>
                </w:p>
              </w:tc>
              <w:tc>
                <w:tcPr>
                  <w:tcW w:w="624" w:type="pct"/>
                  <w:noWrap w:val="0"/>
                  <w:vAlign w:val="center"/>
                </w:tcPr>
                <w:p w14:paraId="74E9D3DF">
                  <w:pPr>
                    <w:keepNext w:val="0"/>
                    <w:keepLines w:val="0"/>
                    <w:numPr>
                      <w:ilvl w:val="0"/>
                      <w:numId w:val="0"/>
                    </w:numPr>
                    <w:suppressLineNumbers w:val="0"/>
                    <w:spacing w:before="0" w:beforeAutospacing="0" w:after="0" w:afterAutospacing="0"/>
                    <w:ind w:left="0" w:right="0"/>
                    <w:jc w:val="center"/>
                    <w:rPr>
                      <w:rFonts w:hint="eastAsia"/>
                      <w:color w:val="auto"/>
                      <w:szCs w:val="21"/>
                      <w:highlight w:val="none"/>
                      <w:u w:val="single"/>
                    </w:rPr>
                  </w:pPr>
                  <w:r>
                    <w:rPr>
                      <w:rFonts w:hint="eastAsia"/>
                      <w:color w:val="auto"/>
                      <w:szCs w:val="21"/>
                      <w:highlight w:val="none"/>
                      <w:u w:val="single"/>
                      <w:lang w:val="en-US" w:eastAsia="zh-CN"/>
                    </w:rPr>
                    <w:t>0</w:t>
                  </w:r>
                </w:p>
              </w:tc>
              <w:tc>
                <w:tcPr>
                  <w:tcW w:w="628" w:type="pct"/>
                  <w:noWrap w:val="0"/>
                  <w:vAlign w:val="center"/>
                </w:tcPr>
                <w:p w14:paraId="315B84F4">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20</w:t>
                  </w:r>
                </w:p>
              </w:tc>
            </w:tr>
            <w:tr w14:paraId="5351A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vMerge w:val="continue"/>
                  <w:noWrap w:val="0"/>
                  <w:vAlign w:val="center"/>
                </w:tcPr>
                <w:p w14:paraId="4452BFDA">
                  <w:pPr>
                    <w:pStyle w:val="14"/>
                    <w:keepNext w:val="0"/>
                    <w:keepLines w:val="0"/>
                    <w:numPr>
                      <w:ilvl w:val="0"/>
                      <w:numId w:val="0"/>
                    </w:numPr>
                    <w:suppressLineNumbers w:val="0"/>
                    <w:spacing w:before="0" w:beforeAutospacing="0" w:after="0" w:afterAutospacing="0"/>
                    <w:ind w:left="0" w:right="0"/>
                    <w:jc w:val="center"/>
                    <w:rPr>
                      <w:rFonts w:hint="default"/>
                      <w:color w:val="auto"/>
                      <w:szCs w:val="21"/>
                      <w:highlight w:val="none"/>
                      <w:u w:val="single"/>
                    </w:rPr>
                  </w:pPr>
                </w:p>
              </w:tc>
              <w:tc>
                <w:tcPr>
                  <w:tcW w:w="705" w:type="pct"/>
                  <w:noWrap w:val="0"/>
                  <w:vAlign w:val="center"/>
                </w:tcPr>
                <w:p w14:paraId="07F3C411">
                  <w:pPr>
                    <w:pStyle w:val="14"/>
                    <w:keepNext w:val="0"/>
                    <w:keepLines w:val="0"/>
                    <w:numPr>
                      <w:ilvl w:val="0"/>
                      <w:numId w:val="0"/>
                    </w:numPr>
                    <w:suppressLineNumbers w:val="0"/>
                    <w:spacing w:before="0" w:beforeAutospacing="0" w:after="0" w:afterAutospacing="0"/>
                    <w:ind w:left="0" w:right="0"/>
                    <w:jc w:val="center"/>
                    <w:rPr>
                      <w:rFonts w:hint="default"/>
                      <w:color w:val="auto"/>
                      <w:szCs w:val="21"/>
                      <w:highlight w:val="none"/>
                      <w:u w:val="single"/>
                      <w:lang w:val="en-US" w:eastAsia="zh-CN"/>
                    </w:rPr>
                  </w:pPr>
                  <w:r>
                    <w:rPr>
                      <w:rFonts w:hint="eastAsia"/>
                      <w:color w:val="auto"/>
                      <w:szCs w:val="21"/>
                      <w:highlight w:val="none"/>
                      <w:u w:val="single"/>
                      <w:lang w:val="en-US" w:eastAsia="zh-CN"/>
                    </w:rPr>
                    <w:t>氨氮</w:t>
                  </w:r>
                </w:p>
              </w:tc>
              <w:tc>
                <w:tcPr>
                  <w:tcW w:w="624" w:type="pct"/>
                  <w:noWrap w:val="0"/>
                  <w:vAlign w:val="center"/>
                </w:tcPr>
                <w:p w14:paraId="3C6D9B0C">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0.163</w:t>
                  </w:r>
                </w:p>
              </w:tc>
              <w:tc>
                <w:tcPr>
                  <w:tcW w:w="624" w:type="pct"/>
                  <w:noWrap w:val="0"/>
                  <w:vAlign w:val="center"/>
                </w:tcPr>
                <w:p w14:paraId="695950A1">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0.126</w:t>
                  </w:r>
                </w:p>
              </w:tc>
              <w:tc>
                <w:tcPr>
                  <w:tcW w:w="624" w:type="pct"/>
                  <w:noWrap w:val="0"/>
                  <w:vAlign w:val="center"/>
                </w:tcPr>
                <w:p w14:paraId="084F8FA0">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0.150</w:t>
                  </w:r>
                </w:p>
              </w:tc>
              <w:tc>
                <w:tcPr>
                  <w:tcW w:w="624" w:type="pct"/>
                  <w:noWrap w:val="0"/>
                  <w:vAlign w:val="center"/>
                </w:tcPr>
                <w:p w14:paraId="110BD76F">
                  <w:pPr>
                    <w:keepNext w:val="0"/>
                    <w:keepLines w:val="0"/>
                    <w:numPr>
                      <w:ilvl w:val="0"/>
                      <w:numId w:val="0"/>
                    </w:numPr>
                    <w:suppressLineNumbers w:val="0"/>
                    <w:spacing w:before="0" w:beforeAutospacing="0" w:after="0" w:afterAutospacing="0"/>
                    <w:ind w:left="0" w:right="0"/>
                    <w:jc w:val="center"/>
                    <w:rPr>
                      <w:rFonts w:hint="eastAsia"/>
                      <w:color w:val="auto"/>
                      <w:szCs w:val="21"/>
                      <w:highlight w:val="none"/>
                      <w:u w:val="single"/>
                    </w:rPr>
                  </w:pPr>
                  <w:r>
                    <w:rPr>
                      <w:rFonts w:hint="eastAsia"/>
                      <w:color w:val="auto"/>
                      <w:szCs w:val="21"/>
                      <w:highlight w:val="none"/>
                      <w:u w:val="single"/>
                      <w:lang w:val="en-US" w:eastAsia="zh-CN"/>
                    </w:rPr>
                    <w:t>0</w:t>
                  </w:r>
                </w:p>
              </w:tc>
              <w:tc>
                <w:tcPr>
                  <w:tcW w:w="624" w:type="pct"/>
                  <w:noWrap w:val="0"/>
                  <w:vAlign w:val="center"/>
                </w:tcPr>
                <w:p w14:paraId="20A458DB">
                  <w:pPr>
                    <w:keepNext w:val="0"/>
                    <w:keepLines w:val="0"/>
                    <w:numPr>
                      <w:ilvl w:val="0"/>
                      <w:numId w:val="0"/>
                    </w:numPr>
                    <w:suppressLineNumbers w:val="0"/>
                    <w:spacing w:before="0" w:beforeAutospacing="0" w:after="0" w:afterAutospacing="0"/>
                    <w:ind w:left="0" w:right="0"/>
                    <w:jc w:val="center"/>
                    <w:rPr>
                      <w:rFonts w:hint="eastAsia"/>
                      <w:color w:val="auto"/>
                      <w:szCs w:val="21"/>
                      <w:highlight w:val="none"/>
                      <w:u w:val="single"/>
                    </w:rPr>
                  </w:pPr>
                  <w:r>
                    <w:rPr>
                      <w:rFonts w:hint="eastAsia"/>
                      <w:color w:val="auto"/>
                      <w:szCs w:val="21"/>
                      <w:highlight w:val="none"/>
                      <w:u w:val="single"/>
                      <w:lang w:val="en-US" w:eastAsia="zh-CN"/>
                    </w:rPr>
                    <w:t>0</w:t>
                  </w:r>
                </w:p>
              </w:tc>
              <w:tc>
                <w:tcPr>
                  <w:tcW w:w="628" w:type="pct"/>
                  <w:noWrap w:val="0"/>
                  <w:vAlign w:val="center"/>
                </w:tcPr>
                <w:p w14:paraId="72A72939">
                  <w:pPr>
                    <w:pStyle w:val="14"/>
                    <w:keepNext w:val="0"/>
                    <w:keepLines w:val="0"/>
                    <w:numPr>
                      <w:ilvl w:val="0"/>
                      <w:numId w:val="0"/>
                    </w:numPr>
                    <w:suppressLineNumbers w:val="0"/>
                    <w:spacing w:before="0" w:beforeAutospacing="0" w:after="0" w:afterAutospacing="0"/>
                    <w:ind w:left="0" w:right="0"/>
                    <w:jc w:val="center"/>
                    <w:rPr>
                      <w:rFonts w:hint="default"/>
                      <w:color w:val="auto"/>
                      <w:szCs w:val="21"/>
                      <w:highlight w:val="none"/>
                      <w:u w:val="single"/>
                      <w:lang w:val="en-US" w:eastAsia="zh-CN"/>
                    </w:rPr>
                  </w:pPr>
                  <w:r>
                    <w:rPr>
                      <w:rFonts w:hint="eastAsia"/>
                      <w:color w:val="auto"/>
                      <w:szCs w:val="21"/>
                      <w:highlight w:val="none"/>
                      <w:u w:val="single"/>
                      <w:lang w:val="en-US" w:eastAsia="zh-CN"/>
                    </w:rPr>
                    <w:t>10.0</w:t>
                  </w:r>
                </w:p>
              </w:tc>
            </w:tr>
            <w:tr w14:paraId="7B532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vMerge w:val="continue"/>
                  <w:noWrap w:val="0"/>
                  <w:vAlign w:val="center"/>
                </w:tcPr>
                <w:p w14:paraId="6C0FF5F7">
                  <w:pPr>
                    <w:pStyle w:val="14"/>
                    <w:keepNext w:val="0"/>
                    <w:keepLines w:val="0"/>
                    <w:numPr>
                      <w:ilvl w:val="0"/>
                      <w:numId w:val="0"/>
                    </w:numPr>
                    <w:suppressLineNumbers w:val="0"/>
                    <w:spacing w:before="0" w:beforeAutospacing="0" w:after="0" w:afterAutospacing="0"/>
                    <w:ind w:left="0" w:right="0"/>
                    <w:jc w:val="center"/>
                    <w:rPr>
                      <w:rFonts w:hint="default"/>
                      <w:color w:val="auto"/>
                      <w:szCs w:val="21"/>
                      <w:highlight w:val="none"/>
                      <w:u w:val="single"/>
                    </w:rPr>
                  </w:pPr>
                </w:p>
              </w:tc>
              <w:tc>
                <w:tcPr>
                  <w:tcW w:w="705" w:type="pct"/>
                  <w:noWrap w:val="0"/>
                  <w:vAlign w:val="center"/>
                </w:tcPr>
                <w:p w14:paraId="6970124D">
                  <w:pPr>
                    <w:pStyle w:val="14"/>
                    <w:keepNext w:val="0"/>
                    <w:keepLines w:val="0"/>
                    <w:numPr>
                      <w:ilvl w:val="0"/>
                      <w:numId w:val="0"/>
                    </w:numPr>
                    <w:suppressLineNumbers w:val="0"/>
                    <w:spacing w:before="0" w:beforeAutospacing="0" w:after="0" w:afterAutospacing="0"/>
                    <w:ind w:left="0" w:right="0"/>
                    <w:jc w:val="center"/>
                    <w:rPr>
                      <w:rFonts w:hint="eastAsia" w:eastAsia="宋体"/>
                      <w:color w:val="auto"/>
                      <w:szCs w:val="21"/>
                      <w:highlight w:val="none"/>
                      <w:u w:val="single"/>
                      <w:lang w:val="en-US" w:eastAsia="zh-CN"/>
                    </w:rPr>
                  </w:pPr>
                  <w:r>
                    <w:rPr>
                      <w:rFonts w:hint="eastAsia"/>
                      <w:color w:val="auto"/>
                      <w:szCs w:val="21"/>
                      <w:highlight w:val="none"/>
                      <w:u w:val="single"/>
                      <w:lang w:val="en-US" w:eastAsia="zh-CN"/>
                    </w:rPr>
                    <w:t>总磷</w:t>
                  </w:r>
                </w:p>
              </w:tc>
              <w:tc>
                <w:tcPr>
                  <w:tcW w:w="624" w:type="pct"/>
                  <w:noWrap w:val="0"/>
                  <w:vAlign w:val="center"/>
                </w:tcPr>
                <w:p w14:paraId="16914A41">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0.04</w:t>
                  </w:r>
                </w:p>
              </w:tc>
              <w:tc>
                <w:tcPr>
                  <w:tcW w:w="624" w:type="pct"/>
                  <w:noWrap w:val="0"/>
                  <w:vAlign w:val="center"/>
                </w:tcPr>
                <w:p w14:paraId="6459D272">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0.02</w:t>
                  </w:r>
                </w:p>
              </w:tc>
              <w:tc>
                <w:tcPr>
                  <w:tcW w:w="624" w:type="pct"/>
                  <w:noWrap w:val="0"/>
                  <w:vAlign w:val="center"/>
                </w:tcPr>
                <w:p w14:paraId="26F642EB">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0.02</w:t>
                  </w:r>
                </w:p>
              </w:tc>
              <w:tc>
                <w:tcPr>
                  <w:tcW w:w="624" w:type="pct"/>
                  <w:noWrap w:val="0"/>
                  <w:vAlign w:val="center"/>
                </w:tcPr>
                <w:p w14:paraId="1AAF5511">
                  <w:pPr>
                    <w:keepNext w:val="0"/>
                    <w:keepLines w:val="0"/>
                    <w:numPr>
                      <w:ilvl w:val="0"/>
                      <w:numId w:val="0"/>
                    </w:numPr>
                    <w:suppressLineNumbers w:val="0"/>
                    <w:spacing w:before="0" w:beforeAutospacing="0" w:after="0" w:afterAutospacing="0"/>
                    <w:ind w:left="0" w:right="0"/>
                    <w:jc w:val="center"/>
                    <w:rPr>
                      <w:rFonts w:hint="eastAsia"/>
                      <w:color w:val="auto"/>
                      <w:szCs w:val="21"/>
                      <w:highlight w:val="none"/>
                      <w:u w:val="single"/>
                    </w:rPr>
                  </w:pPr>
                  <w:r>
                    <w:rPr>
                      <w:rFonts w:hint="eastAsia"/>
                      <w:color w:val="auto"/>
                      <w:szCs w:val="21"/>
                      <w:highlight w:val="none"/>
                      <w:u w:val="single"/>
                      <w:lang w:val="en-US" w:eastAsia="zh-CN"/>
                    </w:rPr>
                    <w:t>0</w:t>
                  </w:r>
                </w:p>
              </w:tc>
              <w:tc>
                <w:tcPr>
                  <w:tcW w:w="624" w:type="pct"/>
                  <w:noWrap w:val="0"/>
                  <w:vAlign w:val="center"/>
                </w:tcPr>
                <w:p w14:paraId="23BB012C">
                  <w:pPr>
                    <w:keepNext w:val="0"/>
                    <w:keepLines w:val="0"/>
                    <w:numPr>
                      <w:ilvl w:val="0"/>
                      <w:numId w:val="0"/>
                    </w:numPr>
                    <w:suppressLineNumbers w:val="0"/>
                    <w:spacing w:before="0" w:beforeAutospacing="0" w:after="0" w:afterAutospacing="0"/>
                    <w:ind w:left="0" w:right="0"/>
                    <w:jc w:val="center"/>
                    <w:rPr>
                      <w:rFonts w:hint="eastAsia"/>
                      <w:color w:val="auto"/>
                      <w:szCs w:val="21"/>
                      <w:highlight w:val="none"/>
                      <w:u w:val="single"/>
                    </w:rPr>
                  </w:pPr>
                  <w:r>
                    <w:rPr>
                      <w:rFonts w:hint="eastAsia"/>
                      <w:color w:val="auto"/>
                      <w:szCs w:val="21"/>
                      <w:highlight w:val="none"/>
                      <w:u w:val="single"/>
                      <w:lang w:val="en-US" w:eastAsia="zh-CN"/>
                    </w:rPr>
                    <w:t>0</w:t>
                  </w:r>
                </w:p>
              </w:tc>
              <w:tc>
                <w:tcPr>
                  <w:tcW w:w="628" w:type="pct"/>
                  <w:noWrap w:val="0"/>
                  <w:vAlign w:val="center"/>
                </w:tcPr>
                <w:p w14:paraId="53667D0C">
                  <w:pPr>
                    <w:pStyle w:val="14"/>
                    <w:keepNext w:val="0"/>
                    <w:keepLines w:val="0"/>
                    <w:numPr>
                      <w:ilvl w:val="0"/>
                      <w:numId w:val="0"/>
                    </w:numPr>
                    <w:suppressLineNumbers w:val="0"/>
                    <w:spacing w:before="0" w:beforeAutospacing="0" w:after="0" w:afterAutospacing="0"/>
                    <w:ind w:left="0" w:right="0"/>
                    <w:jc w:val="center"/>
                    <w:rPr>
                      <w:rFonts w:hint="default" w:eastAsia="宋体"/>
                      <w:color w:val="auto"/>
                      <w:szCs w:val="21"/>
                      <w:highlight w:val="none"/>
                      <w:u w:val="single"/>
                      <w:lang w:val="en-US" w:eastAsia="zh-CN"/>
                    </w:rPr>
                  </w:pPr>
                  <w:r>
                    <w:rPr>
                      <w:rFonts w:hint="eastAsia"/>
                      <w:color w:val="auto"/>
                      <w:szCs w:val="21"/>
                      <w:highlight w:val="none"/>
                      <w:u w:val="single"/>
                      <w:lang w:val="en-US" w:eastAsia="zh-CN"/>
                    </w:rPr>
                    <w:t>0.05</w:t>
                  </w:r>
                </w:p>
              </w:tc>
            </w:tr>
          </w:tbl>
          <w:p w14:paraId="186E246C">
            <w:pPr>
              <w:pStyle w:val="14"/>
              <w:keepNext w:val="0"/>
              <w:keepLines w:val="0"/>
              <w:numPr>
                <w:ilvl w:val="0"/>
                <w:numId w:val="0"/>
              </w:numPr>
              <w:suppressLineNumbers w:val="0"/>
              <w:spacing w:before="0" w:beforeAutospacing="0" w:after="0" w:afterAutospacing="0" w:line="360" w:lineRule="auto"/>
              <w:ind w:left="0" w:right="0" w:firstLine="480" w:firstLineChars="200"/>
              <w:rPr>
                <w:rFonts w:hint="default"/>
                <w:color w:val="auto"/>
                <w:spacing w:val="-2"/>
                <w:sz w:val="24"/>
                <w:highlight w:val="none"/>
                <w:u w:val="single"/>
              </w:rPr>
            </w:pPr>
            <w:r>
              <w:rPr>
                <w:rFonts w:hint="default"/>
                <w:color w:val="auto"/>
                <w:sz w:val="24"/>
                <w:highlight w:val="none"/>
                <w:u w:val="single"/>
              </w:rPr>
              <w:t>根据上表数据可知，</w:t>
            </w:r>
            <w:r>
              <w:rPr>
                <w:rFonts w:hint="eastAsia"/>
                <w:color w:val="auto"/>
                <w:sz w:val="24"/>
                <w:highlight w:val="none"/>
                <w:u w:val="single"/>
                <w:lang w:val="en-US" w:eastAsia="zh-CN"/>
              </w:rPr>
              <w:t>2023年长安河天桥断面所列监测因子均</w:t>
            </w:r>
            <w:r>
              <w:rPr>
                <w:rFonts w:hint="default"/>
                <w:color w:val="auto"/>
                <w:sz w:val="24"/>
                <w:highlight w:val="none"/>
                <w:u w:val="single"/>
              </w:rPr>
              <w:t>满足《地表水环境质量标准》（GB3838-2002）</w:t>
            </w:r>
            <w:r>
              <w:rPr>
                <w:rFonts w:hint="eastAsia"/>
                <w:color w:val="auto"/>
                <w:sz w:val="24"/>
                <w:highlight w:val="none"/>
                <w:u w:val="single"/>
              </w:rPr>
              <w:t>III</w:t>
            </w:r>
            <w:r>
              <w:rPr>
                <w:rFonts w:hint="default"/>
                <w:color w:val="auto"/>
                <w:sz w:val="24"/>
                <w:highlight w:val="none"/>
                <w:u w:val="single"/>
              </w:rPr>
              <w:t>类水质标准限值，项目区域水环境质量现状</w:t>
            </w:r>
            <w:r>
              <w:rPr>
                <w:rFonts w:hint="eastAsia"/>
                <w:color w:val="auto"/>
                <w:sz w:val="24"/>
                <w:highlight w:val="none"/>
                <w:u w:val="single"/>
                <w:lang w:val="en-US" w:eastAsia="zh-CN"/>
              </w:rPr>
              <w:t>良好</w:t>
            </w:r>
            <w:r>
              <w:rPr>
                <w:rFonts w:hint="eastAsia"/>
                <w:color w:val="auto"/>
                <w:spacing w:val="-2"/>
                <w:sz w:val="24"/>
                <w:highlight w:val="none"/>
                <w:u w:val="single"/>
              </w:rPr>
              <w:t>。</w:t>
            </w:r>
          </w:p>
          <w:p w14:paraId="1F1ABF8E">
            <w:pPr>
              <w:keepNext w:val="0"/>
              <w:keepLines w:val="0"/>
              <w:suppressLineNumbers w:val="0"/>
              <w:adjustRightInd w:val="0"/>
              <w:snapToGrid w:val="0"/>
              <w:spacing w:before="0" w:beforeAutospacing="0" w:after="0" w:afterAutospacing="0" w:line="360" w:lineRule="auto"/>
              <w:ind w:left="0" w:right="0" w:firstLine="482" w:firstLineChars="200"/>
              <w:rPr>
                <w:rFonts w:hint="default"/>
                <w:b/>
                <w:color w:val="auto"/>
                <w:sz w:val="24"/>
                <w:u w:val="none"/>
              </w:rPr>
            </w:pPr>
            <w:r>
              <w:rPr>
                <w:rFonts w:hint="eastAsia"/>
                <w:b/>
                <w:color w:val="auto"/>
                <w:sz w:val="24"/>
                <w:u w:val="none"/>
              </w:rPr>
              <w:t>4</w:t>
            </w:r>
            <w:r>
              <w:rPr>
                <w:rFonts w:hint="default"/>
                <w:b/>
                <w:color w:val="auto"/>
                <w:sz w:val="24"/>
                <w:u w:val="none"/>
              </w:rPr>
              <w:t>、</w:t>
            </w:r>
            <w:r>
              <w:rPr>
                <w:rFonts w:hint="eastAsia"/>
                <w:b/>
                <w:color w:val="auto"/>
                <w:sz w:val="24"/>
                <w:u w:val="none"/>
              </w:rPr>
              <w:t>噪声</w:t>
            </w:r>
            <w:r>
              <w:rPr>
                <w:rFonts w:hint="default"/>
                <w:b/>
                <w:color w:val="auto"/>
                <w:sz w:val="24"/>
                <w:u w:val="none"/>
              </w:rPr>
              <w:t>环境质量现状</w:t>
            </w:r>
          </w:p>
          <w:p w14:paraId="1864CFFC">
            <w:pPr>
              <w:keepNext w:val="0"/>
              <w:keepLines w:val="0"/>
              <w:suppressLineNumbers w:val="0"/>
              <w:adjustRightInd w:val="0"/>
              <w:snapToGrid w:val="0"/>
              <w:spacing w:before="0" w:beforeAutospacing="0" w:after="0" w:afterAutospacing="0" w:line="360" w:lineRule="auto"/>
              <w:ind w:left="0" w:right="0" w:firstLine="472" w:firstLineChars="200"/>
              <w:rPr>
                <w:rFonts w:hint="eastAsia" w:eastAsia="宋体"/>
                <w:color w:val="auto"/>
                <w:spacing w:val="-2"/>
                <w:sz w:val="24"/>
                <w:u w:val="single"/>
                <w:lang w:eastAsia="zh-CN"/>
              </w:rPr>
            </w:pPr>
            <w:r>
              <w:rPr>
                <w:rFonts w:hint="eastAsia"/>
                <w:color w:val="auto"/>
                <w:spacing w:val="-2"/>
                <w:sz w:val="24"/>
                <w:u w:val="single"/>
              </w:rPr>
              <w:t>根据《</w:t>
            </w:r>
            <w:r>
              <w:rPr>
                <w:rFonts w:hint="eastAsia"/>
                <w:color w:val="auto"/>
                <w:spacing w:val="-2"/>
                <w:sz w:val="24"/>
                <w:u w:val="single"/>
                <w:lang w:val="en-US" w:eastAsia="zh-CN"/>
              </w:rPr>
              <w:t>临湘</w:t>
            </w:r>
            <w:r>
              <w:rPr>
                <w:rFonts w:hint="eastAsia"/>
                <w:color w:val="auto"/>
                <w:spacing w:val="-2"/>
                <w:sz w:val="24"/>
                <w:u w:val="single"/>
              </w:rPr>
              <w:t>市</w:t>
            </w:r>
            <w:r>
              <w:rPr>
                <w:rFonts w:hint="eastAsia"/>
                <w:color w:val="auto"/>
                <w:spacing w:val="-2"/>
                <w:sz w:val="24"/>
                <w:u w:val="single"/>
                <w:lang w:val="en-US" w:eastAsia="zh-CN"/>
              </w:rPr>
              <w:t>中心城区</w:t>
            </w:r>
            <w:r>
              <w:rPr>
                <w:rFonts w:hint="eastAsia"/>
                <w:color w:val="auto"/>
                <w:spacing w:val="-2"/>
                <w:sz w:val="24"/>
                <w:u w:val="single"/>
              </w:rPr>
              <w:t>声环境功能区划分</w:t>
            </w:r>
            <w:r>
              <w:rPr>
                <w:rFonts w:hint="eastAsia"/>
                <w:color w:val="auto"/>
                <w:spacing w:val="-2"/>
                <w:sz w:val="24"/>
                <w:u w:val="single"/>
                <w:lang w:val="en-US" w:eastAsia="zh-CN"/>
              </w:rPr>
              <w:t>方案</w:t>
            </w:r>
            <w:r>
              <w:rPr>
                <w:rFonts w:hint="eastAsia"/>
                <w:color w:val="auto"/>
                <w:spacing w:val="-2"/>
                <w:sz w:val="24"/>
                <w:u w:val="single"/>
              </w:rPr>
              <w:t>》，项目所在区域属于《声环境质量标准》（GB3096-2008)中2类声环境功能区</w:t>
            </w:r>
            <w:r>
              <w:rPr>
                <w:rFonts w:hint="eastAsia"/>
                <w:color w:val="auto"/>
                <w:spacing w:val="-2"/>
                <w:sz w:val="24"/>
                <w:u w:val="single"/>
                <w:lang w:eastAsia="zh-CN"/>
              </w:rPr>
              <w:t>。</w:t>
            </w:r>
            <w:r>
              <w:rPr>
                <w:rFonts w:hint="eastAsia"/>
                <w:color w:val="auto"/>
                <w:spacing w:val="-2"/>
                <w:sz w:val="24"/>
                <w:u w:val="single"/>
              </w:rPr>
              <w:t>根据</w:t>
            </w:r>
            <w:r>
              <w:rPr>
                <w:rFonts w:hint="eastAsia"/>
                <w:color w:val="auto"/>
                <w:sz w:val="24"/>
                <w:u w:val="single"/>
                <w:lang w:val="en-US" w:eastAsia="zh-CN"/>
              </w:rPr>
              <w:t>岳阳</w:t>
            </w:r>
            <w:r>
              <w:rPr>
                <w:rFonts w:hint="eastAsia"/>
                <w:color w:val="auto"/>
                <w:sz w:val="24"/>
                <w:u w:val="single"/>
              </w:rPr>
              <w:t>市生态环境局公布的《岳阳市2023年度生态环境质量公报》</w:t>
            </w:r>
            <w:r>
              <w:rPr>
                <w:rFonts w:hint="eastAsia"/>
                <w:color w:val="auto"/>
                <w:sz w:val="24"/>
                <w:u w:val="single"/>
                <w:lang w:val="en-US" w:eastAsia="zh-CN"/>
              </w:rPr>
              <w:t>公布数据，2023年度城区区域环境噪声为二级，评价为较好；交通干线噪声为二级，评价为较好。</w:t>
            </w:r>
          </w:p>
          <w:p w14:paraId="2A27EA86">
            <w:pPr>
              <w:keepNext w:val="0"/>
              <w:keepLines w:val="0"/>
              <w:suppressLineNumbers w:val="0"/>
              <w:adjustRightInd w:val="0"/>
              <w:snapToGrid w:val="0"/>
              <w:spacing w:before="0" w:beforeAutospacing="0" w:after="0" w:afterAutospacing="0" w:line="360" w:lineRule="auto"/>
              <w:ind w:left="0" w:right="0" w:firstLine="472" w:firstLineChars="200"/>
              <w:rPr>
                <w:rFonts w:hint="default" w:eastAsia="宋体"/>
                <w:color w:val="auto"/>
                <w:spacing w:val="-2"/>
                <w:sz w:val="24"/>
                <w:u w:val="single"/>
                <w:lang w:val="en-US" w:eastAsia="zh-CN"/>
              </w:rPr>
            </w:pPr>
            <w:r>
              <w:rPr>
                <w:rFonts w:hint="eastAsia"/>
                <w:color w:val="auto"/>
                <w:spacing w:val="-2"/>
                <w:sz w:val="24"/>
                <w:u w:val="single"/>
                <w:lang w:val="en-US" w:eastAsia="zh-CN"/>
              </w:rPr>
              <w:t>为进一步说明项目所在区域噪声环境质量现状，</w:t>
            </w:r>
            <w:r>
              <w:rPr>
                <w:rFonts w:hint="default" w:ascii="Times New Roman" w:hAnsi="Times New Roman" w:cs="Times New Roman"/>
                <w:color w:val="auto"/>
                <w:sz w:val="24"/>
                <w:u w:val="single"/>
              </w:rPr>
              <w:t>本次环评委托湖南西南检验检测有限公司于202</w:t>
            </w:r>
            <w:r>
              <w:rPr>
                <w:rFonts w:hint="eastAsia" w:cs="Times New Roman"/>
                <w:color w:val="auto"/>
                <w:sz w:val="24"/>
                <w:u w:val="single"/>
                <w:lang w:val="en-US" w:eastAsia="zh-CN"/>
              </w:rPr>
              <w:t>4</w:t>
            </w:r>
            <w:r>
              <w:rPr>
                <w:rFonts w:hint="default" w:ascii="Times New Roman" w:hAnsi="Times New Roman" w:cs="Times New Roman"/>
                <w:color w:val="auto"/>
                <w:sz w:val="24"/>
                <w:highlight w:val="none"/>
                <w:u w:val="single"/>
              </w:rPr>
              <w:t>年</w:t>
            </w:r>
            <w:r>
              <w:rPr>
                <w:rFonts w:hint="eastAsia" w:cs="Times New Roman"/>
                <w:color w:val="auto"/>
                <w:sz w:val="24"/>
                <w:highlight w:val="none"/>
                <w:u w:val="single"/>
                <w:lang w:val="en-US" w:eastAsia="zh-CN"/>
              </w:rPr>
              <w:t>7</w:t>
            </w:r>
            <w:r>
              <w:rPr>
                <w:rFonts w:hint="default" w:ascii="Times New Roman" w:hAnsi="Times New Roman" w:cs="Times New Roman"/>
                <w:color w:val="auto"/>
                <w:sz w:val="24"/>
                <w:highlight w:val="none"/>
                <w:u w:val="single"/>
              </w:rPr>
              <w:t>月</w:t>
            </w:r>
            <w:r>
              <w:rPr>
                <w:rFonts w:hint="eastAsia" w:cs="Times New Roman"/>
                <w:color w:val="auto"/>
                <w:sz w:val="24"/>
                <w:highlight w:val="none"/>
                <w:u w:val="single"/>
                <w:lang w:val="en-US" w:eastAsia="zh-CN"/>
              </w:rPr>
              <w:t>31</w:t>
            </w:r>
            <w:r>
              <w:rPr>
                <w:rFonts w:hint="default" w:ascii="Times New Roman" w:hAnsi="Times New Roman" w:cs="Times New Roman"/>
                <w:color w:val="auto"/>
                <w:sz w:val="24"/>
                <w:highlight w:val="none"/>
                <w:u w:val="single"/>
              </w:rPr>
              <w:t>日</w:t>
            </w:r>
            <w:r>
              <w:rPr>
                <w:rFonts w:hint="eastAsia" w:ascii="Times New Roman" w:hAnsi="Times New Roman" w:cs="Times New Roman"/>
                <w:color w:val="auto"/>
                <w:sz w:val="24"/>
                <w:u w:val="single"/>
                <w:lang w:val="en-US" w:eastAsia="zh-CN"/>
              </w:rPr>
              <w:t>进行</w:t>
            </w:r>
            <w:r>
              <w:rPr>
                <w:rFonts w:hint="eastAsia" w:cs="Times New Roman"/>
                <w:color w:val="auto"/>
                <w:sz w:val="24"/>
                <w:u w:val="single"/>
                <w:lang w:val="en-US" w:eastAsia="zh-CN"/>
              </w:rPr>
              <w:t>了环境噪声</w:t>
            </w:r>
            <w:r>
              <w:rPr>
                <w:rFonts w:hint="default" w:ascii="Times New Roman" w:hAnsi="Times New Roman" w:cs="Times New Roman"/>
                <w:color w:val="auto"/>
                <w:sz w:val="24"/>
                <w:u w:val="single"/>
              </w:rPr>
              <w:t>监测，</w:t>
            </w:r>
            <w:r>
              <w:rPr>
                <w:rFonts w:hint="eastAsia" w:cs="Times New Roman"/>
                <w:color w:val="auto"/>
                <w:sz w:val="24"/>
                <w:u w:val="single"/>
                <w:lang w:val="en-US" w:eastAsia="zh-CN"/>
              </w:rPr>
              <w:t>因项目位置较多，故选取各行泄通道代表性点位进行监测，并于2024年11月20日委托了湖南聚鸿环保科技有限公司对新建泵站的两个点位附近补测了噪声，</w:t>
            </w:r>
            <w:r>
              <w:rPr>
                <w:rFonts w:hint="default" w:ascii="Times New Roman" w:hAnsi="Times New Roman" w:cs="Times New Roman"/>
                <w:color w:val="auto"/>
                <w:sz w:val="24"/>
                <w:u w:val="single"/>
              </w:rPr>
              <w:t>监测结果如下表</w:t>
            </w:r>
            <w:r>
              <w:rPr>
                <w:rFonts w:hint="eastAsia" w:ascii="Times New Roman" w:hAnsi="Times New Roman" w:cs="Times New Roman"/>
                <w:color w:val="auto"/>
                <w:sz w:val="24"/>
                <w:u w:val="single"/>
                <w:lang w:eastAsia="zh-CN"/>
              </w:rPr>
              <w:t>。</w:t>
            </w:r>
          </w:p>
          <w:p w14:paraId="6CEA56F5">
            <w:pPr>
              <w:pStyle w:val="80"/>
              <w:keepNext w:val="0"/>
              <w:keepLines w:val="0"/>
              <w:numPr>
                <w:ilvl w:val="0"/>
                <w:numId w:val="0"/>
              </w:numPr>
              <w:suppressLineNumbers w:val="0"/>
              <w:spacing w:before="0" w:beforeLines="0" w:beforeAutospacing="0" w:after="0" w:afterAutospacing="0" w:line="360" w:lineRule="exact"/>
              <w:ind w:left="0" w:leftChars="0" w:right="0"/>
              <w:rPr>
                <w:rFonts w:hint="default" w:ascii="Times New Roman" w:hAnsi="Times New Roman" w:eastAsia="宋体" w:cs="Times New Roman"/>
                <w:color w:val="auto"/>
                <w:sz w:val="21"/>
                <w:szCs w:val="21"/>
                <w:u w:val="single"/>
                <w:lang w:val="en-US" w:eastAsia="zh-CN"/>
              </w:rPr>
            </w:pPr>
            <w:r>
              <w:rPr>
                <w:rFonts w:hint="eastAsia" w:ascii="Times New Roman" w:hAnsi="Times New Roman" w:cs="Times New Roman"/>
                <w:color w:val="auto"/>
                <w:sz w:val="21"/>
                <w:szCs w:val="21"/>
                <w:u w:val="single"/>
                <w:lang w:eastAsia="zh-CN"/>
              </w:rPr>
              <w:t>表</w:t>
            </w:r>
            <w:r>
              <w:rPr>
                <w:rFonts w:hint="eastAsia" w:ascii="Times New Roman" w:hAnsi="Times New Roman" w:cs="Times New Roman"/>
                <w:color w:val="auto"/>
                <w:sz w:val="21"/>
                <w:szCs w:val="21"/>
                <w:u w:val="single"/>
                <w:lang w:val="en-US" w:eastAsia="zh-CN"/>
              </w:rPr>
              <w:t>3-</w:t>
            </w:r>
            <w:r>
              <w:rPr>
                <w:rFonts w:hint="eastAsia" w:cs="Times New Roman"/>
                <w:color w:val="auto"/>
                <w:sz w:val="21"/>
                <w:szCs w:val="21"/>
                <w:u w:val="single"/>
                <w:lang w:val="en-US" w:eastAsia="zh-CN"/>
              </w:rPr>
              <w:t>5  声环境现状监测结果</w:t>
            </w:r>
            <w:r>
              <w:rPr>
                <w:rFonts w:hint="default" w:ascii="Times New Roman" w:hAnsi="Times New Roman" w:cs="Times New Roman"/>
                <w:color w:val="auto"/>
                <w:sz w:val="21"/>
                <w:szCs w:val="21"/>
                <w:u w:val="single"/>
              </w:rPr>
              <w:t>表</w:t>
            </w:r>
            <w:r>
              <w:rPr>
                <w:rFonts w:hint="eastAsia" w:cs="Times New Roman"/>
                <w:color w:val="auto"/>
                <w:sz w:val="21"/>
                <w:szCs w:val="21"/>
                <w:u w:val="single"/>
                <w:lang w:val="en-US" w:eastAsia="zh-CN"/>
              </w:rPr>
              <w:t xml:space="preserve">  单位dB（A）</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0"/>
              <w:gridCol w:w="1154"/>
              <w:gridCol w:w="852"/>
              <w:gridCol w:w="869"/>
              <w:gridCol w:w="856"/>
              <w:gridCol w:w="869"/>
              <w:gridCol w:w="1742"/>
            </w:tblGrid>
            <w:tr w14:paraId="09309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vMerge w:val="restart"/>
                  <w:vAlign w:val="center"/>
                </w:tcPr>
                <w:p w14:paraId="749C0741">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rPr>
                  </w:pPr>
                  <w:r>
                    <w:rPr>
                      <w:rFonts w:hint="default" w:ascii="Times New Roman" w:hAnsi="Times New Roman" w:cs="Times New Roman" w:eastAsiaTheme="minorEastAsia"/>
                      <w:b/>
                      <w:bCs/>
                      <w:color w:val="auto"/>
                      <w:sz w:val="21"/>
                      <w:szCs w:val="21"/>
                      <w:u w:val="single"/>
                    </w:rPr>
                    <w:t>采样点位</w:t>
                  </w:r>
                </w:p>
              </w:tc>
              <w:tc>
                <w:tcPr>
                  <w:tcW w:w="712" w:type="pct"/>
                  <w:vMerge w:val="restart"/>
                  <w:vAlign w:val="center"/>
                </w:tcPr>
                <w:p w14:paraId="1C674266">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highlight w:val="none"/>
                      <w:u w:val="single"/>
                    </w:rPr>
                  </w:pPr>
                  <w:r>
                    <w:rPr>
                      <w:rFonts w:hint="default" w:ascii="Times New Roman" w:hAnsi="Times New Roman" w:cs="Times New Roman" w:eastAsiaTheme="minorEastAsia"/>
                      <w:b/>
                      <w:bCs/>
                      <w:color w:val="auto"/>
                      <w:sz w:val="21"/>
                      <w:szCs w:val="21"/>
                      <w:highlight w:val="none"/>
                      <w:u w:val="single"/>
                    </w:rPr>
                    <w:t>监测日期</w:t>
                  </w:r>
                </w:p>
              </w:tc>
              <w:tc>
                <w:tcPr>
                  <w:tcW w:w="1062" w:type="pct"/>
                  <w:gridSpan w:val="2"/>
                  <w:vAlign w:val="center"/>
                </w:tcPr>
                <w:p w14:paraId="28C6A41C">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rPr>
                  </w:pPr>
                  <w:r>
                    <w:rPr>
                      <w:rFonts w:hint="default" w:ascii="Times New Roman" w:hAnsi="Times New Roman" w:cs="Times New Roman" w:eastAsiaTheme="minorEastAsia"/>
                      <w:b/>
                      <w:bCs/>
                      <w:color w:val="auto"/>
                      <w:sz w:val="21"/>
                      <w:szCs w:val="21"/>
                      <w:u w:val="single"/>
                    </w:rPr>
                    <w:t>监测结果</w:t>
                  </w:r>
                </w:p>
              </w:tc>
              <w:tc>
                <w:tcPr>
                  <w:tcW w:w="1064" w:type="pct"/>
                  <w:gridSpan w:val="2"/>
                  <w:vAlign w:val="center"/>
                </w:tcPr>
                <w:p w14:paraId="3A8E081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lang w:val="en-US" w:eastAsia="zh-CN"/>
                    </w:rPr>
                  </w:pPr>
                  <w:r>
                    <w:rPr>
                      <w:rFonts w:hint="default" w:ascii="Times New Roman" w:hAnsi="Times New Roman" w:cs="Times New Roman" w:eastAsiaTheme="minorEastAsia"/>
                      <w:b/>
                      <w:bCs/>
                      <w:color w:val="auto"/>
                      <w:sz w:val="21"/>
                      <w:szCs w:val="21"/>
                      <w:u w:val="single"/>
                      <w:lang w:val="en-US" w:eastAsia="zh-CN"/>
                    </w:rPr>
                    <w:t>标准限值</w:t>
                  </w:r>
                </w:p>
              </w:tc>
              <w:tc>
                <w:tcPr>
                  <w:tcW w:w="1073" w:type="pct"/>
                  <w:vMerge w:val="restart"/>
                  <w:vAlign w:val="center"/>
                </w:tcPr>
                <w:p w14:paraId="03A8F3B9">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lang w:val="en-US" w:eastAsia="zh-CN"/>
                    </w:rPr>
                  </w:pPr>
                  <w:r>
                    <w:rPr>
                      <w:rFonts w:hint="default" w:ascii="Times New Roman" w:hAnsi="Times New Roman" w:cs="Times New Roman" w:eastAsiaTheme="minorEastAsia"/>
                      <w:b/>
                      <w:bCs/>
                      <w:color w:val="auto"/>
                      <w:sz w:val="21"/>
                      <w:szCs w:val="21"/>
                      <w:u w:val="single"/>
                      <w:lang w:val="en-US" w:eastAsia="zh-CN"/>
                    </w:rPr>
                    <w:t>达标情况</w:t>
                  </w:r>
                </w:p>
              </w:tc>
            </w:tr>
            <w:tr w14:paraId="5C094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vMerge w:val="continue"/>
                  <w:vAlign w:val="center"/>
                </w:tcPr>
                <w:p w14:paraId="4437FF3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rPr>
                  </w:pPr>
                </w:p>
              </w:tc>
              <w:tc>
                <w:tcPr>
                  <w:tcW w:w="712" w:type="pct"/>
                  <w:vMerge w:val="continue"/>
                  <w:vAlign w:val="center"/>
                </w:tcPr>
                <w:p w14:paraId="549290B9">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highlight w:val="none"/>
                      <w:u w:val="single"/>
                    </w:rPr>
                  </w:pPr>
                </w:p>
              </w:tc>
              <w:tc>
                <w:tcPr>
                  <w:tcW w:w="526" w:type="pct"/>
                  <w:vAlign w:val="center"/>
                </w:tcPr>
                <w:p w14:paraId="0FAF0A3F">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lang w:val="en-US" w:eastAsia="zh-CN"/>
                    </w:rPr>
                  </w:pPr>
                  <w:r>
                    <w:rPr>
                      <w:rFonts w:hint="default" w:ascii="Times New Roman" w:hAnsi="Times New Roman" w:cs="Times New Roman" w:eastAsiaTheme="minorEastAsia"/>
                      <w:b/>
                      <w:bCs/>
                      <w:color w:val="auto"/>
                      <w:sz w:val="21"/>
                      <w:szCs w:val="21"/>
                      <w:u w:val="single"/>
                      <w:lang w:val="en-US" w:eastAsia="zh-CN"/>
                    </w:rPr>
                    <w:t>昼间</w:t>
                  </w:r>
                </w:p>
              </w:tc>
              <w:tc>
                <w:tcPr>
                  <w:tcW w:w="536" w:type="pct"/>
                  <w:vAlign w:val="center"/>
                </w:tcPr>
                <w:p w14:paraId="767E77CF">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lang w:val="en-US" w:eastAsia="zh-CN"/>
                    </w:rPr>
                  </w:pPr>
                  <w:r>
                    <w:rPr>
                      <w:rFonts w:hint="default" w:ascii="Times New Roman" w:hAnsi="Times New Roman" w:cs="Times New Roman" w:eastAsiaTheme="minorEastAsia"/>
                      <w:b/>
                      <w:bCs/>
                      <w:color w:val="auto"/>
                      <w:sz w:val="21"/>
                      <w:szCs w:val="21"/>
                      <w:u w:val="single"/>
                      <w:lang w:val="en-US" w:eastAsia="zh-CN"/>
                    </w:rPr>
                    <w:t>夜间</w:t>
                  </w:r>
                </w:p>
              </w:tc>
              <w:tc>
                <w:tcPr>
                  <w:tcW w:w="528" w:type="pct"/>
                  <w:vAlign w:val="center"/>
                </w:tcPr>
                <w:p w14:paraId="4D6BBB8B">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lang w:val="en-US" w:eastAsia="zh-CN"/>
                    </w:rPr>
                  </w:pPr>
                  <w:r>
                    <w:rPr>
                      <w:rFonts w:hint="default" w:ascii="Times New Roman" w:hAnsi="Times New Roman" w:cs="Times New Roman" w:eastAsiaTheme="minorEastAsia"/>
                      <w:b/>
                      <w:bCs/>
                      <w:color w:val="auto"/>
                      <w:sz w:val="21"/>
                      <w:szCs w:val="21"/>
                      <w:u w:val="single"/>
                      <w:lang w:val="en-US" w:eastAsia="zh-CN"/>
                    </w:rPr>
                    <w:t>昼间</w:t>
                  </w:r>
                </w:p>
              </w:tc>
              <w:tc>
                <w:tcPr>
                  <w:tcW w:w="536" w:type="pct"/>
                  <w:vAlign w:val="center"/>
                </w:tcPr>
                <w:p w14:paraId="1D88DFF9">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lang w:val="en-US" w:eastAsia="zh-CN"/>
                    </w:rPr>
                  </w:pPr>
                  <w:r>
                    <w:rPr>
                      <w:rFonts w:hint="default" w:ascii="Times New Roman" w:hAnsi="Times New Roman" w:cs="Times New Roman" w:eastAsiaTheme="minorEastAsia"/>
                      <w:b/>
                      <w:bCs/>
                      <w:color w:val="auto"/>
                      <w:sz w:val="21"/>
                      <w:szCs w:val="21"/>
                      <w:u w:val="single"/>
                      <w:lang w:val="en-US" w:eastAsia="zh-CN"/>
                    </w:rPr>
                    <w:t>夜间</w:t>
                  </w:r>
                </w:p>
              </w:tc>
              <w:tc>
                <w:tcPr>
                  <w:tcW w:w="1073" w:type="pct"/>
                  <w:vMerge w:val="continue"/>
                  <w:vAlign w:val="center"/>
                </w:tcPr>
                <w:p w14:paraId="4441B002">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rPr>
                  </w:pPr>
                </w:p>
              </w:tc>
            </w:tr>
            <w:tr w14:paraId="3EDF0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shd w:val="clear" w:color="auto" w:fill="auto"/>
                  <w:vAlign w:val="center"/>
                </w:tcPr>
                <w:p w14:paraId="0E393E8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kern w:val="2"/>
                      <w:sz w:val="21"/>
                      <w:szCs w:val="21"/>
                      <w:u w:val="single"/>
                      <w:lang w:val="en-US" w:eastAsia="zh-CN" w:bidi="ar-SA"/>
                    </w:rPr>
                  </w:pPr>
                  <w:r>
                    <w:rPr>
                      <w:rFonts w:hint="default" w:ascii="Times New Roman" w:hAnsi="Times New Roman" w:cs="Times New Roman" w:eastAsiaTheme="minorEastAsia"/>
                      <w:sz w:val="21"/>
                      <w:szCs w:val="21"/>
                      <w:u w:val="single"/>
                      <w:lang w:val="en-US" w:eastAsia="zh-CN"/>
                    </w:rPr>
                    <w:t>N1长安河上游</w:t>
                  </w:r>
                </w:p>
              </w:tc>
              <w:tc>
                <w:tcPr>
                  <w:tcW w:w="712" w:type="pct"/>
                  <w:vAlign w:val="center"/>
                </w:tcPr>
                <w:p w14:paraId="496E913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rPr>
                    <w:t>202</w:t>
                  </w:r>
                  <w:r>
                    <w:rPr>
                      <w:rFonts w:hint="default" w:ascii="Times New Roman" w:hAnsi="Times New Roman" w:cs="Times New Roman" w:eastAsiaTheme="minorEastAsia"/>
                      <w:color w:val="auto"/>
                      <w:sz w:val="21"/>
                      <w:szCs w:val="21"/>
                      <w:highlight w:val="none"/>
                      <w:u w:val="single"/>
                      <w:lang w:val="en-US" w:eastAsia="zh-CN"/>
                    </w:rPr>
                    <w:t>4.7.31</w:t>
                  </w:r>
                </w:p>
              </w:tc>
              <w:tc>
                <w:tcPr>
                  <w:tcW w:w="526" w:type="pct"/>
                  <w:vAlign w:val="center"/>
                </w:tcPr>
                <w:p w14:paraId="779341BF">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55</w:t>
                  </w:r>
                </w:p>
              </w:tc>
              <w:tc>
                <w:tcPr>
                  <w:tcW w:w="536" w:type="pct"/>
                  <w:vAlign w:val="center"/>
                </w:tcPr>
                <w:p w14:paraId="28C27CB3">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42</w:t>
                  </w:r>
                </w:p>
              </w:tc>
              <w:tc>
                <w:tcPr>
                  <w:tcW w:w="528" w:type="pct"/>
                  <w:vAlign w:val="center"/>
                </w:tcPr>
                <w:p w14:paraId="784F3D4F">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60</w:t>
                  </w:r>
                </w:p>
              </w:tc>
              <w:tc>
                <w:tcPr>
                  <w:tcW w:w="536" w:type="pct"/>
                  <w:vAlign w:val="center"/>
                </w:tcPr>
                <w:p w14:paraId="59D34BF4">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50</w:t>
                  </w:r>
                </w:p>
              </w:tc>
              <w:tc>
                <w:tcPr>
                  <w:tcW w:w="1073" w:type="pct"/>
                  <w:vAlign w:val="center"/>
                </w:tcPr>
                <w:p w14:paraId="74BAFF0D">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达标</w:t>
                  </w:r>
                </w:p>
              </w:tc>
            </w:tr>
            <w:tr w14:paraId="22AB4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shd w:val="clear" w:color="auto" w:fill="auto"/>
                  <w:vAlign w:val="center"/>
                </w:tcPr>
                <w:p w14:paraId="0D9E94D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kern w:val="2"/>
                      <w:sz w:val="21"/>
                      <w:szCs w:val="21"/>
                      <w:u w:val="single"/>
                      <w:lang w:val="en-US" w:eastAsia="zh-CN" w:bidi="ar-SA"/>
                    </w:rPr>
                  </w:pPr>
                  <w:r>
                    <w:rPr>
                      <w:rFonts w:hint="default" w:ascii="Times New Roman" w:hAnsi="Times New Roman" w:cs="Times New Roman" w:eastAsiaTheme="minorEastAsia"/>
                      <w:sz w:val="21"/>
                      <w:szCs w:val="21"/>
                      <w:u w:val="single"/>
                      <w:lang w:val="en-US" w:eastAsia="zh-CN"/>
                    </w:rPr>
                    <w:t>N2肖家畈</w:t>
                  </w:r>
                </w:p>
              </w:tc>
              <w:tc>
                <w:tcPr>
                  <w:tcW w:w="712" w:type="pct"/>
                  <w:vAlign w:val="center"/>
                </w:tcPr>
                <w:p w14:paraId="332486DB">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rPr>
                    <w:t>202</w:t>
                  </w:r>
                  <w:r>
                    <w:rPr>
                      <w:rFonts w:hint="default" w:ascii="Times New Roman" w:hAnsi="Times New Roman" w:cs="Times New Roman" w:eastAsiaTheme="minorEastAsia"/>
                      <w:color w:val="auto"/>
                      <w:sz w:val="21"/>
                      <w:szCs w:val="21"/>
                      <w:highlight w:val="none"/>
                      <w:u w:val="single"/>
                      <w:lang w:val="en-US" w:eastAsia="zh-CN"/>
                    </w:rPr>
                    <w:t>4.7.31</w:t>
                  </w:r>
                </w:p>
              </w:tc>
              <w:tc>
                <w:tcPr>
                  <w:tcW w:w="526" w:type="pct"/>
                  <w:vAlign w:val="center"/>
                </w:tcPr>
                <w:p w14:paraId="61B43146">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51</w:t>
                  </w:r>
                </w:p>
              </w:tc>
              <w:tc>
                <w:tcPr>
                  <w:tcW w:w="536" w:type="pct"/>
                  <w:vAlign w:val="center"/>
                </w:tcPr>
                <w:p w14:paraId="24B5EF3B">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45</w:t>
                  </w:r>
                </w:p>
              </w:tc>
              <w:tc>
                <w:tcPr>
                  <w:tcW w:w="528" w:type="pct"/>
                  <w:vAlign w:val="center"/>
                </w:tcPr>
                <w:p w14:paraId="43D9B755">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60</w:t>
                  </w:r>
                </w:p>
              </w:tc>
              <w:tc>
                <w:tcPr>
                  <w:tcW w:w="536" w:type="pct"/>
                  <w:vAlign w:val="center"/>
                </w:tcPr>
                <w:p w14:paraId="51C4629C">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50</w:t>
                  </w:r>
                </w:p>
              </w:tc>
              <w:tc>
                <w:tcPr>
                  <w:tcW w:w="1073" w:type="pct"/>
                  <w:vAlign w:val="center"/>
                </w:tcPr>
                <w:p w14:paraId="34269785">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达标</w:t>
                  </w:r>
                </w:p>
              </w:tc>
            </w:tr>
            <w:tr w14:paraId="3AAE3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shd w:val="clear" w:color="auto" w:fill="auto"/>
                  <w:vAlign w:val="center"/>
                </w:tcPr>
                <w:p w14:paraId="76FE519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kern w:val="2"/>
                      <w:sz w:val="21"/>
                      <w:szCs w:val="21"/>
                      <w:u w:val="single"/>
                      <w:lang w:val="en-US" w:eastAsia="zh-CN" w:bidi="ar-SA"/>
                    </w:rPr>
                  </w:pPr>
                  <w:r>
                    <w:rPr>
                      <w:rFonts w:hint="default" w:ascii="Times New Roman" w:hAnsi="Times New Roman" w:cs="Times New Roman" w:eastAsiaTheme="minorEastAsia"/>
                      <w:sz w:val="21"/>
                      <w:szCs w:val="21"/>
                      <w:u w:val="single"/>
                      <w:lang w:val="en-US" w:eastAsia="zh-CN"/>
                    </w:rPr>
                    <w:t>N3长安一品</w:t>
                  </w:r>
                </w:p>
              </w:tc>
              <w:tc>
                <w:tcPr>
                  <w:tcW w:w="712" w:type="pct"/>
                  <w:vAlign w:val="center"/>
                </w:tcPr>
                <w:p w14:paraId="20D6414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rPr>
                    <w:t>202</w:t>
                  </w:r>
                  <w:r>
                    <w:rPr>
                      <w:rFonts w:hint="default" w:ascii="Times New Roman" w:hAnsi="Times New Roman" w:cs="Times New Roman" w:eastAsiaTheme="minorEastAsia"/>
                      <w:color w:val="auto"/>
                      <w:sz w:val="21"/>
                      <w:szCs w:val="21"/>
                      <w:highlight w:val="none"/>
                      <w:u w:val="single"/>
                      <w:lang w:val="en-US" w:eastAsia="zh-CN"/>
                    </w:rPr>
                    <w:t>4.7.31</w:t>
                  </w:r>
                </w:p>
              </w:tc>
              <w:tc>
                <w:tcPr>
                  <w:tcW w:w="526" w:type="pct"/>
                  <w:vAlign w:val="center"/>
                </w:tcPr>
                <w:p w14:paraId="3B0C563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54</w:t>
                  </w:r>
                </w:p>
              </w:tc>
              <w:tc>
                <w:tcPr>
                  <w:tcW w:w="536" w:type="pct"/>
                  <w:vAlign w:val="center"/>
                </w:tcPr>
                <w:p w14:paraId="79E5A186">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44</w:t>
                  </w:r>
                </w:p>
              </w:tc>
              <w:tc>
                <w:tcPr>
                  <w:tcW w:w="528" w:type="pct"/>
                  <w:vAlign w:val="center"/>
                </w:tcPr>
                <w:p w14:paraId="36EDA1C9">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60</w:t>
                  </w:r>
                </w:p>
              </w:tc>
              <w:tc>
                <w:tcPr>
                  <w:tcW w:w="536" w:type="pct"/>
                  <w:vAlign w:val="center"/>
                </w:tcPr>
                <w:p w14:paraId="6B41766A">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50</w:t>
                  </w:r>
                </w:p>
              </w:tc>
              <w:tc>
                <w:tcPr>
                  <w:tcW w:w="1073" w:type="pct"/>
                  <w:vAlign w:val="center"/>
                </w:tcPr>
                <w:p w14:paraId="2807C8D2">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达标</w:t>
                  </w:r>
                </w:p>
              </w:tc>
            </w:tr>
            <w:tr w14:paraId="3F9D1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shd w:val="clear" w:color="auto" w:fill="auto"/>
                  <w:vAlign w:val="center"/>
                </w:tcPr>
                <w:p w14:paraId="6129DE7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kern w:val="2"/>
                      <w:sz w:val="21"/>
                      <w:szCs w:val="21"/>
                      <w:u w:val="single"/>
                      <w:lang w:val="en-US" w:eastAsia="zh-CN" w:bidi="ar-SA"/>
                    </w:rPr>
                  </w:pPr>
                  <w:r>
                    <w:rPr>
                      <w:rFonts w:hint="default" w:ascii="Times New Roman" w:hAnsi="Times New Roman" w:cs="Times New Roman" w:eastAsiaTheme="minorEastAsia"/>
                      <w:sz w:val="21"/>
                      <w:szCs w:val="21"/>
                      <w:u w:val="single"/>
                      <w:lang w:val="en-US" w:eastAsia="zh-CN"/>
                    </w:rPr>
                    <w:t>N4水产巷</w:t>
                  </w:r>
                </w:p>
              </w:tc>
              <w:tc>
                <w:tcPr>
                  <w:tcW w:w="712" w:type="pct"/>
                  <w:vAlign w:val="center"/>
                </w:tcPr>
                <w:p w14:paraId="1A2DC26D">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rPr>
                    <w:t>202</w:t>
                  </w:r>
                  <w:r>
                    <w:rPr>
                      <w:rFonts w:hint="default" w:ascii="Times New Roman" w:hAnsi="Times New Roman" w:cs="Times New Roman" w:eastAsiaTheme="minorEastAsia"/>
                      <w:color w:val="auto"/>
                      <w:sz w:val="21"/>
                      <w:szCs w:val="21"/>
                      <w:highlight w:val="none"/>
                      <w:u w:val="single"/>
                      <w:lang w:val="en-US" w:eastAsia="zh-CN"/>
                    </w:rPr>
                    <w:t>4.7.31</w:t>
                  </w:r>
                </w:p>
              </w:tc>
              <w:tc>
                <w:tcPr>
                  <w:tcW w:w="526" w:type="pct"/>
                  <w:vAlign w:val="center"/>
                </w:tcPr>
                <w:p w14:paraId="24C0421B">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54</w:t>
                  </w:r>
                </w:p>
              </w:tc>
              <w:tc>
                <w:tcPr>
                  <w:tcW w:w="536" w:type="pct"/>
                  <w:vAlign w:val="center"/>
                </w:tcPr>
                <w:p w14:paraId="1BDC317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46</w:t>
                  </w:r>
                </w:p>
              </w:tc>
              <w:tc>
                <w:tcPr>
                  <w:tcW w:w="528" w:type="pct"/>
                  <w:vAlign w:val="center"/>
                </w:tcPr>
                <w:p w14:paraId="12105BE8">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60</w:t>
                  </w:r>
                </w:p>
              </w:tc>
              <w:tc>
                <w:tcPr>
                  <w:tcW w:w="536" w:type="pct"/>
                  <w:vAlign w:val="center"/>
                </w:tcPr>
                <w:p w14:paraId="5A73721F">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50</w:t>
                  </w:r>
                </w:p>
              </w:tc>
              <w:tc>
                <w:tcPr>
                  <w:tcW w:w="1073" w:type="pct"/>
                  <w:vAlign w:val="center"/>
                </w:tcPr>
                <w:p w14:paraId="7A6F7295">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达标</w:t>
                  </w:r>
                </w:p>
              </w:tc>
            </w:tr>
            <w:tr w14:paraId="0FED9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shd w:val="clear" w:color="auto" w:fill="auto"/>
                  <w:vAlign w:val="center"/>
                </w:tcPr>
                <w:p w14:paraId="7971D02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kern w:val="2"/>
                      <w:sz w:val="21"/>
                      <w:szCs w:val="21"/>
                      <w:u w:val="single"/>
                      <w:lang w:val="en-US" w:eastAsia="zh-CN" w:bidi="ar-SA"/>
                    </w:rPr>
                  </w:pPr>
                  <w:r>
                    <w:rPr>
                      <w:rFonts w:hint="default" w:ascii="Times New Roman" w:hAnsi="Times New Roman" w:cs="Times New Roman" w:eastAsiaTheme="minorEastAsia"/>
                      <w:sz w:val="21"/>
                      <w:szCs w:val="21"/>
                      <w:u w:val="single"/>
                      <w:lang w:val="en-US" w:eastAsia="zh-CN"/>
                    </w:rPr>
                    <w:t>N5夏家巷</w:t>
                  </w:r>
                </w:p>
              </w:tc>
              <w:tc>
                <w:tcPr>
                  <w:tcW w:w="712" w:type="pct"/>
                  <w:vAlign w:val="center"/>
                </w:tcPr>
                <w:p w14:paraId="6CA337FA">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rPr>
                    <w:t>202</w:t>
                  </w:r>
                  <w:r>
                    <w:rPr>
                      <w:rFonts w:hint="default" w:ascii="Times New Roman" w:hAnsi="Times New Roman" w:cs="Times New Roman" w:eastAsiaTheme="minorEastAsia"/>
                      <w:color w:val="auto"/>
                      <w:sz w:val="21"/>
                      <w:szCs w:val="21"/>
                      <w:highlight w:val="none"/>
                      <w:u w:val="single"/>
                      <w:lang w:val="en-US" w:eastAsia="zh-CN"/>
                    </w:rPr>
                    <w:t>4.7.31</w:t>
                  </w:r>
                </w:p>
              </w:tc>
              <w:tc>
                <w:tcPr>
                  <w:tcW w:w="526" w:type="pct"/>
                  <w:vAlign w:val="center"/>
                </w:tcPr>
                <w:p w14:paraId="2FE65D91">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58</w:t>
                  </w:r>
                </w:p>
              </w:tc>
              <w:tc>
                <w:tcPr>
                  <w:tcW w:w="536" w:type="pct"/>
                  <w:vAlign w:val="center"/>
                </w:tcPr>
                <w:p w14:paraId="2AE2876F">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49</w:t>
                  </w:r>
                </w:p>
              </w:tc>
              <w:tc>
                <w:tcPr>
                  <w:tcW w:w="528" w:type="pct"/>
                  <w:vAlign w:val="center"/>
                </w:tcPr>
                <w:p w14:paraId="0CB6F5CC">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60</w:t>
                  </w:r>
                </w:p>
              </w:tc>
              <w:tc>
                <w:tcPr>
                  <w:tcW w:w="536" w:type="pct"/>
                  <w:vAlign w:val="center"/>
                </w:tcPr>
                <w:p w14:paraId="0E16F165">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50</w:t>
                  </w:r>
                </w:p>
              </w:tc>
              <w:tc>
                <w:tcPr>
                  <w:tcW w:w="1073" w:type="pct"/>
                  <w:vAlign w:val="center"/>
                </w:tcPr>
                <w:p w14:paraId="566FB18B">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达标</w:t>
                  </w:r>
                </w:p>
              </w:tc>
            </w:tr>
            <w:tr w14:paraId="0BD8E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shd w:val="clear" w:color="auto" w:fill="auto"/>
                  <w:vAlign w:val="center"/>
                </w:tcPr>
                <w:p w14:paraId="4DA25AE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kern w:val="2"/>
                      <w:sz w:val="21"/>
                      <w:szCs w:val="21"/>
                      <w:u w:val="single"/>
                      <w:lang w:val="en-US" w:eastAsia="zh-CN" w:bidi="ar-SA"/>
                    </w:rPr>
                  </w:pPr>
                  <w:r>
                    <w:rPr>
                      <w:rFonts w:hint="default" w:ascii="Times New Roman" w:hAnsi="Times New Roman" w:cs="Times New Roman" w:eastAsiaTheme="minorEastAsia"/>
                      <w:sz w:val="21"/>
                      <w:szCs w:val="21"/>
                      <w:u w:val="single"/>
                      <w:lang w:val="en-US" w:eastAsia="zh-CN"/>
                    </w:rPr>
                    <w:t>N6学院路</w:t>
                  </w:r>
                </w:p>
              </w:tc>
              <w:tc>
                <w:tcPr>
                  <w:tcW w:w="712" w:type="pct"/>
                  <w:vAlign w:val="center"/>
                </w:tcPr>
                <w:p w14:paraId="5159082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rPr>
                    <w:t>202</w:t>
                  </w:r>
                  <w:r>
                    <w:rPr>
                      <w:rFonts w:hint="default" w:ascii="Times New Roman" w:hAnsi="Times New Roman" w:cs="Times New Roman" w:eastAsiaTheme="minorEastAsia"/>
                      <w:color w:val="auto"/>
                      <w:sz w:val="21"/>
                      <w:szCs w:val="21"/>
                      <w:highlight w:val="none"/>
                      <w:u w:val="single"/>
                      <w:lang w:val="en-US" w:eastAsia="zh-CN"/>
                    </w:rPr>
                    <w:t>4.7.31</w:t>
                  </w:r>
                </w:p>
              </w:tc>
              <w:tc>
                <w:tcPr>
                  <w:tcW w:w="526" w:type="pct"/>
                  <w:vAlign w:val="center"/>
                </w:tcPr>
                <w:p w14:paraId="256220B8">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50</w:t>
                  </w:r>
                </w:p>
              </w:tc>
              <w:tc>
                <w:tcPr>
                  <w:tcW w:w="536" w:type="pct"/>
                  <w:vAlign w:val="center"/>
                </w:tcPr>
                <w:p w14:paraId="56F0ED5A">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44</w:t>
                  </w:r>
                </w:p>
              </w:tc>
              <w:tc>
                <w:tcPr>
                  <w:tcW w:w="528" w:type="pct"/>
                  <w:vAlign w:val="center"/>
                </w:tcPr>
                <w:p w14:paraId="64755D75">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60</w:t>
                  </w:r>
                </w:p>
              </w:tc>
              <w:tc>
                <w:tcPr>
                  <w:tcW w:w="536" w:type="pct"/>
                  <w:vAlign w:val="center"/>
                </w:tcPr>
                <w:p w14:paraId="1812EF9F">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50</w:t>
                  </w:r>
                </w:p>
              </w:tc>
              <w:tc>
                <w:tcPr>
                  <w:tcW w:w="1073" w:type="pct"/>
                  <w:vAlign w:val="center"/>
                </w:tcPr>
                <w:p w14:paraId="3C0C839E">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达标</w:t>
                  </w:r>
                </w:p>
              </w:tc>
            </w:tr>
            <w:tr w14:paraId="51918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7"/>
                  <w:shd w:val="clear" w:color="auto" w:fill="auto"/>
                  <w:vAlign w:val="center"/>
                </w:tcPr>
                <w:p w14:paraId="41C14A14">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r>
                    <w:rPr>
                      <w:rFonts w:hint="eastAsia" w:cs="Times New Roman" w:eastAsiaTheme="minorEastAsia"/>
                      <w:b/>
                      <w:bCs/>
                      <w:color w:val="auto"/>
                      <w:sz w:val="21"/>
                      <w:szCs w:val="21"/>
                      <w:u w:val="single"/>
                      <w:lang w:val="en-US" w:eastAsia="zh-CN"/>
                    </w:rPr>
                    <w:t>新建泵站附近补测数据</w:t>
                  </w:r>
                </w:p>
              </w:tc>
            </w:tr>
            <w:tr w14:paraId="644E3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vMerge w:val="restart"/>
                  <w:shd w:val="clear" w:color="auto" w:fill="auto"/>
                  <w:vAlign w:val="center"/>
                </w:tcPr>
                <w:p w14:paraId="62345DF4">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b/>
                      <w:bCs/>
                      <w:color w:val="auto"/>
                      <w:kern w:val="2"/>
                      <w:sz w:val="21"/>
                      <w:szCs w:val="21"/>
                      <w:u w:val="single"/>
                      <w:lang w:val="en-US" w:eastAsia="zh-CN" w:bidi="ar-SA"/>
                    </w:rPr>
                  </w:pPr>
                  <w:r>
                    <w:rPr>
                      <w:rFonts w:hint="default" w:ascii="Times New Roman" w:hAnsi="Times New Roman" w:cs="Times New Roman" w:eastAsiaTheme="minorEastAsia"/>
                      <w:b/>
                      <w:bCs/>
                      <w:color w:val="auto"/>
                      <w:sz w:val="21"/>
                      <w:szCs w:val="21"/>
                      <w:u w:val="single"/>
                    </w:rPr>
                    <w:t>采样点位</w:t>
                  </w:r>
                </w:p>
              </w:tc>
              <w:tc>
                <w:tcPr>
                  <w:tcW w:w="712" w:type="pct"/>
                  <w:vMerge w:val="restart"/>
                  <w:shd w:val="clear" w:color="auto" w:fill="auto"/>
                  <w:vAlign w:val="center"/>
                </w:tcPr>
                <w:p w14:paraId="7520B154">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b/>
                      <w:bCs/>
                      <w:color w:val="auto"/>
                      <w:kern w:val="2"/>
                      <w:sz w:val="21"/>
                      <w:szCs w:val="21"/>
                      <w:highlight w:val="none"/>
                      <w:u w:val="single"/>
                      <w:lang w:val="en-US" w:eastAsia="zh-CN" w:bidi="ar-SA"/>
                    </w:rPr>
                  </w:pPr>
                  <w:r>
                    <w:rPr>
                      <w:rFonts w:hint="default" w:ascii="Times New Roman" w:hAnsi="Times New Roman" w:cs="Times New Roman" w:eastAsiaTheme="minorEastAsia"/>
                      <w:b/>
                      <w:bCs/>
                      <w:color w:val="auto"/>
                      <w:sz w:val="21"/>
                      <w:szCs w:val="21"/>
                      <w:highlight w:val="none"/>
                      <w:u w:val="single"/>
                    </w:rPr>
                    <w:t>监测日期</w:t>
                  </w:r>
                </w:p>
              </w:tc>
              <w:tc>
                <w:tcPr>
                  <w:tcW w:w="1062" w:type="pct"/>
                  <w:gridSpan w:val="2"/>
                  <w:shd w:val="clear" w:color="auto" w:fill="auto"/>
                  <w:vAlign w:val="center"/>
                </w:tcPr>
                <w:p w14:paraId="4E672D43">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b/>
                      <w:bCs/>
                      <w:color w:val="auto"/>
                      <w:kern w:val="2"/>
                      <w:sz w:val="21"/>
                      <w:szCs w:val="21"/>
                      <w:u w:val="single"/>
                      <w:lang w:val="en-US" w:eastAsia="zh-CN" w:bidi="ar-SA"/>
                    </w:rPr>
                  </w:pPr>
                  <w:r>
                    <w:rPr>
                      <w:rFonts w:hint="default" w:ascii="Times New Roman" w:hAnsi="Times New Roman" w:cs="Times New Roman" w:eastAsiaTheme="minorEastAsia"/>
                      <w:b/>
                      <w:bCs/>
                      <w:color w:val="auto"/>
                      <w:sz w:val="21"/>
                      <w:szCs w:val="21"/>
                      <w:u w:val="single"/>
                    </w:rPr>
                    <w:t>监测结果</w:t>
                  </w:r>
                </w:p>
              </w:tc>
              <w:tc>
                <w:tcPr>
                  <w:tcW w:w="1064" w:type="pct"/>
                  <w:gridSpan w:val="2"/>
                  <w:shd w:val="clear" w:color="auto" w:fill="auto"/>
                  <w:vAlign w:val="center"/>
                </w:tcPr>
                <w:p w14:paraId="7976A2C9">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b/>
                      <w:bCs/>
                      <w:color w:val="auto"/>
                      <w:kern w:val="2"/>
                      <w:sz w:val="21"/>
                      <w:szCs w:val="21"/>
                      <w:u w:val="single"/>
                      <w:lang w:val="en-US" w:eastAsia="zh-CN" w:bidi="ar-SA"/>
                    </w:rPr>
                  </w:pPr>
                  <w:r>
                    <w:rPr>
                      <w:rFonts w:hint="default" w:ascii="Times New Roman" w:hAnsi="Times New Roman" w:cs="Times New Roman" w:eastAsiaTheme="minorEastAsia"/>
                      <w:b/>
                      <w:bCs/>
                      <w:color w:val="auto"/>
                      <w:sz w:val="21"/>
                      <w:szCs w:val="21"/>
                      <w:u w:val="single"/>
                      <w:lang w:val="en-US" w:eastAsia="zh-CN"/>
                    </w:rPr>
                    <w:t>标准限值</w:t>
                  </w:r>
                </w:p>
              </w:tc>
              <w:tc>
                <w:tcPr>
                  <w:tcW w:w="1073" w:type="pct"/>
                  <w:vMerge w:val="restart"/>
                  <w:shd w:val="clear" w:color="auto" w:fill="auto"/>
                  <w:vAlign w:val="center"/>
                </w:tcPr>
                <w:p w14:paraId="66CB405F">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b/>
                      <w:bCs/>
                      <w:color w:val="auto"/>
                      <w:kern w:val="2"/>
                      <w:sz w:val="21"/>
                      <w:szCs w:val="21"/>
                      <w:u w:val="single"/>
                      <w:lang w:val="en-US" w:eastAsia="zh-CN" w:bidi="ar-SA"/>
                    </w:rPr>
                  </w:pPr>
                  <w:r>
                    <w:rPr>
                      <w:rFonts w:hint="default" w:ascii="Times New Roman" w:hAnsi="Times New Roman" w:cs="Times New Roman" w:eastAsiaTheme="minorEastAsia"/>
                      <w:b/>
                      <w:bCs/>
                      <w:color w:val="auto"/>
                      <w:sz w:val="21"/>
                      <w:szCs w:val="21"/>
                      <w:u w:val="single"/>
                      <w:lang w:val="en-US" w:eastAsia="zh-CN"/>
                    </w:rPr>
                    <w:t>达标情况</w:t>
                  </w:r>
                </w:p>
              </w:tc>
            </w:tr>
            <w:tr w14:paraId="0E42F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vMerge w:val="continue"/>
                  <w:shd w:val="clear" w:color="auto" w:fill="auto"/>
                  <w:vAlign w:val="center"/>
                </w:tcPr>
                <w:p w14:paraId="3A7EFCD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sz w:val="21"/>
                      <w:szCs w:val="21"/>
                      <w:u w:val="single"/>
                      <w:lang w:val="en-US" w:eastAsia="zh-CN"/>
                    </w:rPr>
                  </w:pPr>
                </w:p>
              </w:tc>
              <w:tc>
                <w:tcPr>
                  <w:tcW w:w="712" w:type="pct"/>
                  <w:vMerge w:val="continue"/>
                  <w:vAlign w:val="center"/>
                </w:tcPr>
                <w:p w14:paraId="77E7DA5F">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highlight w:val="none"/>
                      <w:u w:val="single"/>
                    </w:rPr>
                  </w:pPr>
                </w:p>
              </w:tc>
              <w:tc>
                <w:tcPr>
                  <w:tcW w:w="526" w:type="pct"/>
                  <w:shd w:val="clear" w:color="auto" w:fill="auto"/>
                  <w:vAlign w:val="center"/>
                </w:tcPr>
                <w:p w14:paraId="1ACE1B03">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b/>
                      <w:bCs/>
                      <w:color w:val="auto"/>
                      <w:kern w:val="2"/>
                      <w:sz w:val="21"/>
                      <w:szCs w:val="21"/>
                      <w:u w:val="single"/>
                      <w:lang w:val="en-US" w:eastAsia="zh-CN" w:bidi="ar-SA"/>
                    </w:rPr>
                  </w:pPr>
                  <w:r>
                    <w:rPr>
                      <w:rFonts w:hint="default" w:ascii="Times New Roman" w:hAnsi="Times New Roman" w:cs="Times New Roman" w:eastAsiaTheme="minorEastAsia"/>
                      <w:b/>
                      <w:bCs/>
                      <w:color w:val="auto"/>
                      <w:sz w:val="21"/>
                      <w:szCs w:val="21"/>
                      <w:u w:val="single"/>
                      <w:lang w:val="en-US" w:eastAsia="zh-CN"/>
                    </w:rPr>
                    <w:t>昼间</w:t>
                  </w:r>
                </w:p>
              </w:tc>
              <w:tc>
                <w:tcPr>
                  <w:tcW w:w="536" w:type="pct"/>
                  <w:shd w:val="clear" w:color="auto" w:fill="auto"/>
                  <w:vAlign w:val="center"/>
                </w:tcPr>
                <w:p w14:paraId="1EED93B5">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b/>
                      <w:bCs/>
                      <w:color w:val="auto"/>
                      <w:kern w:val="2"/>
                      <w:sz w:val="21"/>
                      <w:szCs w:val="21"/>
                      <w:u w:val="single"/>
                      <w:lang w:val="en-US" w:eastAsia="zh-CN" w:bidi="ar-SA"/>
                    </w:rPr>
                  </w:pPr>
                  <w:r>
                    <w:rPr>
                      <w:rFonts w:hint="default" w:ascii="Times New Roman" w:hAnsi="Times New Roman" w:cs="Times New Roman" w:eastAsiaTheme="minorEastAsia"/>
                      <w:b/>
                      <w:bCs/>
                      <w:color w:val="auto"/>
                      <w:sz w:val="21"/>
                      <w:szCs w:val="21"/>
                      <w:u w:val="single"/>
                      <w:lang w:val="en-US" w:eastAsia="zh-CN"/>
                    </w:rPr>
                    <w:t>夜间</w:t>
                  </w:r>
                </w:p>
              </w:tc>
              <w:tc>
                <w:tcPr>
                  <w:tcW w:w="528" w:type="pct"/>
                  <w:shd w:val="clear" w:color="auto" w:fill="auto"/>
                  <w:vAlign w:val="center"/>
                </w:tcPr>
                <w:p w14:paraId="7BD45CAA">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b/>
                      <w:bCs/>
                      <w:color w:val="auto"/>
                      <w:kern w:val="2"/>
                      <w:sz w:val="21"/>
                      <w:szCs w:val="21"/>
                      <w:u w:val="single"/>
                      <w:lang w:val="en-US" w:eastAsia="zh-CN" w:bidi="ar-SA"/>
                    </w:rPr>
                  </w:pPr>
                  <w:r>
                    <w:rPr>
                      <w:rFonts w:hint="default" w:ascii="Times New Roman" w:hAnsi="Times New Roman" w:cs="Times New Roman" w:eastAsiaTheme="minorEastAsia"/>
                      <w:b/>
                      <w:bCs/>
                      <w:color w:val="auto"/>
                      <w:sz w:val="21"/>
                      <w:szCs w:val="21"/>
                      <w:u w:val="single"/>
                      <w:lang w:val="en-US" w:eastAsia="zh-CN"/>
                    </w:rPr>
                    <w:t>昼间</w:t>
                  </w:r>
                </w:p>
              </w:tc>
              <w:tc>
                <w:tcPr>
                  <w:tcW w:w="536" w:type="pct"/>
                  <w:shd w:val="clear" w:color="auto" w:fill="auto"/>
                  <w:vAlign w:val="center"/>
                </w:tcPr>
                <w:p w14:paraId="0C290BE6">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b/>
                      <w:bCs/>
                      <w:color w:val="auto"/>
                      <w:kern w:val="2"/>
                      <w:sz w:val="21"/>
                      <w:szCs w:val="21"/>
                      <w:u w:val="single"/>
                      <w:lang w:val="en-US" w:eastAsia="zh-CN" w:bidi="ar-SA"/>
                    </w:rPr>
                  </w:pPr>
                  <w:r>
                    <w:rPr>
                      <w:rFonts w:hint="default" w:ascii="Times New Roman" w:hAnsi="Times New Roman" w:cs="Times New Roman" w:eastAsiaTheme="minorEastAsia"/>
                      <w:b/>
                      <w:bCs/>
                      <w:color w:val="auto"/>
                      <w:sz w:val="21"/>
                      <w:szCs w:val="21"/>
                      <w:u w:val="single"/>
                      <w:lang w:val="en-US" w:eastAsia="zh-CN"/>
                    </w:rPr>
                    <w:t>夜间</w:t>
                  </w:r>
                </w:p>
              </w:tc>
              <w:tc>
                <w:tcPr>
                  <w:tcW w:w="1073" w:type="pct"/>
                  <w:vMerge w:val="continue"/>
                  <w:vAlign w:val="center"/>
                </w:tcPr>
                <w:p w14:paraId="74BC07D9">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color w:val="auto"/>
                      <w:sz w:val="21"/>
                      <w:szCs w:val="21"/>
                      <w:u w:val="single"/>
                      <w:lang w:val="en-US" w:eastAsia="zh-CN"/>
                    </w:rPr>
                  </w:pPr>
                </w:p>
              </w:tc>
            </w:tr>
            <w:tr w14:paraId="02CAC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vMerge w:val="restart"/>
                  <w:shd w:val="clear" w:color="auto" w:fill="auto"/>
                  <w:vAlign w:val="center"/>
                </w:tcPr>
                <w:p w14:paraId="34D3408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kern w:val="2"/>
                      <w:sz w:val="21"/>
                      <w:szCs w:val="21"/>
                      <w:u w:val="single"/>
                      <w:lang w:val="en-US" w:eastAsia="zh-CN" w:bidi="ar-SA"/>
                    </w:rPr>
                  </w:pPr>
                  <w:r>
                    <w:rPr>
                      <w:rFonts w:hint="default" w:ascii="Times New Roman" w:hAnsi="Times New Roman" w:cs="Times New Roman" w:eastAsiaTheme="minorEastAsia"/>
                      <w:kern w:val="2"/>
                      <w:sz w:val="21"/>
                      <w:szCs w:val="21"/>
                      <w:u w:val="single"/>
                      <w:lang w:val="en-US" w:eastAsia="zh-CN" w:bidi="ar-SA"/>
                    </w:rPr>
                    <w:t>N1 石咀村居民点</w:t>
                  </w:r>
                </w:p>
              </w:tc>
              <w:tc>
                <w:tcPr>
                  <w:tcW w:w="712" w:type="pct"/>
                  <w:shd w:val="clear" w:color="auto" w:fill="auto"/>
                  <w:vAlign w:val="center"/>
                </w:tcPr>
                <w:p w14:paraId="61C550DA">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kern w:val="2"/>
                      <w:sz w:val="21"/>
                      <w:szCs w:val="21"/>
                      <w:highlight w:val="none"/>
                      <w:u w:val="single"/>
                      <w:lang w:val="en-US" w:eastAsia="zh-CN" w:bidi="ar-SA"/>
                    </w:rPr>
                  </w:pPr>
                  <w:r>
                    <w:rPr>
                      <w:rFonts w:hint="default" w:ascii="Times New Roman" w:hAnsi="Times New Roman" w:cs="Times New Roman" w:eastAsiaTheme="minorEastAsia"/>
                      <w:color w:val="auto"/>
                      <w:sz w:val="21"/>
                      <w:szCs w:val="21"/>
                      <w:highlight w:val="none"/>
                      <w:u w:val="single"/>
                    </w:rPr>
                    <w:t>202</w:t>
                  </w:r>
                  <w:r>
                    <w:rPr>
                      <w:rFonts w:hint="default" w:ascii="Times New Roman" w:hAnsi="Times New Roman" w:cs="Times New Roman" w:eastAsiaTheme="minorEastAsia"/>
                      <w:color w:val="auto"/>
                      <w:sz w:val="21"/>
                      <w:szCs w:val="21"/>
                      <w:highlight w:val="none"/>
                      <w:u w:val="single"/>
                      <w:lang w:val="en-US" w:eastAsia="zh-CN"/>
                    </w:rPr>
                    <w:t>4.</w:t>
                  </w:r>
                  <w:r>
                    <w:rPr>
                      <w:rFonts w:hint="eastAsia" w:ascii="Times New Roman" w:hAnsi="Times New Roman" w:cs="Times New Roman" w:eastAsiaTheme="minorEastAsia"/>
                      <w:color w:val="auto"/>
                      <w:sz w:val="21"/>
                      <w:szCs w:val="21"/>
                      <w:highlight w:val="none"/>
                      <w:u w:val="single"/>
                      <w:lang w:val="en-US" w:eastAsia="zh-CN"/>
                    </w:rPr>
                    <w:t>11.20</w:t>
                  </w:r>
                </w:p>
              </w:tc>
              <w:tc>
                <w:tcPr>
                  <w:tcW w:w="526" w:type="pct"/>
                  <w:shd w:val="clear" w:color="auto" w:fill="auto"/>
                  <w:vAlign w:val="center"/>
                </w:tcPr>
                <w:p w14:paraId="1CEA5F98">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kern w:val="2"/>
                      <w:sz w:val="21"/>
                      <w:szCs w:val="21"/>
                      <w:u w:val="single"/>
                      <w:lang w:val="en-US" w:eastAsia="zh-CN" w:bidi="ar-SA"/>
                    </w:rPr>
                  </w:pPr>
                  <w:r>
                    <w:rPr>
                      <w:rFonts w:hint="eastAsia" w:ascii="Times New Roman" w:hAnsi="Times New Roman" w:cs="Times New Roman" w:eastAsiaTheme="minorEastAsia"/>
                      <w:color w:val="auto"/>
                      <w:kern w:val="2"/>
                      <w:sz w:val="21"/>
                      <w:szCs w:val="21"/>
                      <w:u w:val="single"/>
                      <w:lang w:val="en-US" w:eastAsia="zh-CN" w:bidi="ar-SA"/>
                    </w:rPr>
                    <w:t>54.4</w:t>
                  </w:r>
                </w:p>
              </w:tc>
              <w:tc>
                <w:tcPr>
                  <w:tcW w:w="536" w:type="pct"/>
                  <w:shd w:val="clear" w:color="auto" w:fill="auto"/>
                  <w:vAlign w:val="center"/>
                </w:tcPr>
                <w:p w14:paraId="10B6B3A7">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kern w:val="2"/>
                      <w:sz w:val="21"/>
                      <w:szCs w:val="21"/>
                      <w:u w:val="single"/>
                      <w:lang w:val="en-US" w:eastAsia="zh-CN" w:bidi="ar-SA"/>
                    </w:rPr>
                  </w:pPr>
                  <w:r>
                    <w:rPr>
                      <w:rFonts w:hint="eastAsia" w:ascii="Times New Roman" w:hAnsi="Times New Roman" w:cs="Times New Roman" w:eastAsiaTheme="minorEastAsia"/>
                      <w:color w:val="auto"/>
                      <w:sz w:val="21"/>
                      <w:szCs w:val="21"/>
                      <w:u w:val="single"/>
                      <w:lang w:val="en-US" w:eastAsia="zh-CN"/>
                    </w:rPr>
                    <w:t>41.4</w:t>
                  </w:r>
                </w:p>
              </w:tc>
              <w:tc>
                <w:tcPr>
                  <w:tcW w:w="528" w:type="pct"/>
                  <w:shd w:val="clear" w:color="auto" w:fill="auto"/>
                  <w:vAlign w:val="center"/>
                </w:tcPr>
                <w:p w14:paraId="36022D19">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kern w:val="2"/>
                      <w:sz w:val="21"/>
                      <w:szCs w:val="21"/>
                      <w:u w:val="single"/>
                      <w:lang w:val="en-US" w:eastAsia="zh-CN" w:bidi="ar-SA"/>
                    </w:rPr>
                  </w:pPr>
                  <w:r>
                    <w:rPr>
                      <w:rFonts w:hint="default" w:ascii="Times New Roman" w:hAnsi="Times New Roman" w:cs="Times New Roman" w:eastAsiaTheme="minorEastAsia"/>
                      <w:color w:val="auto"/>
                      <w:sz w:val="21"/>
                      <w:szCs w:val="21"/>
                      <w:u w:val="single"/>
                      <w:lang w:val="en-US" w:eastAsia="zh-CN"/>
                    </w:rPr>
                    <w:t>60</w:t>
                  </w:r>
                </w:p>
              </w:tc>
              <w:tc>
                <w:tcPr>
                  <w:tcW w:w="536" w:type="pct"/>
                  <w:shd w:val="clear" w:color="auto" w:fill="auto"/>
                  <w:vAlign w:val="center"/>
                </w:tcPr>
                <w:p w14:paraId="067AD3DD">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kern w:val="2"/>
                      <w:sz w:val="21"/>
                      <w:szCs w:val="21"/>
                      <w:u w:val="single"/>
                      <w:lang w:val="en-US" w:eastAsia="zh-CN" w:bidi="ar-SA"/>
                    </w:rPr>
                  </w:pPr>
                  <w:r>
                    <w:rPr>
                      <w:rFonts w:hint="default" w:ascii="Times New Roman" w:hAnsi="Times New Roman" w:cs="Times New Roman" w:eastAsiaTheme="minorEastAsia"/>
                      <w:color w:val="auto"/>
                      <w:sz w:val="21"/>
                      <w:szCs w:val="21"/>
                      <w:u w:val="single"/>
                      <w:lang w:val="en-US" w:eastAsia="zh-CN"/>
                    </w:rPr>
                    <w:t>50</w:t>
                  </w:r>
                </w:p>
              </w:tc>
              <w:tc>
                <w:tcPr>
                  <w:tcW w:w="1073" w:type="pct"/>
                  <w:shd w:val="clear" w:color="auto" w:fill="auto"/>
                  <w:vAlign w:val="center"/>
                </w:tcPr>
                <w:p w14:paraId="3EE75588">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kern w:val="2"/>
                      <w:sz w:val="21"/>
                      <w:szCs w:val="21"/>
                      <w:u w:val="single"/>
                      <w:lang w:val="en-US" w:eastAsia="zh-CN" w:bidi="ar-SA"/>
                    </w:rPr>
                  </w:pPr>
                  <w:r>
                    <w:rPr>
                      <w:rFonts w:hint="default" w:ascii="Times New Roman" w:hAnsi="Times New Roman" w:cs="Times New Roman" w:eastAsiaTheme="minorEastAsia"/>
                      <w:color w:val="auto"/>
                      <w:sz w:val="21"/>
                      <w:szCs w:val="21"/>
                      <w:u w:val="single"/>
                      <w:lang w:val="en-US" w:eastAsia="zh-CN"/>
                    </w:rPr>
                    <w:t>达标</w:t>
                  </w:r>
                </w:p>
              </w:tc>
            </w:tr>
            <w:tr w14:paraId="4170E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vMerge w:val="continue"/>
                  <w:shd w:val="clear" w:color="auto" w:fill="auto"/>
                  <w:vAlign w:val="center"/>
                </w:tcPr>
                <w:p w14:paraId="246071D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sz w:val="21"/>
                      <w:szCs w:val="21"/>
                      <w:u w:val="single"/>
                      <w:lang w:val="en-US" w:eastAsia="zh-CN"/>
                    </w:rPr>
                  </w:pPr>
                </w:p>
              </w:tc>
              <w:tc>
                <w:tcPr>
                  <w:tcW w:w="712" w:type="pct"/>
                  <w:shd w:val="clear" w:color="auto" w:fill="auto"/>
                  <w:vAlign w:val="center"/>
                </w:tcPr>
                <w:p w14:paraId="39616489">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highlight w:val="none"/>
                      <w:u w:val="single"/>
                      <w:lang w:val="en-US" w:eastAsia="zh-CN"/>
                    </w:rPr>
                  </w:pPr>
                  <w:r>
                    <w:rPr>
                      <w:rFonts w:hint="eastAsia" w:ascii="Times New Roman" w:hAnsi="Times New Roman" w:cs="Times New Roman" w:eastAsiaTheme="minorEastAsia"/>
                      <w:color w:val="auto"/>
                      <w:sz w:val="21"/>
                      <w:szCs w:val="21"/>
                      <w:highlight w:val="none"/>
                      <w:u w:val="single"/>
                      <w:lang w:val="en-US" w:eastAsia="zh-CN"/>
                    </w:rPr>
                    <w:t>2024.11.21</w:t>
                  </w:r>
                </w:p>
              </w:tc>
              <w:tc>
                <w:tcPr>
                  <w:tcW w:w="526" w:type="pct"/>
                  <w:shd w:val="clear" w:color="auto" w:fill="auto"/>
                  <w:vAlign w:val="center"/>
                </w:tcPr>
                <w:p w14:paraId="49FD7530">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eastAsia" w:ascii="Times New Roman" w:hAnsi="Times New Roman" w:cs="Times New Roman" w:eastAsiaTheme="minorEastAsia"/>
                      <w:color w:val="auto"/>
                      <w:sz w:val="21"/>
                      <w:szCs w:val="21"/>
                      <w:u w:val="single"/>
                      <w:lang w:val="en-US" w:eastAsia="zh-CN"/>
                    </w:rPr>
                    <w:t>54.6</w:t>
                  </w:r>
                </w:p>
              </w:tc>
              <w:tc>
                <w:tcPr>
                  <w:tcW w:w="536" w:type="pct"/>
                  <w:shd w:val="clear" w:color="auto" w:fill="auto"/>
                  <w:vAlign w:val="center"/>
                </w:tcPr>
                <w:p w14:paraId="5A32B116">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eastAsia" w:ascii="Times New Roman" w:hAnsi="Times New Roman" w:cs="Times New Roman" w:eastAsiaTheme="minorEastAsia"/>
                      <w:color w:val="auto"/>
                      <w:sz w:val="21"/>
                      <w:szCs w:val="21"/>
                      <w:u w:val="single"/>
                      <w:lang w:val="en-US" w:eastAsia="zh-CN"/>
                    </w:rPr>
                    <w:t>41.7</w:t>
                  </w:r>
                </w:p>
              </w:tc>
              <w:tc>
                <w:tcPr>
                  <w:tcW w:w="856" w:type="dxa"/>
                  <w:shd w:val="clear" w:color="auto" w:fill="auto"/>
                  <w:vAlign w:val="center"/>
                </w:tcPr>
                <w:p w14:paraId="2DC78275">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60</w:t>
                  </w:r>
                </w:p>
              </w:tc>
              <w:tc>
                <w:tcPr>
                  <w:tcW w:w="869" w:type="dxa"/>
                  <w:shd w:val="clear" w:color="auto" w:fill="auto"/>
                  <w:vAlign w:val="center"/>
                </w:tcPr>
                <w:p w14:paraId="4B641675">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50</w:t>
                  </w:r>
                </w:p>
              </w:tc>
              <w:tc>
                <w:tcPr>
                  <w:tcW w:w="1073" w:type="pct"/>
                  <w:shd w:val="clear" w:color="auto" w:fill="auto"/>
                  <w:vAlign w:val="center"/>
                </w:tcPr>
                <w:p w14:paraId="1FF1ACC7">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达标</w:t>
                  </w:r>
                </w:p>
              </w:tc>
            </w:tr>
            <w:tr w14:paraId="438CE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vMerge w:val="restart"/>
                  <w:shd w:val="clear" w:color="auto" w:fill="auto"/>
                  <w:vAlign w:val="center"/>
                </w:tcPr>
                <w:p w14:paraId="4FB207A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sz w:val="21"/>
                      <w:szCs w:val="21"/>
                      <w:u w:val="single"/>
                      <w:lang w:val="en-US" w:eastAsia="zh-CN"/>
                    </w:rPr>
                  </w:pPr>
                  <w:r>
                    <w:rPr>
                      <w:rFonts w:hint="default" w:ascii="Times New Roman" w:hAnsi="Times New Roman" w:cs="Times New Roman" w:eastAsiaTheme="minorEastAsia"/>
                      <w:kern w:val="2"/>
                      <w:sz w:val="21"/>
                      <w:szCs w:val="21"/>
                      <w:u w:val="single"/>
                      <w:lang w:val="en-US" w:eastAsia="zh-CN" w:bidi="ar-SA"/>
                    </w:rPr>
                    <w:t>N2 六中南侧附近居民点</w:t>
                  </w:r>
                </w:p>
              </w:tc>
              <w:tc>
                <w:tcPr>
                  <w:tcW w:w="712" w:type="pct"/>
                  <w:shd w:val="clear" w:color="auto" w:fill="auto"/>
                  <w:vAlign w:val="center"/>
                </w:tcPr>
                <w:p w14:paraId="3915A787">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kern w:val="2"/>
                      <w:sz w:val="21"/>
                      <w:szCs w:val="21"/>
                      <w:highlight w:val="none"/>
                      <w:u w:val="single"/>
                      <w:lang w:val="en-US" w:eastAsia="zh-CN" w:bidi="ar-SA"/>
                    </w:rPr>
                  </w:pPr>
                  <w:r>
                    <w:rPr>
                      <w:rFonts w:hint="default" w:ascii="Times New Roman" w:hAnsi="Times New Roman" w:cs="Times New Roman" w:eastAsiaTheme="minorEastAsia"/>
                      <w:color w:val="auto"/>
                      <w:sz w:val="21"/>
                      <w:szCs w:val="21"/>
                      <w:highlight w:val="none"/>
                      <w:u w:val="single"/>
                    </w:rPr>
                    <w:t>202</w:t>
                  </w:r>
                  <w:r>
                    <w:rPr>
                      <w:rFonts w:hint="default" w:ascii="Times New Roman" w:hAnsi="Times New Roman" w:cs="Times New Roman" w:eastAsiaTheme="minorEastAsia"/>
                      <w:color w:val="auto"/>
                      <w:sz w:val="21"/>
                      <w:szCs w:val="21"/>
                      <w:highlight w:val="none"/>
                      <w:u w:val="single"/>
                      <w:lang w:val="en-US" w:eastAsia="zh-CN"/>
                    </w:rPr>
                    <w:t>4.</w:t>
                  </w:r>
                  <w:r>
                    <w:rPr>
                      <w:rFonts w:hint="eastAsia" w:ascii="Times New Roman" w:hAnsi="Times New Roman" w:cs="Times New Roman" w:eastAsiaTheme="minorEastAsia"/>
                      <w:color w:val="auto"/>
                      <w:sz w:val="21"/>
                      <w:szCs w:val="21"/>
                      <w:highlight w:val="none"/>
                      <w:u w:val="single"/>
                      <w:lang w:val="en-US" w:eastAsia="zh-CN"/>
                    </w:rPr>
                    <w:t>11.20</w:t>
                  </w:r>
                </w:p>
              </w:tc>
              <w:tc>
                <w:tcPr>
                  <w:tcW w:w="526" w:type="pct"/>
                  <w:shd w:val="clear" w:color="auto" w:fill="auto"/>
                  <w:vAlign w:val="center"/>
                </w:tcPr>
                <w:p w14:paraId="723FFCE1">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kern w:val="2"/>
                      <w:sz w:val="21"/>
                      <w:szCs w:val="21"/>
                      <w:u w:val="single"/>
                      <w:lang w:val="en-US" w:eastAsia="zh-CN" w:bidi="ar-SA"/>
                    </w:rPr>
                  </w:pPr>
                  <w:r>
                    <w:rPr>
                      <w:rFonts w:hint="eastAsia" w:ascii="Times New Roman" w:hAnsi="Times New Roman" w:cs="Times New Roman" w:eastAsiaTheme="minorEastAsia"/>
                      <w:color w:val="auto"/>
                      <w:sz w:val="21"/>
                      <w:szCs w:val="21"/>
                      <w:u w:val="single"/>
                      <w:lang w:val="en-US" w:eastAsia="zh-CN"/>
                    </w:rPr>
                    <w:t>51.4</w:t>
                  </w:r>
                </w:p>
              </w:tc>
              <w:tc>
                <w:tcPr>
                  <w:tcW w:w="536" w:type="pct"/>
                  <w:shd w:val="clear" w:color="auto" w:fill="auto"/>
                  <w:vAlign w:val="center"/>
                </w:tcPr>
                <w:p w14:paraId="429A6769">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kern w:val="2"/>
                      <w:sz w:val="21"/>
                      <w:szCs w:val="21"/>
                      <w:u w:val="single"/>
                      <w:lang w:val="en-US" w:eastAsia="zh-CN" w:bidi="ar-SA"/>
                    </w:rPr>
                  </w:pPr>
                  <w:r>
                    <w:rPr>
                      <w:rFonts w:hint="eastAsia" w:ascii="Times New Roman" w:hAnsi="Times New Roman" w:cs="Times New Roman" w:eastAsiaTheme="minorEastAsia"/>
                      <w:color w:val="auto"/>
                      <w:sz w:val="21"/>
                      <w:szCs w:val="21"/>
                      <w:u w:val="single"/>
                      <w:lang w:val="en-US" w:eastAsia="zh-CN"/>
                    </w:rPr>
                    <w:t>41.4</w:t>
                  </w:r>
                </w:p>
              </w:tc>
              <w:tc>
                <w:tcPr>
                  <w:tcW w:w="856" w:type="dxa"/>
                  <w:shd w:val="clear" w:color="auto" w:fill="auto"/>
                  <w:vAlign w:val="center"/>
                </w:tcPr>
                <w:p w14:paraId="05829F81">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60</w:t>
                  </w:r>
                </w:p>
              </w:tc>
              <w:tc>
                <w:tcPr>
                  <w:tcW w:w="869" w:type="dxa"/>
                  <w:shd w:val="clear" w:color="auto" w:fill="auto"/>
                  <w:vAlign w:val="center"/>
                </w:tcPr>
                <w:p w14:paraId="017E5B0C">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50</w:t>
                  </w:r>
                </w:p>
              </w:tc>
              <w:tc>
                <w:tcPr>
                  <w:tcW w:w="1073" w:type="pct"/>
                  <w:shd w:val="clear" w:color="auto" w:fill="auto"/>
                  <w:vAlign w:val="center"/>
                </w:tcPr>
                <w:p w14:paraId="0B6F77CF">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达标</w:t>
                  </w:r>
                </w:p>
              </w:tc>
            </w:tr>
            <w:tr w14:paraId="0E4FD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7" w:type="pct"/>
                  <w:vMerge w:val="continue"/>
                  <w:shd w:val="clear" w:color="auto" w:fill="auto"/>
                  <w:vAlign w:val="center"/>
                </w:tcPr>
                <w:p w14:paraId="3D0711F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sz w:val="21"/>
                      <w:szCs w:val="21"/>
                      <w:u w:val="single"/>
                      <w:lang w:val="en-US" w:eastAsia="zh-CN"/>
                    </w:rPr>
                  </w:pPr>
                </w:p>
              </w:tc>
              <w:tc>
                <w:tcPr>
                  <w:tcW w:w="712" w:type="pct"/>
                  <w:shd w:val="clear" w:color="auto" w:fill="auto"/>
                  <w:vAlign w:val="center"/>
                </w:tcPr>
                <w:p w14:paraId="70A83165">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kern w:val="2"/>
                      <w:sz w:val="21"/>
                      <w:szCs w:val="21"/>
                      <w:highlight w:val="none"/>
                      <w:u w:val="single"/>
                      <w:lang w:val="en-US" w:eastAsia="zh-CN" w:bidi="ar-SA"/>
                    </w:rPr>
                  </w:pPr>
                  <w:r>
                    <w:rPr>
                      <w:rFonts w:hint="eastAsia" w:ascii="Times New Roman" w:hAnsi="Times New Roman" w:cs="Times New Roman" w:eastAsiaTheme="minorEastAsia"/>
                      <w:color w:val="auto"/>
                      <w:sz w:val="21"/>
                      <w:szCs w:val="21"/>
                      <w:highlight w:val="none"/>
                      <w:u w:val="single"/>
                      <w:lang w:val="en-US" w:eastAsia="zh-CN"/>
                    </w:rPr>
                    <w:t>2024.11.21</w:t>
                  </w:r>
                </w:p>
              </w:tc>
              <w:tc>
                <w:tcPr>
                  <w:tcW w:w="526" w:type="pct"/>
                  <w:shd w:val="clear" w:color="auto" w:fill="auto"/>
                  <w:vAlign w:val="center"/>
                </w:tcPr>
                <w:p w14:paraId="6879B5C8">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eastAsia" w:ascii="Times New Roman" w:hAnsi="Times New Roman" w:cs="Times New Roman" w:eastAsiaTheme="minorEastAsia"/>
                      <w:color w:val="auto"/>
                      <w:sz w:val="21"/>
                      <w:szCs w:val="21"/>
                      <w:u w:val="single"/>
                      <w:lang w:val="en-US" w:eastAsia="zh-CN"/>
                    </w:rPr>
                    <w:t>52.2</w:t>
                  </w:r>
                </w:p>
              </w:tc>
              <w:tc>
                <w:tcPr>
                  <w:tcW w:w="536" w:type="pct"/>
                  <w:shd w:val="clear" w:color="auto" w:fill="auto"/>
                  <w:vAlign w:val="center"/>
                </w:tcPr>
                <w:p w14:paraId="255CF3DE">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eastAsia" w:ascii="Times New Roman" w:hAnsi="Times New Roman" w:cs="Times New Roman" w:eastAsiaTheme="minorEastAsia"/>
                      <w:color w:val="auto"/>
                      <w:sz w:val="21"/>
                      <w:szCs w:val="21"/>
                      <w:u w:val="single"/>
                      <w:lang w:val="en-US" w:eastAsia="zh-CN"/>
                    </w:rPr>
                    <w:t>40.7</w:t>
                  </w:r>
                </w:p>
              </w:tc>
              <w:tc>
                <w:tcPr>
                  <w:tcW w:w="856" w:type="dxa"/>
                  <w:shd w:val="clear" w:color="auto" w:fill="auto"/>
                  <w:vAlign w:val="center"/>
                </w:tcPr>
                <w:p w14:paraId="709B1E5B">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60</w:t>
                  </w:r>
                </w:p>
              </w:tc>
              <w:tc>
                <w:tcPr>
                  <w:tcW w:w="869" w:type="dxa"/>
                  <w:shd w:val="clear" w:color="auto" w:fill="auto"/>
                  <w:vAlign w:val="center"/>
                </w:tcPr>
                <w:p w14:paraId="2D2C7934">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50</w:t>
                  </w:r>
                </w:p>
              </w:tc>
              <w:tc>
                <w:tcPr>
                  <w:tcW w:w="1073" w:type="pct"/>
                  <w:shd w:val="clear" w:color="auto" w:fill="auto"/>
                  <w:vAlign w:val="center"/>
                </w:tcPr>
                <w:p w14:paraId="2F865FD9">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达标</w:t>
                  </w:r>
                </w:p>
              </w:tc>
            </w:tr>
          </w:tbl>
          <w:p w14:paraId="2990A65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b/>
                <w:bCs/>
                <w:color w:val="auto"/>
                <w:sz w:val="24"/>
                <w:u w:val="none"/>
                <w:lang w:val="en-US" w:eastAsia="zh-CN"/>
              </w:rPr>
            </w:pPr>
            <w:r>
              <w:rPr>
                <w:rFonts w:hint="eastAsia" w:eastAsia="宋体"/>
                <w:color w:val="auto"/>
                <w:sz w:val="24"/>
                <w:szCs w:val="24"/>
              </w:rPr>
              <w:t>由</w:t>
            </w:r>
            <w:r>
              <w:rPr>
                <w:rFonts w:hint="eastAsia"/>
                <w:color w:val="auto"/>
                <w:sz w:val="24"/>
                <w:szCs w:val="24"/>
                <w:lang w:val="en-US" w:eastAsia="zh-CN"/>
              </w:rPr>
              <w:t>上表</w:t>
            </w:r>
            <w:r>
              <w:rPr>
                <w:rFonts w:hint="eastAsia" w:eastAsia="宋体"/>
                <w:color w:val="auto"/>
                <w:sz w:val="24"/>
                <w:szCs w:val="24"/>
              </w:rPr>
              <w:t>可知，</w:t>
            </w:r>
            <w:r>
              <w:rPr>
                <w:rFonts w:hint="eastAsia"/>
                <w:color w:val="auto"/>
                <w:sz w:val="24"/>
                <w:szCs w:val="24"/>
                <w:lang w:val="en-US" w:eastAsia="zh-CN"/>
              </w:rPr>
              <w:t>监测点位声环境均可</w:t>
            </w:r>
            <w:r>
              <w:rPr>
                <w:rFonts w:hint="eastAsia" w:eastAsia="宋体"/>
                <w:color w:val="auto"/>
                <w:sz w:val="24"/>
                <w:szCs w:val="24"/>
              </w:rPr>
              <w:t>满足《声环境质量标准》（GB3096-2008）中</w:t>
            </w:r>
            <w:r>
              <w:rPr>
                <w:rFonts w:hint="eastAsia"/>
                <w:color w:val="auto"/>
                <w:sz w:val="24"/>
                <w:szCs w:val="24"/>
                <w:lang w:val="en-US" w:eastAsia="zh-CN"/>
              </w:rPr>
              <w:t>的2类</w:t>
            </w:r>
            <w:r>
              <w:rPr>
                <w:rFonts w:hint="eastAsia" w:eastAsia="宋体"/>
                <w:color w:val="auto"/>
                <w:sz w:val="24"/>
                <w:szCs w:val="24"/>
              </w:rPr>
              <w:t>标准</w:t>
            </w:r>
            <w:r>
              <w:rPr>
                <w:rFonts w:hint="eastAsia"/>
                <w:color w:val="auto"/>
                <w:sz w:val="24"/>
                <w:szCs w:val="24"/>
                <w:lang w:eastAsia="zh-CN"/>
              </w:rPr>
              <w:t>，</w:t>
            </w:r>
            <w:r>
              <w:rPr>
                <w:rFonts w:hint="eastAsia"/>
                <w:color w:val="auto"/>
                <w:sz w:val="24"/>
                <w:szCs w:val="24"/>
                <w:lang w:val="en-US" w:eastAsia="zh-CN"/>
              </w:rPr>
              <w:t>项目区域声环境质量现状良好。</w:t>
            </w:r>
          </w:p>
          <w:p w14:paraId="427448EC">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auto"/>
                <w:kern w:val="0"/>
                <w:sz w:val="24"/>
                <w:u w:val="none"/>
              </w:rPr>
            </w:pPr>
            <w:r>
              <w:rPr>
                <w:rFonts w:hint="eastAsia" w:ascii="Times New Roman" w:hAnsi="Times New Roman"/>
                <w:b/>
                <w:bCs/>
                <w:color w:val="auto"/>
                <w:sz w:val="24"/>
                <w:u w:val="none"/>
                <w:lang w:val="en-US" w:eastAsia="zh-CN"/>
              </w:rPr>
              <w:t>5</w:t>
            </w:r>
            <w:r>
              <w:rPr>
                <w:rFonts w:hint="eastAsia" w:ascii="Times New Roman" w:hAnsi="Times New Roman"/>
                <w:b/>
                <w:bCs/>
                <w:color w:val="auto"/>
                <w:sz w:val="24"/>
                <w:u w:val="none"/>
              </w:rPr>
              <w:t>、</w:t>
            </w:r>
            <w:r>
              <w:rPr>
                <w:rFonts w:hint="eastAsia"/>
                <w:b/>
                <w:bCs/>
                <w:color w:val="auto"/>
                <w:kern w:val="0"/>
                <w:sz w:val="24"/>
                <w:u w:val="none"/>
                <w:lang w:val="en-US" w:eastAsia="zh-CN"/>
              </w:rPr>
              <w:t>地下水</w:t>
            </w:r>
            <w:r>
              <w:rPr>
                <w:rFonts w:hint="default"/>
                <w:b/>
                <w:bCs/>
                <w:color w:val="auto"/>
                <w:kern w:val="0"/>
                <w:sz w:val="24"/>
                <w:u w:val="none"/>
              </w:rPr>
              <w:t>现状调查与评价</w:t>
            </w:r>
          </w:p>
          <w:p w14:paraId="708A1D4A">
            <w:pPr>
              <w:keepNext w:val="0"/>
              <w:keepLines w:val="0"/>
              <w:suppressLineNumbers w:val="0"/>
              <w:adjustRightInd w:val="0"/>
              <w:snapToGrid w:val="0"/>
              <w:spacing w:before="0" w:beforeAutospacing="0" w:after="0" w:afterAutospacing="0" w:line="360" w:lineRule="auto"/>
              <w:ind w:left="0" w:right="0" w:firstLine="480" w:firstLineChars="200"/>
              <w:rPr>
                <w:rFonts w:hint="eastAsia"/>
                <w:color w:val="auto"/>
                <w:sz w:val="24"/>
                <w:u w:val="none"/>
                <w:lang w:eastAsia="zh-CN"/>
              </w:rPr>
            </w:pPr>
            <w:r>
              <w:rPr>
                <w:rFonts w:hint="eastAsia" w:ascii="Times New Roman" w:hAnsi="Times New Roman"/>
                <w:color w:val="auto"/>
                <w:sz w:val="24"/>
                <w:u w:val="none"/>
              </w:rPr>
              <w:t>根据《建设项目环境影响报告表编制技术指南》</w:t>
            </w:r>
            <w:r>
              <w:rPr>
                <w:rFonts w:hint="eastAsia"/>
                <w:color w:val="auto"/>
                <w:sz w:val="24"/>
                <w:u w:val="none"/>
                <w:lang w:eastAsia="zh-CN"/>
              </w:rPr>
              <w:t>（</w:t>
            </w:r>
            <w:r>
              <w:rPr>
                <w:rFonts w:hint="eastAsia"/>
                <w:color w:val="auto"/>
                <w:sz w:val="24"/>
                <w:u w:val="none"/>
                <w:lang w:val="en-US" w:eastAsia="zh-CN"/>
              </w:rPr>
              <w:t>生态影响类</w:t>
            </w:r>
            <w:r>
              <w:rPr>
                <w:rFonts w:hint="eastAsia"/>
                <w:color w:val="auto"/>
                <w:sz w:val="24"/>
                <w:u w:val="none"/>
                <w:lang w:eastAsia="zh-CN"/>
              </w:rPr>
              <w:t>）（</w:t>
            </w:r>
            <w:r>
              <w:rPr>
                <w:rFonts w:hint="eastAsia" w:ascii="Times New Roman" w:hAnsi="Times New Roman"/>
                <w:color w:val="auto"/>
                <w:sz w:val="24"/>
                <w:u w:val="none"/>
              </w:rPr>
              <w:t>试行</w:t>
            </w:r>
            <w:r>
              <w:rPr>
                <w:rFonts w:hint="eastAsia"/>
                <w:color w:val="auto"/>
                <w:sz w:val="24"/>
                <w:u w:val="none"/>
                <w:lang w:eastAsia="zh-CN"/>
              </w:rPr>
              <w:t>）</w:t>
            </w:r>
            <w:r>
              <w:rPr>
                <w:rFonts w:hint="eastAsia" w:ascii="宋体" w:hAnsi="宋体" w:cs="宋体"/>
                <w:sz w:val="24"/>
                <w:szCs w:val="24"/>
                <w:lang w:val="en-US" w:eastAsia="zh-CN"/>
              </w:rPr>
              <w:t>地下水</w:t>
            </w:r>
            <w:r>
              <w:rPr>
                <w:rFonts w:hint="default" w:ascii="宋体" w:hAnsi="宋体" w:eastAsia="宋体" w:cs="宋体"/>
                <w:sz w:val="24"/>
                <w:szCs w:val="24"/>
              </w:rPr>
              <w:t>参照环境影响评价相关技术导则开展补充监</w:t>
            </w:r>
            <w:r>
              <w:rPr>
                <w:rFonts w:hint="default" w:ascii="宋体" w:hAnsi="宋体" w:eastAsia="宋体" w:cs="宋体"/>
                <w:color w:val="auto"/>
                <w:sz w:val="24"/>
                <w:szCs w:val="24"/>
              </w:rPr>
              <w:t>测和调查</w:t>
            </w:r>
            <w:r>
              <w:rPr>
                <w:rFonts w:hint="eastAsia" w:ascii="宋体" w:hAnsi="宋体" w:eastAsia="宋体" w:cs="宋体"/>
                <w:color w:val="auto"/>
                <w:sz w:val="24"/>
                <w:szCs w:val="24"/>
                <w:lang w:eastAsia="zh-CN"/>
              </w:rPr>
              <w:t>，</w:t>
            </w:r>
            <w:r>
              <w:rPr>
                <w:rFonts w:hint="eastAsia" w:ascii="Times New Roman" w:hAnsi="Times New Roman"/>
                <w:color w:val="auto"/>
                <w:sz w:val="24"/>
                <w:u w:val="none"/>
              </w:rPr>
              <w:t>根据《环境影响评价技术导则-</w:t>
            </w:r>
            <w:r>
              <w:rPr>
                <w:rFonts w:hint="eastAsia"/>
                <w:color w:val="auto"/>
                <w:sz w:val="24"/>
                <w:u w:val="none"/>
                <w:lang w:val="en-US" w:eastAsia="zh-CN"/>
              </w:rPr>
              <w:t>地下水</w:t>
            </w:r>
            <w:r>
              <w:rPr>
                <w:rFonts w:hint="eastAsia" w:ascii="Times New Roman" w:hAnsi="Times New Roman"/>
                <w:color w:val="auto"/>
                <w:sz w:val="24"/>
                <w:u w:val="none"/>
              </w:rPr>
              <w:t>环境》</w:t>
            </w:r>
            <w:r>
              <w:rPr>
                <w:rFonts w:hint="eastAsia"/>
                <w:color w:val="auto"/>
                <w:sz w:val="24"/>
                <w:u w:val="none"/>
                <w:lang w:eastAsia="zh-CN"/>
              </w:rPr>
              <w:t>（</w:t>
            </w:r>
            <w:r>
              <w:rPr>
                <w:rFonts w:hint="eastAsia" w:ascii="Times New Roman" w:hAnsi="Times New Roman"/>
                <w:color w:val="auto"/>
                <w:sz w:val="24"/>
                <w:u w:val="none"/>
              </w:rPr>
              <w:t>HJ</w:t>
            </w:r>
            <w:r>
              <w:rPr>
                <w:rFonts w:hint="eastAsia"/>
                <w:color w:val="auto"/>
                <w:sz w:val="24"/>
                <w:u w:val="none"/>
                <w:lang w:val="en-US" w:eastAsia="zh-CN"/>
              </w:rPr>
              <w:t>610</w:t>
            </w:r>
            <w:r>
              <w:rPr>
                <w:rFonts w:hint="eastAsia" w:ascii="Times New Roman" w:hAnsi="Times New Roman"/>
                <w:color w:val="auto"/>
                <w:sz w:val="24"/>
                <w:u w:val="none"/>
              </w:rPr>
              <w:t>-201</w:t>
            </w:r>
            <w:r>
              <w:rPr>
                <w:rFonts w:hint="eastAsia"/>
                <w:color w:val="auto"/>
                <w:sz w:val="24"/>
                <w:u w:val="none"/>
                <w:lang w:val="en-US" w:eastAsia="zh-CN"/>
              </w:rPr>
              <w:t>6</w:t>
            </w:r>
            <w:r>
              <w:rPr>
                <w:rFonts w:hint="eastAsia"/>
                <w:color w:val="auto"/>
                <w:sz w:val="24"/>
                <w:u w:val="none"/>
                <w:lang w:eastAsia="zh-CN"/>
              </w:rPr>
              <w:t>）</w:t>
            </w:r>
            <w:r>
              <w:rPr>
                <w:rFonts w:hint="eastAsia"/>
                <w:color w:val="auto"/>
                <w:sz w:val="24"/>
                <w:u w:val="none"/>
                <w:lang w:val="en-US" w:eastAsia="zh-CN"/>
              </w:rPr>
              <w:t>附录A，</w:t>
            </w:r>
            <w:r>
              <w:rPr>
                <w:rFonts w:hint="eastAsia" w:ascii="Times New Roman" w:hAnsi="Times New Roman"/>
                <w:color w:val="auto"/>
                <w:sz w:val="24"/>
                <w:u w:val="none"/>
              </w:rPr>
              <w:t>本项目属于“A水利-</w:t>
            </w:r>
            <w:r>
              <w:rPr>
                <w:rFonts w:hint="eastAsia"/>
                <w:color w:val="auto"/>
                <w:sz w:val="24"/>
                <w:u w:val="none"/>
                <w:lang w:val="en-US" w:eastAsia="zh-CN"/>
              </w:rPr>
              <w:t>4、防洪治涝工程及</w:t>
            </w:r>
            <w:r>
              <w:rPr>
                <w:rFonts w:hint="eastAsia" w:ascii="Times New Roman" w:hAnsi="Times New Roman"/>
                <w:color w:val="auto"/>
                <w:sz w:val="24"/>
                <w:u w:val="none"/>
              </w:rPr>
              <w:t>5、河湖整治工程”中的“其他”类别，属于地下水环境影响评价项目类别IV类项目，则本项目可不开展地下水环境影响评价</w:t>
            </w:r>
            <w:r>
              <w:rPr>
                <w:rFonts w:hint="eastAsia"/>
                <w:color w:val="auto"/>
                <w:sz w:val="24"/>
                <w:u w:val="none"/>
                <w:lang w:eastAsia="zh-CN"/>
              </w:rPr>
              <w:t>。</w:t>
            </w:r>
          </w:p>
          <w:p w14:paraId="06811387">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u w:val="none"/>
                <w:lang w:val="en-US" w:eastAsia="zh-CN"/>
              </w:rPr>
            </w:pPr>
            <w:r>
              <w:rPr>
                <w:rFonts w:hint="eastAsia"/>
                <w:color w:val="auto"/>
                <w:sz w:val="24"/>
                <w:u w:val="none"/>
                <w:lang w:val="en-US" w:eastAsia="zh-CN"/>
              </w:rPr>
              <w:t>但是考虑到项目</w:t>
            </w:r>
          </w:p>
          <w:p w14:paraId="3ABBEEDA">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auto"/>
                <w:kern w:val="0"/>
                <w:sz w:val="24"/>
                <w:u w:val="none"/>
              </w:rPr>
            </w:pPr>
            <w:r>
              <w:rPr>
                <w:rFonts w:hint="eastAsia"/>
                <w:b/>
                <w:bCs/>
                <w:color w:val="auto"/>
                <w:sz w:val="24"/>
                <w:u w:val="none"/>
                <w:lang w:val="en-US" w:eastAsia="zh-CN"/>
              </w:rPr>
              <w:t>6</w:t>
            </w:r>
            <w:r>
              <w:rPr>
                <w:rFonts w:hint="eastAsia" w:ascii="Times New Roman" w:hAnsi="Times New Roman"/>
                <w:b/>
                <w:bCs/>
                <w:color w:val="auto"/>
                <w:sz w:val="24"/>
                <w:u w:val="none"/>
              </w:rPr>
              <w:t>、</w:t>
            </w:r>
            <w:r>
              <w:rPr>
                <w:rFonts w:hint="default"/>
                <w:b/>
                <w:bCs/>
                <w:color w:val="auto"/>
                <w:kern w:val="0"/>
                <w:sz w:val="24"/>
                <w:u w:val="none"/>
              </w:rPr>
              <w:t>土壤现状调查与评价</w:t>
            </w:r>
          </w:p>
          <w:p w14:paraId="58E0D9B8">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olor w:val="0000FF"/>
                <w:sz w:val="24"/>
                <w:u w:val="none"/>
                <w:lang w:val="en-US" w:eastAsia="zh-CN"/>
              </w:rPr>
            </w:pPr>
            <w:r>
              <w:rPr>
                <w:rFonts w:hint="eastAsia" w:ascii="Times New Roman" w:hAnsi="Times New Roman"/>
                <w:color w:val="auto"/>
                <w:sz w:val="24"/>
                <w:u w:val="single"/>
              </w:rPr>
              <w:t>根据《建设项目环境影响报告表编制技术指南》</w:t>
            </w:r>
            <w:r>
              <w:rPr>
                <w:rFonts w:hint="eastAsia"/>
                <w:color w:val="auto"/>
                <w:sz w:val="24"/>
                <w:u w:val="single"/>
                <w:lang w:eastAsia="zh-CN"/>
              </w:rPr>
              <w:t>（</w:t>
            </w:r>
            <w:r>
              <w:rPr>
                <w:rFonts w:hint="eastAsia"/>
                <w:color w:val="auto"/>
                <w:sz w:val="24"/>
                <w:u w:val="single"/>
                <w:lang w:val="en-US" w:eastAsia="zh-CN"/>
              </w:rPr>
              <w:t>生态影响类</w:t>
            </w:r>
            <w:r>
              <w:rPr>
                <w:rFonts w:hint="eastAsia"/>
                <w:color w:val="auto"/>
                <w:sz w:val="24"/>
                <w:u w:val="single"/>
                <w:lang w:eastAsia="zh-CN"/>
              </w:rPr>
              <w:t>）（</w:t>
            </w:r>
            <w:r>
              <w:rPr>
                <w:rFonts w:hint="eastAsia" w:ascii="Times New Roman" w:hAnsi="Times New Roman"/>
                <w:color w:val="auto"/>
                <w:sz w:val="24"/>
                <w:u w:val="single"/>
              </w:rPr>
              <w:t>试行</w:t>
            </w:r>
            <w:r>
              <w:rPr>
                <w:rFonts w:hint="eastAsia"/>
                <w:color w:val="auto"/>
                <w:sz w:val="24"/>
                <w:u w:val="single"/>
                <w:lang w:eastAsia="zh-CN"/>
              </w:rPr>
              <w:t>）</w:t>
            </w:r>
            <w:r>
              <w:rPr>
                <w:rFonts w:hint="default" w:ascii="宋体" w:hAnsi="宋体" w:eastAsia="宋体" w:cs="宋体"/>
                <w:sz w:val="24"/>
                <w:szCs w:val="24"/>
                <w:u w:val="single"/>
              </w:rPr>
              <w:t>土壤参照环境影响评价相关技术导则开展补充监测和调查</w:t>
            </w:r>
            <w:r>
              <w:rPr>
                <w:rFonts w:hint="eastAsia" w:ascii="宋体" w:hAnsi="宋体" w:eastAsia="宋体" w:cs="宋体"/>
                <w:sz w:val="24"/>
                <w:szCs w:val="24"/>
                <w:u w:val="single"/>
                <w:lang w:eastAsia="zh-CN"/>
              </w:rPr>
              <w:t>，</w:t>
            </w:r>
            <w:r>
              <w:rPr>
                <w:rFonts w:hint="eastAsia" w:ascii="Times New Roman" w:hAnsi="Times New Roman"/>
                <w:color w:val="auto"/>
                <w:sz w:val="24"/>
                <w:u w:val="single"/>
              </w:rPr>
              <w:t>根据《环境影响评价技术导则-</w:t>
            </w:r>
            <w:r>
              <w:rPr>
                <w:rFonts w:hint="eastAsia"/>
                <w:color w:val="auto"/>
                <w:sz w:val="24"/>
                <w:u w:val="single"/>
                <w:lang w:val="en-US" w:eastAsia="zh-CN"/>
              </w:rPr>
              <w:t>土壤</w:t>
            </w:r>
            <w:r>
              <w:rPr>
                <w:rFonts w:hint="eastAsia" w:ascii="Times New Roman" w:hAnsi="Times New Roman"/>
                <w:color w:val="auto"/>
                <w:sz w:val="24"/>
                <w:u w:val="single"/>
              </w:rPr>
              <w:t>环境》(HJ</w:t>
            </w:r>
            <w:r>
              <w:rPr>
                <w:rFonts w:hint="eastAsia"/>
                <w:color w:val="auto"/>
                <w:sz w:val="24"/>
                <w:u w:val="single"/>
                <w:lang w:val="en-US" w:eastAsia="zh-CN"/>
              </w:rPr>
              <w:t>964</w:t>
            </w:r>
            <w:r>
              <w:rPr>
                <w:rFonts w:hint="eastAsia" w:ascii="Times New Roman" w:hAnsi="Times New Roman"/>
                <w:color w:val="auto"/>
                <w:sz w:val="24"/>
                <w:u w:val="single"/>
              </w:rPr>
              <w:t>-201</w:t>
            </w:r>
            <w:r>
              <w:rPr>
                <w:rFonts w:hint="eastAsia"/>
                <w:color w:val="auto"/>
                <w:sz w:val="24"/>
                <w:u w:val="single"/>
                <w:lang w:val="en-US" w:eastAsia="zh-CN"/>
              </w:rPr>
              <w:t>8</w:t>
            </w:r>
            <w:r>
              <w:rPr>
                <w:rFonts w:hint="eastAsia" w:ascii="Times New Roman" w:hAnsi="Times New Roman"/>
                <w:color w:val="auto"/>
                <w:sz w:val="24"/>
                <w:u w:val="single"/>
              </w:rPr>
              <w:t>)附录A</w:t>
            </w:r>
            <w:r>
              <w:rPr>
                <w:rFonts w:hint="eastAsia"/>
                <w:color w:val="auto"/>
                <w:sz w:val="24"/>
                <w:u w:val="single"/>
                <w:lang w:val="en-US" w:eastAsia="zh-CN"/>
              </w:rPr>
              <w:t>土壤</w:t>
            </w:r>
            <w:r>
              <w:rPr>
                <w:rFonts w:hint="eastAsia" w:ascii="Times New Roman" w:hAnsi="Times New Roman"/>
                <w:color w:val="auto"/>
                <w:sz w:val="24"/>
                <w:u w:val="single"/>
              </w:rPr>
              <w:t>环境影响评价行业分类表，本项目属于“水利-</w:t>
            </w:r>
            <w:r>
              <w:rPr>
                <w:rFonts w:hint="eastAsia"/>
                <w:color w:val="auto"/>
                <w:sz w:val="24"/>
                <w:u w:val="single"/>
                <w:lang w:val="en-US" w:eastAsia="zh-CN"/>
              </w:rPr>
              <w:t>其他</w:t>
            </w:r>
            <w:r>
              <w:rPr>
                <w:rFonts w:hint="eastAsia" w:ascii="Times New Roman" w:hAnsi="Times New Roman"/>
                <w:color w:val="auto"/>
                <w:sz w:val="24"/>
                <w:u w:val="single"/>
              </w:rPr>
              <w:t>”类别，</w:t>
            </w:r>
            <w:r>
              <w:rPr>
                <w:rFonts w:hint="eastAsia"/>
                <w:color w:val="auto"/>
                <w:sz w:val="24"/>
                <w:u w:val="single"/>
                <w:lang w:val="en-US" w:eastAsia="zh-CN"/>
              </w:rPr>
              <w:t>根据</w:t>
            </w:r>
            <w:r>
              <w:rPr>
                <w:rFonts w:hint="eastAsia" w:cs="Times New Roman"/>
                <w:color w:val="auto"/>
                <w:sz w:val="24"/>
                <w:u w:val="single"/>
                <w:lang w:val="en-US" w:eastAsia="zh-CN"/>
              </w:rPr>
              <w:t>2024年11月20日委托湖南聚鸿环保科技有限公司对长安河、师家河两个点位补测的底泥，检测结果如下表：</w:t>
            </w:r>
          </w:p>
          <w:p w14:paraId="646F0022">
            <w:pPr>
              <w:pStyle w:val="80"/>
              <w:keepNext w:val="0"/>
              <w:keepLines w:val="0"/>
              <w:numPr>
                <w:ilvl w:val="0"/>
                <w:numId w:val="0"/>
              </w:numPr>
              <w:suppressLineNumbers w:val="0"/>
              <w:spacing w:before="0" w:beforeLines="0" w:beforeAutospacing="0" w:after="0" w:afterAutospacing="0" w:line="360" w:lineRule="exact"/>
              <w:ind w:left="0" w:leftChars="0" w:right="0"/>
              <w:rPr>
                <w:rFonts w:hint="default" w:ascii="Times New Roman" w:hAnsi="Times New Roman" w:eastAsia="宋体" w:cs="Times New Roman"/>
                <w:color w:val="auto"/>
                <w:sz w:val="21"/>
                <w:szCs w:val="21"/>
                <w:u w:val="single"/>
                <w:lang w:val="en-US" w:eastAsia="zh-CN"/>
              </w:rPr>
            </w:pPr>
            <w:r>
              <w:rPr>
                <w:rFonts w:hint="eastAsia" w:ascii="Times New Roman" w:hAnsi="Times New Roman" w:cs="Times New Roman"/>
                <w:color w:val="auto"/>
                <w:sz w:val="21"/>
                <w:szCs w:val="21"/>
                <w:u w:val="single"/>
                <w:lang w:eastAsia="zh-CN"/>
              </w:rPr>
              <w:t>表</w:t>
            </w:r>
            <w:r>
              <w:rPr>
                <w:rFonts w:hint="eastAsia" w:ascii="Times New Roman" w:hAnsi="Times New Roman" w:cs="Times New Roman"/>
                <w:color w:val="auto"/>
                <w:sz w:val="21"/>
                <w:szCs w:val="21"/>
                <w:u w:val="single"/>
                <w:lang w:val="en-US" w:eastAsia="zh-CN"/>
              </w:rPr>
              <w:t>3-</w:t>
            </w:r>
            <w:r>
              <w:rPr>
                <w:rFonts w:hint="eastAsia" w:cs="Times New Roman"/>
                <w:color w:val="auto"/>
                <w:sz w:val="21"/>
                <w:szCs w:val="21"/>
                <w:u w:val="single"/>
                <w:lang w:val="en-US" w:eastAsia="zh-CN"/>
              </w:rPr>
              <w:t>6  底泥现状监测结果</w:t>
            </w:r>
            <w:r>
              <w:rPr>
                <w:rFonts w:hint="default" w:ascii="Times New Roman" w:hAnsi="Times New Roman" w:cs="Times New Roman"/>
                <w:color w:val="auto"/>
                <w:sz w:val="21"/>
                <w:szCs w:val="21"/>
                <w:u w:val="single"/>
              </w:rPr>
              <w:t>表</w:t>
            </w:r>
            <w:r>
              <w:rPr>
                <w:rFonts w:hint="eastAsia" w:cs="Times New Roman"/>
                <w:color w:val="auto"/>
                <w:sz w:val="21"/>
                <w:szCs w:val="21"/>
                <w:u w:val="single"/>
                <w:lang w:val="en-US" w:eastAsia="zh-CN"/>
              </w:rPr>
              <w:t xml:space="preserve">  单位：pH值无量纲，mg/kg</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7"/>
              <w:gridCol w:w="1757"/>
              <w:gridCol w:w="2099"/>
              <w:gridCol w:w="2099"/>
            </w:tblGrid>
            <w:tr w14:paraId="43807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Align w:val="center"/>
                </w:tcPr>
                <w:p w14:paraId="54A20B24">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rPr>
                  </w:pPr>
                  <w:r>
                    <w:rPr>
                      <w:rFonts w:hint="default" w:ascii="Times New Roman" w:hAnsi="Times New Roman" w:cs="Times New Roman" w:eastAsiaTheme="minorEastAsia"/>
                      <w:b/>
                      <w:bCs/>
                      <w:color w:val="auto"/>
                      <w:sz w:val="21"/>
                      <w:szCs w:val="21"/>
                      <w:u w:val="single"/>
                    </w:rPr>
                    <w:t>采样点位</w:t>
                  </w:r>
                </w:p>
              </w:tc>
              <w:tc>
                <w:tcPr>
                  <w:tcW w:w="1084" w:type="pct"/>
                  <w:vAlign w:val="center"/>
                </w:tcPr>
                <w:p w14:paraId="30F84719">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highlight w:val="none"/>
                      <w:u w:val="single"/>
                    </w:rPr>
                  </w:pPr>
                  <w:r>
                    <w:rPr>
                      <w:rFonts w:hint="default" w:ascii="Times New Roman" w:hAnsi="Times New Roman" w:cs="Times New Roman" w:eastAsiaTheme="minorEastAsia"/>
                      <w:b/>
                      <w:bCs/>
                      <w:color w:val="auto"/>
                      <w:sz w:val="21"/>
                      <w:szCs w:val="21"/>
                      <w:highlight w:val="none"/>
                      <w:u w:val="single"/>
                    </w:rPr>
                    <w:t>监测日期</w:t>
                  </w:r>
                </w:p>
              </w:tc>
              <w:tc>
                <w:tcPr>
                  <w:tcW w:w="1295" w:type="pct"/>
                  <w:vAlign w:val="center"/>
                </w:tcPr>
                <w:p w14:paraId="7C45539E">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highlight w:val="none"/>
                      <w:u w:val="single"/>
                      <w:lang w:val="en-US" w:eastAsia="zh-CN"/>
                    </w:rPr>
                  </w:pPr>
                  <w:r>
                    <w:rPr>
                      <w:rFonts w:hint="eastAsia" w:ascii="Times New Roman" w:hAnsi="Times New Roman" w:cs="Times New Roman" w:eastAsiaTheme="minorEastAsia"/>
                      <w:b/>
                      <w:bCs/>
                      <w:color w:val="auto"/>
                      <w:sz w:val="21"/>
                      <w:szCs w:val="21"/>
                      <w:highlight w:val="none"/>
                      <w:u w:val="single"/>
                      <w:lang w:val="en-US" w:eastAsia="zh-CN"/>
                    </w:rPr>
                    <w:t>监测因子</w:t>
                  </w:r>
                </w:p>
              </w:tc>
              <w:tc>
                <w:tcPr>
                  <w:tcW w:w="1295" w:type="pct"/>
                  <w:vAlign w:val="center"/>
                </w:tcPr>
                <w:p w14:paraId="4BFBC4A6">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bCs/>
                      <w:color w:val="auto"/>
                      <w:sz w:val="21"/>
                      <w:szCs w:val="21"/>
                      <w:u w:val="single"/>
                    </w:rPr>
                  </w:pPr>
                  <w:r>
                    <w:rPr>
                      <w:rFonts w:hint="default" w:ascii="Times New Roman" w:hAnsi="Times New Roman" w:cs="Times New Roman" w:eastAsiaTheme="minorEastAsia"/>
                      <w:b/>
                      <w:bCs/>
                      <w:color w:val="auto"/>
                      <w:sz w:val="21"/>
                      <w:szCs w:val="21"/>
                      <w:u w:val="single"/>
                    </w:rPr>
                    <w:t>监测结果</w:t>
                  </w:r>
                </w:p>
              </w:tc>
            </w:tr>
            <w:tr w14:paraId="03E3C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restart"/>
                  <w:vAlign w:val="center"/>
                </w:tcPr>
                <w:p w14:paraId="0D3964D4">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S1长安河下游</w:t>
                  </w:r>
                </w:p>
                <w:p w14:paraId="2AC65CDD">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（棕黑色、无异味、浅色层厚度2cm、沉积物类型中等）</w:t>
                  </w:r>
                </w:p>
              </w:tc>
              <w:tc>
                <w:tcPr>
                  <w:tcW w:w="1084" w:type="pct"/>
                  <w:vMerge w:val="restart"/>
                  <w:vAlign w:val="center"/>
                </w:tcPr>
                <w:p w14:paraId="16C84EC9">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highlight w:val="none"/>
                      <w:u w:val="single"/>
                      <w:lang w:val="en-US" w:eastAsia="zh-CN"/>
                    </w:rPr>
                  </w:pPr>
                  <w:r>
                    <w:rPr>
                      <w:rFonts w:hint="eastAsia" w:ascii="Times New Roman" w:hAnsi="Times New Roman" w:cs="Times New Roman" w:eastAsiaTheme="minorEastAsia"/>
                      <w:b w:val="0"/>
                      <w:bCs w:val="0"/>
                      <w:color w:val="auto"/>
                      <w:sz w:val="21"/>
                      <w:szCs w:val="21"/>
                      <w:highlight w:val="none"/>
                      <w:u w:val="single"/>
                      <w:lang w:val="en-US" w:eastAsia="zh-CN"/>
                    </w:rPr>
                    <w:t>2024.11.20</w:t>
                  </w:r>
                </w:p>
              </w:tc>
              <w:tc>
                <w:tcPr>
                  <w:tcW w:w="1295" w:type="pct"/>
                  <w:vAlign w:val="center"/>
                </w:tcPr>
                <w:p w14:paraId="3562C35F">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highlight w:val="none"/>
                      <w:u w:val="single"/>
                      <w:lang w:val="en-US" w:eastAsia="zh-CN"/>
                    </w:rPr>
                  </w:pPr>
                  <w:r>
                    <w:rPr>
                      <w:rFonts w:hint="eastAsia" w:ascii="Times New Roman" w:hAnsi="Times New Roman" w:cs="Times New Roman" w:eastAsiaTheme="minorEastAsia"/>
                      <w:b w:val="0"/>
                      <w:bCs w:val="0"/>
                      <w:color w:val="auto"/>
                      <w:sz w:val="21"/>
                      <w:szCs w:val="21"/>
                      <w:highlight w:val="none"/>
                      <w:u w:val="single"/>
                      <w:lang w:val="en-US" w:eastAsia="zh-CN"/>
                    </w:rPr>
                    <w:t>pH值</w:t>
                  </w:r>
                </w:p>
              </w:tc>
              <w:tc>
                <w:tcPr>
                  <w:tcW w:w="1295" w:type="pct"/>
                  <w:vAlign w:val="center"/>
                </w:tcPr>
                <w:p w14:paraId="7C5829EC">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6.54</w:t>
                  </w:r>
                </w:p>
              </w:tc>
            </w:tr>
            <w:tr w14:paraId="2065F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68D61CFF">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18A46A70">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vAlign w:val="center"/>
                </w:tcPr>
                <w:p w14:paraId="17EEF7CB">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highlight w:val="none"/>
                      <w:u w:val="single"/>
                      <w:lang w:val="en-US" w:eastAsia="zh-CN"/>
                    </w:rPr>
                  </w:pPr>
                  <w:r>
                    <w:rPr>
                      <w:rFonts w:hint="eastAsia" w:ascii="Times New Roman" w:hAnsi="Times New Roman" w:cs="Times New Roman" w:eastAsiaTheme="minorEastAsia"/>
                      <w:b w:val="0"/>
                      <w:bCs w:val="0"/>
                      <w:color w:val="auto"/>
                      <w:sz w:val="21"/>
                      <w:szCs w:val="21"/>
                      <w:highlight w:val="none"/>
                      <w:u w:val="single"/>
                      <w:lang w:val="en-US" w:eastAsia="zh-CN"/>
                    </w:rPr>
                    <w:t>镉</w:t>
                  </w:r>
                </w:p>
              </w:tc>
              <w:tc>
                <w:tcPr>
                  <w:tcW w:w="1295" w:type="pct"/>
                  <w:vAlign w:val="center"/>
                </w:tcPr>
                <w:p w14:paraId="745324E1">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0.06</w:t>
                  </w:r>
                </w:p>
              </w:tc>
            </w:tr>
            <w:tr w14:paraId="2D7B4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164242F0">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65033161">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vAlign w:val="center"/>
                </w:tcPr>
                <w:p w14:paraId="2761418A">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highlight w:val="none"/>
                      <w:u w:val="single"/>
                      <w:lang w:val="en-US" w:eastAsia="zh-CN"/>
                    </w:rPr>
                  </w:pPr>
                  <w:r>
                    <w:rPr>
                      <w:rFonts w:hint="eastAsia" w:ascii="Times New Roman" w:hAnsi="Times New Roman" w:cs="Times New Roman" w:eastAsiaTheme="minorEastAsia"/>
                      <w:b w:val="0"/>
                      <w:bCs w:val="0"/>
                      <w:color w:val="auto"/>
                      <w:sz w:val="21"/>
                      <w:szCs w:val="21"/>
                      <w:highlight w:val="none"/>
                      <w:u w:val="single"/>
                      <w:lang w:val="en-US" w:eastAsia="zh-CN"/>
                    </w:rPr>
                    <w:t>汞</w:t>
                  </w:r>
                </w:p>
              </w:tc>
              <w:tc>
                <w:tcPr>
                  <w:tcW w:w="1295" w:type="pct"/>
                  <w:vAlign w:val="center"/>
                </w:tcPr>
                <w:p w14:paraId="65CF9B11">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0.071</w:t>
                  </w:r>
                </w:p>
              </w:tc>
            </w:tr>
            <w:tr w14:paraId="2595C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334BEE05">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6EA98CB2">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vAlign w:val="center"/>
                </w:tcPr>
                <w:p w14:paraId="40087CD4">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highlight w:val="none"/>
                      <w:u w:val="single"/>
                      <w:lang w:val="en-US" w:eastAsia="zh-CN"/>
                    </w:rPr>
                  </w:pPr>
                  <w:r>
                    <w:rPr>
                      <w:rFonts w:hint="eastAsia" w:ascii="Times New Roman" w:hAnsi="Times New Roman" w:cs="Times New Roman" w:eastAsiaTheme="minorEastAsia"/>
                      <w:b w:val="0"/>
                      <w:bCs w:val="0"/>
                      <w:color w:val="auto"/>
                      <w:sz w:val="21"/>
                      <w:szCs w:val="21"/>
                      <w:highlight w:val="none"/>
                      <w:u w:val="single"/>
                      <w:lang w:val="en-US" w:eastAsia="zh-CN"/>
                    </w:rPr>
                    <w:t>砷</w:t>
                  </w:r>
                </w:p>
              </w:tc>
              <w:tc>
                <w:tcPr>
                  <w:tcW w:w="1295" w:type="pct"/>
                  <w:vAlign w:val="center"/>
                </w:tcPr>
                <w:p w14:paraId="709F9629">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10.0</w:t>
                  </w:r>
                </w:p>
              </w:tc>
            </w:tr>
            <w:tr w14:paraId="377D6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07D6EA7B">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79C91CDD">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vAlign w:val="center"/>
                </w:tcPr>
                <w:p w14:paraId="045ECC5C">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highlight w:val="none"/>
                      <w:u w:val="single"/>
                      <w:lang w:val="en-US" w:eastAsia="zh-CN"/>
                    </w:rPr>
                  </w:pPr>
                  <w:r>
                    <w:rPr>
                      <w:rFonts w:hint="eastAsia" w:ascii="Times New Roman" w:hAnsi="Times New Roman" w:cs="Times New Roman" w:eastAsiaTheme="minorEastAsia"/>
                      <w:b w:val="0"/>
                      <w:bCs w:val="0"/>
                      <w:color w:val="auto"/>
                      <w:sz w:val="21"/>
                      <w:szCs w:val="21"/>
                      <w:highlight w:val="none"/>
                      <w:u w:val="single"/>
                      <w:lang w:val="en-US" w:eastAsia="zh-CN"/>
                    </w:rPr>
                    <w:t>铅</w:t>
                  </w:r>
                </w:p>
              </w:tc>
              <w:tc>
                <w:tcPr>
                  <w:tcW w:w="1295" w:type="pct"/>
                  <w:vAlign w:val="center"/>
                </w:tcPr>
                <w:p w14:paraId="09D877AE">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18</w:t>
                  </w:r>
                </w:p>
              </w:tc>
            </w:tr>
            <w:tr w14:paraId="02D22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6F2E3044">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2F43D048">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vAlign w:val="center"/>
                </w:tcPr>
                <w:p w14:paraId="7537ECD3">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highlight w:val="none"/>
                      <w:u w:val="single"/>
                      <w:lang w:val="en-US" w:eastAsia="zh-CN"/>
                    </w:rPr>
                  </w:pPr>
                  <w:r>
                    <w:rPr>
                      <w:rFonts w:hint="eastAsia" w:ascii="Times New Roman" w:hAnsi="Times New Roman" w:cs="Times New Roman" w:eastAsiaTheme="minorEastAsia"/>
                      <w:b w:val="0"/>
                      <w:bCs w:val="0"/>
                      <w:color w:val="auto"/>
                      <w:sz w:val="21"/>
                      <w:szCs w:val="21"/>
                      <w:highlight w:val="none"/>
                      <w:u w:val="single"/>
                      <w:lang w:val="en-US" w:eastAsia="zh-CN"/>
                    </w:rPr>
                    <w:t>铬</w:t>
                  </w:r>
                </w:p>
              </w:tc>
              <w:tc>
                <w:tcPr>
                  <w:tcW w:w="1295" w:type="pct"/>
                  <w:vAlign w:val="center"/>
                </w:tcPr>
                <w:p w14:paraId="786EBCD3">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50</w:t>
                  </w:r>
                </w:p>
              </w:tc>
            </w:tr>
            <w:tr w14:paraId="00653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38AB50F7">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7D8B4121">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vAlign w:val="center"/>
                </w:tcPr>
                <w:p w14:paraId="6999CE1E">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highlight w:val="none"/>
                      <w:u w:val="single"/>
                      <w:lang w:val="en-US" w:eastAsia="zh-CN"/>
                    </w:rPr>
                  </w:pPr>
                  <w:r>
                    <w:rPr>
                      <w:rFonts w:hint="eastAsia" w:ascii="Times New Roman" w:hAnsi="Times New Roman" w:cs="Times New Roman" w:eastAsiaTheme="minorEastAsia"/>
                      <w:b w:val="0"/>
                      <w:bCs w:val="0"/>
                      <w:color w:val="auto"/>
                      <w:sz w:val="21"/>
                      <w:szCs w:val="21"/>
                      <w:highlight w:val="none"/>
                      <w:u w:val="single"/>
                      <w:lang w:val="en-US" w:eastAsia="zh-CN"/>
                    </w:rPr>
                    <w:t>铜</w:t>
                  </w:r>
                </w:p>
              </w:tc>
              <w:tc>
                <w:tcPr>
                  <w:tcW w:w="1295" w:type="pct"/>
                  <w:vAlign w:val="center"/>
                </w:tcPr>
                <w:p w14:paraId="19F764D5">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13</w:t>
                  </w:r>
                </w:p>
              </w:tc>
            </w:tr>
            <w:tr w14:paraId="6A020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021B35DC">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7FB929EA">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vAlign w:val="center"/>
                </w:tcPr>
                <w:p w14:paraId="3BA0C2A4">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highlight w:val="none"/>
                      <w:u w:val="single"/>
                      <w:lang w:val="en-US" w:eastAsia="zh-CN"/>
                    </w:rPr>
                  </w:pPr>
                  <w:r>
                    <w:rPr>
                      <w:rFonts w:hint="eastAsia" w:ascii="Times New Roman" w:hAnsi="Times New Roman" w:cs="Times New Roman" w:eastAsiaTheme="minorEastAsia"/>
                      <w:b w:val="0"/>
                      <w:bCs w:val="0"/>
                      <w:color w:val="auto"/>
                      <w:sz w:val="21"/>
                      <w:szCs w:val="21"/>
                      <w:highlight w:val="none"/>
                      <w:u w:val="single"/>
                      <w:lang w:val="en-US" w:eastAsia="zh-CN"/>
                    </w:rPr>
                    <w:t>镍</w:t>
                  </w:r>
                </w:p>
              </w:tc>
              <w:tc>
                <w:tcPr>
                  <w:tcW w:w="1295" w:type="pct"/>
                  <w:vAlign w:val="center"/>
                </w:tcPr>
                <w:p w14:paraId="0CBF2995">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54</w:t>
                  </w:r>
                </w:p>
              </w:tc>
            </w:tr>
            <w:tr w14:paraId="19A94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3485A6D6">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6A297537">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vAlign w:val="center"/>
                </w:tcPr>
                <w:p w14:paraId="67446B17">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highlight w:val="none"/>
                      <w:u w:val="single"/>
                      <w:lang w:val="en-US" w:eastAsia="zh-CN"/>
                    </w:rPr>
                  </w:pPr>
                  <w:r>
                    <w:rPr>
                      <w:rFonts w:hint="eastAsia" w:ascii="Times New Roman" w:hAnsi="Times New Roman" w:cs="Times New Roman" w:eastAsiaTheme="minorEastAsia"/>
                      <w:b w:val="0"/>
                      <w:bCs w:val="0"/>
                      <w:color w:val="auto"/>
                      <w:sz w:val="21"/>
                      <w:szCs w:val="21"/>
                      <w:highlight w:val="none"/>
                      <w:u w:val="single"/>
                      <w:lang w:val="en-US" w:eastAsia="zh-CN"/>
                    </w:rPr>
                    <w:t>锌</w:t>
                  </w:r>
                </w:p>
              </w:tc>
              <w:tc>
                <w:tcPr>
                  <w:tcW w:w="1295" w:type="pct"/>
                  <w:vAlign w:val="center"/>
                </w:tcPr>
                <w:p w14:paraId="640D1938">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84</w:t>
                  </w:r>
                </w:p>
              </w:tc>
            </w:tr>
            <w:tr w14:paraId="278A7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restart"/>
                  <w:vAlign w:val="center"/>
                </w:tcPr>
                <w:p w14:paraId="49871D2A">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S2师家河下游（黄色、无异味、浅色层厚度3cm、沉积物类型软）</w:t>
                  </w:r>
                </w:p>
              </w:tc>
              <w:tc>
                <w:tcPr>
                  <w:tcW w:w="1084" w:type="pct"/>
                  <w:vMerge w:val="restart"/>
                  <w:vAlign w:val="center"/>
                </w:tcPr>
                <w:p w14:paraId="72EA5388">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highlight w:val="none"/>
                      <w:u w:val="single"/>
                      <w:lang w:val="en-US" w:eastAsia="zh-CN"/>
                    </w:rPr>
                  </w:pPr>
                  <w:r>
                    <w:rPr>
                      <w:rFonts w:hint="eastAsia" w:ascii="Times New Roman" w:hAnsi="Times New Roman" w:cs="Times New Roman" w:eastAsiaTheme="minorEastAsia"/>
                      <w:b w:val="0"/>
                      <w:bCs w:val="0"/>
                      <w:color w:val="auto"/>
                      <w:sz w:val="21"/>
                      <w:szCs w:val="21"/>
                      <w:highlight w:val="none"/>
                      <w:u w:val="single"/>
                      <w:lang w:val="en-US" w:eastAsia="zh-CN"/>
                    </w:rPr>
                    <w:t>2024.11.20</w:t>
                  </w:r>
                </w:p>
              </w:tc>
              <w:tc>
                <w:tcPr>
                  <w:tcW w:w="1295" w:type="pct"/>
                  <w:shd w:val="clear" w:color="auto" w:fill="auto"/>
                  <w:vAlign w:val="center"/>
                </w:tcPr>
                <w:p w14:paraId="67EBFCE5">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ascii="Times New Roman" w:hAnsi="Times New Roman" w:cs="Times New Roman" w:eastAsiaTheme="minorEastAsia"/>
                      <w:b w:val="0"/>
                      <w:bCs w:val="0"/>
                      <w:color w:val="auto"/>
                      <w:kern w:val="2"/>
                      <w:sz w:val="21"/>
                      <w:szCs w:val="21"/>
                      <w:highlight w:val="none"/>
                      <w:u w:val="single"/>
                      <w:lang w:val="en-US" w:eastAsia="zh-CN" w:bidi="ar-SA"/>
                    </w:rPr>
                  </w:pPr>
                  <w:r>
                    <w:rPr>
                      <w:rFonts w:hint="eastAsia" w:ascii="Times New Roman" w:hAnsi="Times New Roman" w:cs="Times New Roman" w:eastAsiaTheme="minorEastAsia"/>
                      <w:b w:val="0"/>
                      <w:bCs w:val="0"/>
                      <w:color w:val="auto"/>
                      <w:sz w:val="21"/>
                      <w:szCs w:val="21"/>
                      <w:highlight w:val="none"/>
                      <w:u w:val="single"/>
                      <w:lang w:val="en-US" w:eastAsia="zh-CN"/>
                    </w:rPr>
                    <w:t>pH值</w:t>
                  </w:r>
                </w:p>
              </w:tc>
              <w:tc>
                <w:tcPr>
                  <w:tcW w:w="1295" w:type="pct"/>
                  <w:vAlign w:val="center"/>
                </w:tcPr>
                <w:p w14:paraId="0BE5C6B2">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6.83</w:t>
                  </w:r>
                </w:p>
              </w:tc>
            </w:tr>
            <w:tr w14:paraId="1EF2E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009495DF">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6098B20E">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shd w:val="clear" w:color="auto" w:fill="auto"/>
                  <w:vAlign w:val="center"/>
                </w:tcPr>
                <w:p w14:paraId="18108384">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ascii="Times New Roman" w:hAnsi="Times New Roman" w:cs="Times New Roman" w:eastAsiaTheme="minorEastAsia"/>
                      <w:b w:val="0"/>
                      <w:bCs w:val="0"/>
                      <w:color w:val="auto"/>
                      <w:kern w:val="2"/>
                      <w:sz w:val="21"/>
                      <w:szCs w:val="21"/>
                      <w:highlight w:val="none"/>
                      <w:u w:val="single"/>
                      <w:lang w:val="en-US" w:eastAsia="zh-CN" w:bidi="ar-SA"/>
                    </w:rPr>
                  </w:pPr>
                  <w:r>
                    <w:rPr>
                      <w:rFonts w:hint="eastAsia" w:ascii="Times New Roman" w:hAnsi="Times New Roman" w:cs="Times New Roman" w:eastAsiaTheme="minorEastAsia"/>
                      <w:b w:val="0"/>
                      <w:bCs w:val="0"/>
                      <w:color w:val="auto"/>
                      <w:sz w:val="21"/>
                      <w:szCs w:val="21"/>
                      <w:highlight w:val="none"/>
                      <w:u w:val="single"/>
                      <w:lang w:val="en-US" w:eastAsia="zh-CN"/>
                    </w:rPr>
                    <w:t>镉</w:t>
                  </w:r>
                </w:p>
              </w:tc>
              <w:tc>
                <w:tcPr>
                  <w:tcW w:w="1295" w:type="pct"/>
                  <w:vAlign w:val="center"/>
                </w:tcPr>
                <w:p w14:paraId="61E94E73">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0.15</w:t>
                  </w:r>
                </w:p>
              </w:tc>
            </w:tr>
            <w:tr w14:paraId="580B5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5C89B723">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56025ACB">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shd w:val="clear" w:color="auto" w:fill="auto"/>
                  <w:vAlign w:val="center"/>
                </w:tcPr>
                <w:p w14:paraId="0A394F32">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ascii="Times New Roman" w:hAnsi="Times New Roman" w:cs="Times New Roman" w:eastAsiaTheme="minorEastAsia"/>
                      <w:b w:val="0"/>
                      <w:bCs w:val="0"/>
                      <w:color w:val="auto"/>
                      <w:kern w:val="2"/>
                      <w:sz w:val="21"/>
                      <w:szCs w:val="21"/>
                      <w:highlight w:val="none"/>
                      <w:u w:val="single"/>
                      <w:lang w:val="en-US" w:eastAsia="zh-CN" w:bidi="ar-SA"/>
                    </w:rPr>
                  </w:pPr>
                  <w:r>
                    <w:rPr>
                      <w:rFonts w:hint="eastAsia" w:ascii="Times New Roman" w:hAnsi="Times New Roman" w:cs="Times New Roman" w:eastAsiaTheme="minorEastAsia"/>
                      <w:b w:val="0"/>
                      <w:bCs w:val="0"/>
                      <w:color w:val="auto"/>
                      <w:sz w:val="21"/>
                      <w:szCs w:val="21"/>
                      <w:highlight w:val="none"/>
                      <w:u w:val="single"/>
                      <w:lang w:val="en-US" w:eastAsia="zh-CN"/>
                    </w:rPr>
                    <w:t>汞</w:t>
                  </w:r>
                </w:p>
              </w:tc>
              <w:tc>
                <w:tcPr>
                  <w:tcW w:w="1295" w:type="pct"/>
                  <w:vAlign w:val="center"/>
                </w:tcPr>
                <w:p w14:paraId="0888BE6C">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0.065</w:t>
                  </w:r>
                </w:p>
              </w:tc>
            </w:tr>
            <w:tr w14:paraId="6070F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7FB0F98C">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79AD959C">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shd w:val="clear" w:color="auto" w:fill="auto"/>
                  <w:vAlign w:val="center"/>
                </w:tcPr>
                <w:p w14:paraId="1700DF4F">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ascii="Times New Roman" w:hAnsi="Times New Roman" w:cs="Times New Roman" w:eastAsiaTheme="minorEastAsia"/>
                      <w:b w:val="0"/>
                      <w:bCs w:val="0"/>
                      <w:color w:val="auto"/>
                      <w:kern w:val="2"/>
                      <w:sz w:val="21"/>
                      <w:szCs w:val="21"/>
                      <w:highlight w:val="none"/>
                      <w:u w:val="single"/>
                      <w:lang w:val="en-US" w:eastAsia="zh-CN" w:bidi="ar-SA"/>
                    </w:rPr>
                  </w:pPr>
                  <w:r>
                    <w:rPr>
                      <w:rFonts w:hint="eastAsia" w:ascii="Times New Roman" w:hAnsi="Times New Roman" w:cs="Times New Roman" w:eastAsiaTheme="minorEastAsia"/>
                      <w:b w:val="0"/>
                      <w:bCs w:val="0"/>
                      <w:color w:val="auto"/>
                      <w:sz w:val="21"/>
                      <w:szCs w:val="21"/>
                      <w:highlight w:val="none"/>
                      <w:u w:val="single"/>
                      <w:lang w:val="en-US" w:eastAsia="zh-CN"/>
                    </w:rPr>
                    <w:t>砷</w:t>
                  </w:r>
                </w:p>
              </w:tc>
              <w:tc>
                <w:tcPr>
                  <w:tcW w:w="1295" w:type="pct"/>
                  <w:vAlign w:val="center"/>
                </w:tcPr>
                <w:p w14:paraId="724C5385">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15.5</w:t>
                  </w:r>
                </w:p>
              </w:tc>
            </w:tr>
            <w:tr w14:paraId="7C946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22B0E9B6">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2A16E8DE">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shd w:val="clear" w:color="auto" w:fill="auto"/>
                  <w:vAlign w:val="center"/>
                </w:tcPr>
                <w:p w14:paraId="5D334F2E">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ascii="Times New Roman" w:hAnsi="Times New Roman" w:cs="Times New Roman" w:eastAsiaTheme="minorEastAsia"/>
                      <w:b w:val="0"/>
                      <w:bCs w:val="0"/>
                      <w:color w:val="auto"/>
                      <w:kern w:val="2"/>
                      <w:sz w:val="21"/>
                      <w:szCs w:val="21"/>
                      <w:highlight w:val="none"/>
                      <w:u w:val="single"/>
                      <w:lang w:val="en-US" w:eastAsia="zh-CN" w:bidi="ar-SA"/>
                    </w:rPr>
                  </w:pPr>
                  <w:r>
                    <w:rPr>
                      <w:rFonts w:hint="eastAsia" w:ascii="Times New Roman" w:hAnsi="Times New Roman" w:cs="Times New Roman" w:eastAsiaTheme="minorEastAsia"/>
                      <w:b w:val="0"/>
                      <w:bCs w:val="0"/>
                      <w:color w:val="auto"/>
                      <w:sz w:val="21"/>
                      <w:szCs w:val="21"/>
                      <w:highlight w:val="none"/>
                      <w:u w:val="single"/>
                      <w:lang w:val="en-US" w:eastAsia="zh-CN"/>
                    </w:rPr>
                    <w:t>铅</w:t>
                  </w:r>
                </w:p>
              </w:tc>
              <w:tc>
                <w:tcPr>
                  <w:tcW w:w="1295" w:type="pct"/>
                  <w:vAlign w:val="center"/>
                </w:tcPr>
                <w:p w14:paraId="6FAD501F">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25</w:t>
                  </w:r>
                </w:p>
              </w:tc>
            </w:tr>
            <w:tr w14:paraId="20F41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069DE642">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501A8B21">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shd w:val="clear" w:color="auto" w:fill="auto"/>
                  <w:vAlign w:val="center"/>
                </w:tcPr>
                <w:p w14:paraId="663BCCC9">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ascii="Times New Roman" w:hAnsi="Times New Roman" w:cs="Times New Roman" w:eastAsiaTheme="minorEastAsia"/>
                      <w:b w:val="0"/>
                      <w:bCs w:val="0"/>
                      <w:color w:val="auto"/>
                      <w:kern w:val="2"/>
                      <w:sz w:val="21"/>
                      <w:szCs w:val="21"/>
                      <w:highlight w:val="none"/>
                      <w:u w:val="single"/>
                      <w:lang w:val="en-US" w:eastAsia="zh-CN" w:bidi="ar-SA"/>
                    </w:rPr>
                  </w:pPr>
                  <w:r>
                    <w:rPr>
                      <w:rFonts w:hint="eastAsia" w:ascii="Times New Roman" w:hAnsi="Times New Roman" w:cs="Times New Roman" w:eastAsiaTheme="minorEastAsia"/>
                      <w:b w:val="0"/>
                      <w:bCs w:val="0"/>
                      <w:color w:val="auto"/>
                      <w:sz w:val="21"/>
                      <w:szCs w:val="21"/>
                      <w:highlight w:val="none"/>
                      <w:u w:val="single"/>
                      <w:lang w:val="en-US" w:eastAsia="zh-CN"/>
                    </w:rPr>
                    <w:t>铬</w:t>
                  </w:r>
                </w:p>
              </w:tc>
              <w:tc>
                <w:tcPr>
                  <w:tcW w:w="1295" w:type="pct"/>
                  <w:vAlign w:val="center"/>
                </w:tcPr>
                <w:p w14:paraId="52D9DEC1">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66</w:t>
                  </w:r>
                </w:p>
              </w:tc>
            </w:tr>
            <w:tr w14:paraId="7D63F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1A7978A9">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0609EFF6">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shd w:val="clear" w:color="auto" w:fill="auto"/>
                  <w:vAlign w:val="center"/>
                </w:tcPr>
                <w:p w14:paraId="32D1A3C1">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ascii="Times New Roman" w:hAnsi="Times New Roman" w:cs="Times New Roman" w:eastAsiaTheme="minorEastAsia"/>
                      <w:b w:val="0"/>
                      <w:bCs w:val="0"/>
                      <w:color w:val="auto"/>
                      <w:kern w:val="2"/>
                      <w:sz w:val="21"/>
                      <w:szCs w:val="21"/>
                      <w:highlight w:val="none"/>
                      <w:u w:val="single"/>
                      <w:lang w:val="en-US" w:eastAsia="zh-CN" w:bidi="ar-SA"/>
                    </w:rPr>
                  </w:pPr>
                  <w:r>
                    <w:rPr>
                      <w:rFonts w:hint="eastAsia" w:ascii="Times New Roman" w:hAnsi="Times New Roman" w:cs="Times New Roman" w:eastAsiaTheme="minorEastAsia"/>
                      <w:b w:val="0"/>
                      <w:bCs w:val="0"/>
                      <w:color w:val="auto"/>
                      <w:sz w:val="21"/>
                      <w:szCs w:val="21"/>
                      <w:highlight w:val="none"/>
                      <w:u w:val="single"/>
                      <w:lang w:val="en-US" w:eastAsia="zh-CN"/>
                    </w:rPr>
                    <w:t>铜</w:t>
                  </w:r>
                </w:p>
              </w:tc>
              <w:tc>
                <w:tcPr>
                  <w:tcW w:w="1295" w:type="pct"/>
                  <w:vAlign w:val="center"/>
                </w:tcPr>
                <w:p w14:paraId="3FF71F35">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24</w:t>
                  </w:r>
                </w:p>
              </w:tc>
            </w:tr>
            <w:tr w14:paraId="2F1AD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27FBF80E">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3D4C6CE8">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shd w:val="clear" w:color="auto" w:fill="auto"/>
                  <w:vAlign w:val="center"/>
                </w:tcPr>
                <w:p w14:paraId="7F62301A">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ascii="Times New Roman" w:hAnsi="Times New Roman" w:cs="Times New Roman" w:eastAsiaTheme="minorEastAsia"/>
                      <w:b w:val="0"/>
                      <w:bCs w:val="0"/>
                      <w:color w:val="auto"/>
                      <w:kern w:val="2"/>
                      <w:sz w:val="21"/>
                      <w:szCs w:val="21"/>
                      <w:highlight w:val="none"/>
                      <w:u w:val="single"/>
                      <w:lang w:val="en-US" w:eastAsia="zh-CN" w:bidi="ar-SA"/>
                    </w:rPr>
                  </w:pPr>
                  <w:r>
                    <w:rPr>
                      <w:rFonts w:hint="eastAsia" w:ascii="Times New Roman" w:hAnsi="Times New Roman" w:cs="Times New Roman" w:eastAsiaTheme="minorEastAsia"/>
                      <w:b w:val="0"/>
                      <w:bCs w:val="0"/>
                      <w:color w:val="auto"/>
                      <w:sz w:val="21"/>
                      <w:szCs w:val="21"/>
                      <w:highlight w:val="none"/>
                      <w:u w:val="single"/>
                      <w:lang w:val="en-US" w:eastAsia="zh-CN"/>
                    </w:rPr>
                    <w:t>镍</w:t>
                  </w:r>
                </w:p>
              </w:tc>
              <w:tc>
                <w:tcPr>
                  <w:tcW w:w="1295" w:type="pct"/>
                  <w:vAlign w:val="center"/>
                </w:tcPr>
                <w:p w14:paraId="3D41420A">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71</w:t>
                  </w:r>
                </w:p>
              </w:tc>
            </w:tr>
            <w:tr w14:paraId="5585F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5" w:type="pct"/>
                  <w:vMerge w:val="continue"/>
                  <w:vAlign w:val="center"/>
                </w:tcPr>
                <w:p w14:paraId="4DBF0D63">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u w:val="single"/>
                      <w:lang w:val="en-US" w:eastAsia="zh-CN"/>
                    </w:rPr>
                  </w:pPr>
                </w:p>
              </w:tc>
              <w:tc>
                <w:tcPr>
                  <w:tcW w:w="1084" w:type="pct"/>
                  <w:vMerge w:val="continue"/>
                  <w:vAlign w:val="center"/>
                </w:tcPr>
                <w:p w14:paraId="1CEC898A">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cs="Times New Roman" w:eastAsiaTheme="minorEastAsia"/>
                      <w:b w:val="0"/>
                      <w:bCs w:val="0"/>
                      <w:color w:val="auto"/>
                      <w:sz w:val="21"/>
                      <w:szCs w:val="21"/>
                      <w:highlight w:val="none"/>
                      <w:u w:val="single"/>
                      <w:lang w:val="en-US" w:eastAsia="zh-CN"/>
                    </w:rPr>
                  </w:pPr>
                </w:p>
              </w:tc>
              <w:tc>
                <w:tcPr>
                  <w:tcW w:w="1295" w:type="pct"/>
                  <w:shd w:val="clear" w:color="auto" w:fill="auto"/>
                  <w:vAlign w:val="center"/>
                </w:tcPr>
                <w:p w14:paraId="28B21E6E">
                  <w:pPr>
                    <w:keepNext w:val="0"/>
                    <w:keepLines w:val="0"/>
                    <w:suppressLineNumbers w:val="0"/>
                    <w:adjustRightInd w:val="0"/>
                    <w:snapToGrid w:val="0"/>
                    <w:spacing w:before="0" w:beforeAutospacing="0" w:after="0" w:afterAutospacing="0" w:line="320" w:lineRule="exact"/>
                    <w:ind w:left="0" w:leftChars="0" w:right="0" w:rightChars="0"/>
                    <w:jc w:val="center"/>
                    <w:rPr>
                      <w:rFonts w:hint="eastAsia" w:ascii="Times New Roman" w:hAnsi="Times New Roman" w:cs="Times New Roman" w:eastAsiaTheme="minorEastAsia"/>
                      <w:b w:val="0"/>
                      <w:bCs w:val="0"/>
                      <w:color w:val="auto"/>
                      <w:kern w:val="2"/>
                      <w:sz w:val="21"/>
                      <w:szCs w:val="21"/>
                      <w:highlight w:val="none"/>
                      <w:u w:val="single"/>
                      <w:lang w:val="en-US" w:eastAsia="zh-CN" w:bidi="ar-SA"/>
                    </w:rPr>
                  </w:pPr>
                  <w:r>
                    <w:rPr>
                      <w:rFonts w:hint="eastAsia" w:ascii="Times New Roman" w:hAnsi="Times New Roman" w:cs="Times New Roman" w:eastAsiaTheme="minorEastAsia"/>
                      <w:b w:val="0"/>
                      <w:bCs w:val="0"/>
                      <w:color w:val="auto"/>
                      <w:sz w:val="21"/>
                      <w:szCs w:val="21"/>
                      <w:highlight w:val="none"/>
                      <w:u w:val="single"/>
                      <w:lang w:val="en-US" w:eastAsia="zh-CN"/>
                    </w:rPr>
                    <w:t>锌</w:t>
                  </w:r>
                </w:p>
              </w:tc>
              <w:tc>
                <w:tcPr>
                  <w:tcW w:w="1295" w:type="pct"/>
                  <w:vAlign w:val="center"/>
                </w:tcPr>
                <w:p w14:paraId="68A29340">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eastAsiaTheme="minorEastAsia"/>
                      <w:b w:val="0"/>
                      <w:bCs w:val="0"/>
                      <w:color w:val="auto"/>
                      <w:sz w:val="21"/>
                      <w:szCs w:val="21"/>
                      <w:u w:val="single"/>
                      <w:lang w:val="en-US" w:eastAsia="zh-CN"/>
                    </w:rPr>
                  </w:pPr>
                  <w:r>
                    <w:rPr>
                      <w:rFonts w:hint="eastAsia" w:ascii="Times New Roman" w:hAnsi="Times New Roman" w:cs="Times New Roman" w:eastAsiaTheme="minorEastAsia"/>
                      <w:b w:val="0"/>
                      <w:bCs w:val="0"/>
                      <w:color w:val="auto"/>
                      <w:sz w:val="21"/>
                      <w:szCs w:val="21"/>
                      <w:u w:val="single"/>
                      <w:lang w:val="en-US" w:eastAsia="zh-CN"/>
                    </w:rPr>
                    <w:t>126</w:t>
                  </w:r>
                </w:p>
              </w:tc>
            </w:tr>
          </w:tbl>
          <w:p w14:paraId="646B296C">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u w:val="none"/>
              </w:rPr>
            </w:pPr>
            <w:r>
              <w:rPr>
                <w:rFonts w:hint="eastAsia" w:ascii="Times New Roman" w:hAnsi="Times New Roman"/>
                <w:color w:val="auto"/>
                <w:sz w:val="24"/>
                <w:u w:val="single"/>
              </w:rPr>
              <w:t>项目涉及的底泥各监测点位重金属浓度值参照《土壤质量农用土壤污染风险管控标准》（GB15618-2018）中表</w:t>
            </w:r>
            <w:r>
              <w:rPr>
                <w:rFonts w:hint="eastAsia"/>
                <w:color w:val="auto"/>
                <w:sz w:val="24"/>
                <w:u w:val="single"/>
                <w:lang w:val="en-US" w:eastAsia="zh-CN"/>
              </w:rPr>
              <w:t>3</w:t>
            </w:r>
            <w:r>
              <w:rPr>
                <w:rFonts w:hint="eastAsia" w:ascii="Times New Roman" w:hAnsi="Times New Roman"/>
                <w:color w:val="auto"/>
                <w:sz w:val="24"/>
                <w:u w:val="single"/>
              </w:rPr>
              <w:t>农用土壤风险管控值中标准限值。</w:t>
            </w:r>
            <w:r>
              <w:rPr>
                <w:rFonts w:hint="eastAsia"/>
                <w:color w:val="auto"/>
                <w:sz w:val="24"/>
                <w:u w:val="single"/>
                <w:lang w:val="en-US" w:eastAsia="zh-CN"/>
              </w:rPr>
              <w:t>综上分析，</w:t>
            </w:r>
            <w:r>
              <w:rPr>
                <w:rFonts w:hint="eastAsia" w:ascii="Times New Roman" w:hAnsi="Times New Roman"/>
                <w:color w:val="auto"/>
                <w:sz w:val="24"/>
                <w:u w:val="single"/>
              </w:rPr>
              <w:t>本项目底泥</w:t>
            </w:r>
            <w:r>
              <w:rPr>
                <w:rFonts w:hint="eastAsia"/>
                <w:color w:val="auto"/>
                <w:sz w:val="24"/>
                <w:u w:val="single"/>
                <w:lang w:val="en-US" w:eastAsia="zh-CN"/>
              </w:rPr>
              <w:t>中</w:t>
            </w:r>
            <w:r>
              <w:rPr>
                <w:rFonts w:hint="eastAsia" w:ascii="Times New Roman" w:hAnsi="Times New Roman"/>
                <w:color w:val="auto"/>
                <w:sz w:val="24"/>
                <w:u w:val="single"/>
              </w:rPr>
              <w:t>重金属</w:t>
            </w:r>
            <w:r>
              <w:rPr>
                <w:rFonts w:hint="eastAsia"/>
                <w:color w:val="auto"/>
                <w:sz w:val="24"/>
                <w:u w:val="single"/>
                <w:lang w:val="en-US" w:eastAsia="zh-CN"/>
              </w:rPr>
              <w:t>未超标不存在重金属污染</w:t>
            </w:r>
            <w:r>
              <w:rPr>
                <w:rFonts w:hint="eastAsia"/>
                <w:color w:val="auto"/>
                <w:sz w:val="24"/>
                <w:u w:val="single"/>
                <w:lang w:eastAsia="zh-CN"/>
              </w:rPr>
              <w:t>，</w:t>
            </w:r>
            <w:r>
              <w:rPr>
                <w:rFonts w:hint="eastAsia"/>
                <w:color w:val="auto"/>
                <w:sz w:val="24"/>
                <w:u w:val="single"/>
                <w:lang w:val="en-US" w:eastAsia="zh-CN"/>
              </w:rPr>
              <w:t>则本项目可不开展环境质量现状调查。</w:t>
            </w:r>
          </w:p>
        </w:tc>
      </w:tr>
      <w:tr w14:paraId="1DF814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491" w:type="pct"/>
            <w:vAlign w:val="center"/>
          </w:tcPr>
          <w:p w14:paraId="24AA0E47">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auto"/>
                <w:kern w:val="0"/>
                <w:sz w:val="24"/>
                <w:u w:val="none"/>
              </w:rPr>
            </w:pPr>
            <w:r>
              <w:rPr>
                <w:rFonts w:hint="eastAsia" w:ascii="宋体" w:hAnsi="宋体"/>
                <w:b/>
                <w:bCs/>
                <w:color w:val="auto"/>
                <w:sz w:val="24"/>
                <w:u w:val="none"/>
              </w:rPr>
              <w:t>与项目有关的原有环境污染和生态破坏问题</w:t>
            </w:r>
          </w:p>
        </w:tc>
        <w:tc>
          <w:tcPr>
            <w:tcW w:w="4509" w:type="pct"/>
            <w:vAlign w:val="center"/>
          </w:tcPr>
          <w:p w14:paraId="09F0414A">
            <w:pPr>
              <w:keepNext w:val="0"/>
              <w:keepLines w:val="0"/>
              <w:suppressLineNumbers w:val="0"/>
              <w:adjustRightInd w:val="0"/>
              <w:snapToGrid w:val="0"/>
              <w:spacing w:before="0" w:beforeAutospacing="0" w:after="0" w:afterAutospacing="0" w:line="360" w:lineRule="auto"/>
              <w:ind w:left="0" w:right="0" w:firstLine="482" w:firstLineChars="200"/>
              <w:jc w:val="both"/>
              <w:rPr>
                <w:rFonts w:hint="default" w:ascii="Times New Roman" w:hAnsi="Times New Roman" w:cs="Times New Roman"/>
                <w:b/>
                <w:bCs/>
                <w:color w:val="auto"/>
                <w:sz w:val="24"/>
                <w:szCs w:val="24"/>
                <w:u w:val="none"/>
                <w:lang w:eastAsia="zh-CN"/>
              </w:rPr>
            </w:pPr>
            <w:r>
              <w:rPr>
                <w:rFonts w:hint="default" w:ascii="Times New Roman" w:hAnsi="Times New Roman" w:cs="Times New Roman"/>
                <w:b/>
                <w:bCs/>
                <w:color w:val="auto"/>
                <w:sz w:val="24"/>
                <w:szCs w:val="24"/>
                <w:u w:val="none"/>
                <w:lang w:eastAsia="zh-CN"/>
              </w:rPr>
              <w:t>1</w:t>
            </w:r>
            <w:r>
              <w:rPr>
                <w:rFonts w:hint="eastAsia" w:cs="Times New Roman"/>
                <w:b/>
                <w:bCs/>
                <w:color w:val="auto"/>
                <w:sz w:val="24"/>
                <w:szCs w:val="24"/>
                <w:u w:val="none"/>
                <w:lang w:eastAsia="zh-CN"/>
              </w:rPr>
              <w:t>、</w:t>
            </w:r>
            <w:r>
              <w:rPr>
                <w:rFonts w:hint="default" w:ascii="Times New Roman" w:hAnsi="Times New Roman" w:cs="Times New Roman"/>
                <w:b/>
                <w:bCs/>
                <w:color w:val="auto"/>
                <w:sz w:val="24"/>
                <w:szCs w:val="24"/>
                <w:u w:val="none"/>
                <w:lang w:eastAsia="zh-CN"/>
              </w:rPr>
              <w:t>排水体制混乱</w:t>
            </w:r>
          </w:p>
          <w:p w14:paraId="3136A741">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b w:val="0"/>
                <w:bCs w:val="0"/>
                <w:color w:val="auto"/>
                <w:sz w:val="24"/>
                <w:szCs w:val="24"/>
                <w:u w:val="none"/>
                <w:lang w:eastAsia="zh-CN"/>
              </w:rPr>
            </w:pPr>
            <w:r>
              <w:rPr>
                <w:rFonts w:hint="default" w:ascii="Times New Roman" w:hAnsi="Times New Roman" w:cs="Times New Roman"/>
                <w:b w:val="0"/>
                <w:bCs w:val="0"/>
                <w:color w:val="auto"/>
                <w:sz w:val="24"/>
                <w:szCs w:val="24"/>
                <w:u w:val="none"/>
                <w:lang w:eastAsia="zh-CN"/>
              </w:rPr>
              <w:t>临湘市中心城区内排水体制混乱，既有雨水接入污水管网，也有污水接入雨水渠道，导致污水处理厂进水污染物浓度远远低于设计值，污水设施污染物负荷过低，部分设施闲置。同时，排入雨水管渠的污水随雨水排入自然水体，致使水体发黑发臭，水环境破坏严重。</w:t>
            </w:r>
          </w:p>
          <w:p w14:paraId="07B4BA31">
            <w:pPr>
              <w:keepNext w:val="0"/>
              <w:keepLines w:val="0"/>
              <w:suppressLineNumbers w:val="0"/>
              <w:adjustRightInd w:val="0"/>
              <w:snapToGrid w:val="0"/>
              <w:spacing w:before="0" w:beforeAutospacing="0" w:after="0" w:afterAutospacing="0" w:line="360" w:lineRule="auto"/>
              <w:ind w:left="0" w:right="0" w:firstLine="482" w:firstLineChars="200"/>
              <w:jc w:val="both"/>
              <w:rPr>
                <w:rFonts w:hint="default" w:ascii="Times New Roman" w:hAnsi="Times New Roman" w:cs="Times New Roman"/>
                <w:b/>
                <w:bCs/>
                <w:color w:val="auto"/>
                <w:sz w:val="24"/>
                <w:szCs w:val="24"/>
                <w:u w:val="none"/>
                <w:lang w:eastAsia="zh-CN"/>
              </w:rPr>
            </w:pPr>
            <w:r>
              <w:rPr>
                <w:rFonts w:hint="eastAsia" w:cs="Times New Roman"/>
                <w:b/>
                <w:bCs/>
                <w:color w:val="auto"/>
                <w:sz w:val="24"/>
                <w:szCs w:val="24"/>
                <w:u w:val="none"/>
                <w:lang w:val="en-US" w:eastAsia="zh-CN"/>
              </w:rPr>
              <w:t>2、</w:t>
            </w:r>
            <w:r>
              <w:rPr>
                <w:rFonts w:hint="default" w:ascii="Times New Roman" w:hAnsi="Times New Roman" w:cs="Times New Roman"/>
                <w:b/>
                <w:bCs/>
                <w:color w:val="auto"/>
                <w:sz w:val="24"/>
                <w:szCs w:val="24"/>
                <w:u w:val="none"/>
                <w:lang w:eastAsia="zh-CN"/>
              </w:rPr>
              <w:t>排水系统特别是雨水系统极不完善</w:t>
            </w:r>
          </w:p>
          <w:p w14:paraId="548BF6F6">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b w:val="0"/>
                <w:bCs w:val="0"/>
                <w:color w:val="auto"/>
                <w:sz w:val="24"/>
                <w:szCs w:val="24"/>
                <w:u w:val="none"/>
                <w:lang w:eastAsia="zh-CN"/>
              </w:rPr>
            </w:pPr>
            <w:r>
              <w:rPr>
                <w:rFonts w:hint="default" w:ascii="Times New Roman" w:hAnsi="Times New Roman" w:cs="Times New Roman"/>
                <w:b w:val="0"/>
                <w:bCs w:val="0"/>
                <w:color w:val="auto"/>
                <w:sz w:val="24"/>
                <w:szCs w:val="24"/>
                <w:u w:val="none"/>
                <w:lang w:eastAsia="zh-CN"/>
              </w:rPr>
              <w:t>临湘老城区内没有规范的雨水收集系统，道路及周边地块的雨水基本是通过简易的明沟就近接入自然水体，导致雨水四处漫流，严重影响行车安全。自然的水塘、水库及冲沟简陋且长年失修，洪水期间随时有决堤的隐患。</w:t>
            </w:r>
          </w:p>
          <w:p w14:paraId="3B010DC0">
            <w:pPr>
              <w:keepNext w:val="0"/>
              <w:keepLines w:val="0"/>
              <w:suppressLineNumbers w:val="0"/>
              <w:adjustRightInd w:val="0"/>
              <w:snapToGrid w:val="0"/>
              <w:spacing w:before="0" w:beforeAutospacing="0" w:after="0" w:afterAutospacing="0" w:line="360" w:lineRule="auto"/>
              <w:ind w:left="0" w:right="0" w:firstLine="482" w:firstLineChars="200"/>
              <w:jc w:val="both"/>
              <w:rPr>
                <w:rFonts w:hint="default" w:ascii="Times New Roman" w:hAnsi="Times New Roman" w:cs="Times New Roman"/>
                <w:b/>
                <w:bCs/>
                <w:color w:val="auto"/>
                <w:sz w:val="24"/>
                <w:szCs w:val="24"/>
                <w:u w:val="none"/>
                <w:lang w:eastAsia="zh-CN"/>
              </w:rPr>
            </w:pPr>
            <w:r>
              <w:rPr>
                <w:rFonts w:hint="eastAsia" w:cs="Times New Roman"/>
                <w:b/>
                <w:bCs/>
                <w:color w:val="auto"/>
                <w:sz w:val="24"/>
                <w:szCs w:val="24"/>
                <w:u w:val="none"/>
                <w:lang w:val="en-US" w:eastAsia="zh-CN"/>
              </w:rPr>
              <w:t>3、</w:t>
            </w:r>
            <w:r>
              <w:rPr>
                <w:rFonts w:hint="default" w:ascii="Times New Roman" w:hAnsi="Times New Roman" w:cs="Times New Roman"/>
                <w:b/>
                <w:bCs/>
                <w:color w:val="auto"/>
                <w:sz w:val="24"/>
                <w:szCs w:val="24"/>
                <w:u w:val="none"/>
                <w:lang w:eastAsia="zh-CN"/>
              </w:rPr>
              <w:t>长安河等城市行洪通道淤积严重，排水不畅</w:t>
            </w:r>
          </w:p>
          <w:p w14:paraId="37F3E772">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b w:val="0"/>
                <w:bCs w:val="0"/>
                <w:color w:val="auto"/>
                <w:sz w:val="24"/>
                <w:szCs w:val="24"/>
                <w:u w:val="none"/>
                <w:lang w:eastAsia="zh-CN"/>
              </w:rPr>
            </w:pPr>
            <w:r>
              <w:rPr>
                <w:rFonts w:hint="default" w:ascii="Times New Roman" w:hAnsi="Times New Roman" w:cs="Times New Roman"/>
                <w:b w:val="0"/>
                <w:bCs w:val="0"/>
                <w:color w:val="auto"/>
                <w:sz w:val="24"/>
                <w:szCs w:val="24"/>
                <w:u w:val="none"/>
                <w:lang w:eastAsia="zh-CN"/>
              </w:rPr>
              <w:t>长安河作为临湘市的母亲河，流经规划区6.6公里左右，因常年失修和维护，部分河段断面逐年减小，过流能力明显小于设计径流量，河流水位上涨，高于城市雨水排放口，城区雨水不能重力排放，且雨水系统堵塞，形成内涝。同时，规划区内的山塘、水库及景观水体淤积严重，调蓄能力减弱，不能起到有效的滞洪作用。</w:t>
            </w:r>
          </w:p>
          <w:p w14:paraId="38699B53">
            <w:pPr>
              <w:keepNext w:val="0"/>
              <w:keepLines w:val="0"/>
              <w:suppressLineNumbers w:val="0"/>
              <w:adjustRightInd w:val="0"/>
              <w:snapToGrid w:val="0"/>
              <w:spacing w:before="0" w:beforeAutospacing="0" w:after="0" w:afterAutospacing="0" w:line="360" w:lineRule="auto"/>
              <w:ind w:left="0" w:right="0" w:firstLine="482" w:firstLineChars="200"/>
              <w:jc w:val="both"/>
              <w:rPr>
                <w:rFonts w:hint="default" w:ascii="Times New Roman" w:hAnsi="Times New Roman" w:cs="Times New Roman"/>
                <w:b/>
                <w:bCs/>
                <w:color w:val="auto"/>
                <w:sz w:val="24"/>
                <w:szCs w:val="24"/>
                <w:u w:val="none"/>
                <w:lang w:eastAsia="zh-CN"/>
              </w:rPr>
            </w:pPr>
            <w:r>
              <w:rPr>
                <w:rFonts w:hint="eastAsia" w:cs="Times New Roman"/>
                <w:b/>
                <w:bCs/>
                <w:color w:val="auto"/>
                <w:sz w:val="24"/>
                <w:szCs w:val="24"/>
                <w:u w:val="none"/>
                <w:lang w:val="en-US" w:eastAsia="zh-CN"/>
              </w:rPr>
              <w:t>4、</w:t>
            </w:r>
            <w:r>
              <w:rPr>
                <w:rFonts w:hint="default" w:ascii="Times New Roman" w:hAnsi="Times New Roman" w:cs="Times New Roman"/>
                <w:b/>
                <w:bCs/>
                <w:color w:val="auto"/>
                <w:sz w:val="24"/>
                <w:szCs w:val="24"/>
                <w:u w:val="none"/>
                <w:lang w:eastAsia="zh-CN"/>
              </w:rPr>
              <w:t>中心城区排水系统堵塞严重</w:t>
            </w:r>
          </w:p>
          <w:p w14:paraId="62FA7B09">
            <w:pPr>
              <w:keepNext w:val="0"/>
              <w:keepLines w:val="0"/>
              <w:suppressLineNumbers w:val="0"/>
              <w:adjustRightInd w:val="0"/>
              <w:snapToGrid w:val="0"/>
              <w:spacing w:before="0" w:beforeAutospacing="0" w:after="0" w:afterAutospacing="0" w:line="360" w:lineRule="auto"/>
              <w:ind w:left="0" w:right="0" w:firstLine="480" w:firstLineChars="200"/>
              <w:jc w:val="both"/>
              <w:rPr>
                <w:rFonts w:hint="eastAsia" w:eastAsia="宋体"/>
                <w:b/>
                <w:bCs/>
                <w:color w:val="auto"/>
                <w:u w:val="none"/>
                <w:lang w:eastAsia="zh-CN"/>
              </w:rPr>
            </w:pPr>
            <w:r>
              <w:rPr>
                <w:rFonts w:hint="default" w:ascii="Times New Roman" w:hAnsi="Times New Roman" w:cs="Times New Roman"/>
                <w:b w:val="0"/>
                <w:bCs w:val="0"/>
                <w:color w:val="auto"/>
                <w:sz w:val="24"/>
                <w:szCs w:val="24"/>
                <w:u w:val="none"/>
                <w:lang w:eastAsia="zh-CN"/>
              </w:rPr>
              <w:t>规划区内的排水体制为合流制，大量泥沙随雨水进入排水系统，且常年缺乏清通，排水系统堵塞严重，大大降低了系统的过流能力。</w:t>
            </w:r>
          </w:p>
        </w:tc>
      </w:tr>
      <w:tr w14:paraId="1CF7E4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491" w:type="pct"/>
            <w:vAlign w:val="center"/>
          </w:tcPr>
          <w:p w14:paraId="77C1D168">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FF0000"/>
                <w:kern w:val="0"/>
                <w:sz w:val="24"/>
                <w:u w:val="none"/>
              </w:rPr>
            </w:pPr>
            <w:r>
              <w:rPr>
                <w:rFonts w:hint="eastAsia" w:ascii="宋体" w:hAnsi="宋体" w:cs="宋体"/>
                <w:b/>
                <w:bCs/>
                <w:color w:val="auto"/>
                <w:kern w:val="0"/>
                <w:sz w:val="24"/>
                <w:u w:val="none"/>
              </w:rPr>
              <w:t>生态环境保护目标</w:t>
            </w:r>
          </w:p>
        </w:tc>
        <w:tc>
          <w:tcPr>
            <w:tcW w:w="4509" w:type="pct"/>
            <w:vAlign w:val="center"/>
          </w:tcPr>
          <w:p w14:paraId="3CDA8631">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b/>
                <w:bCs/>
                <w:color w:val="auto"/>
                <w:spacing w:val="-2"/>
                <w:sz w:val="24"/>
                <w:u w:val="none"/>
              </w:rPr>
            </w:pPr>
            <w:r>
              <w:rPr>
                <w:rFonts w:hint="eastAsia"/>
                <w:b/>
                <w:bCs/>
                <w:color w:val="auto"/>
                <w:spacing w:val="-2"/>
                <w:sz w:val="24"/>
                <w:u w:val="none"/>
              </w:rPr>
              <w:t>1、大气环境保护目标</w:t>
            </w:r>
          </w:p>
          <w:p w14:paraId="1272AFF2">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kern w:val="0"/>
                <w:sz w:val="24"/>
                <w:u w:val="none"/>
                <w:lang w:val="en-US" w:eastAsia="zh-CN"/>
              </w:rPr>
            </w:pPr>
            <w:r>
              <w:rPr>
                <w:rFonts w:hint="eastAsia" w:ascii="Times New Roman" w:hAnsi="Times New Roman"/>
                <w:color w:val="auto"/>
                <w:sz w:val="24"/>
                <w:u w:val="none"/>
              </w:rPr>
              <w:t>根据《建设项目环境影响报告表编制技术指南》</w:t>
            </w:r>
            <w:r>
              <w:rPr>
                <w:rFonts w:hint="eastAsia"/>
                <w:color w:val="auto"/>
                <w:sz w:val="24"/>
                <w:u w:val="none"/>
                <w:lang w:eastAsia="zh-CN"/>
              </w:rPr>
              <w:t>（</w:t>
            </w:r>
            <w:r>
              <w:rPr>
                <w:rFonts w:hint="eastAsia"/>
                <w:color w:val="auto"/>
                <w:sz w:val="24"/>
                <w:u w:val="none"/>
                <w:lang w:val="en-US" w:eastAsia="zh-CN"/>
              </w:rPr>
              <w:t>生态影响类</w:t>
            </w:r>
            <w:r>
              <w:rPr>
                <w:rFonts w:hint="eastAsia"/>
                <w:color w:val="auto"/>
                <w:sz w:val="24"/>
                <w:u w:val="none"/>
                <w:lang w:eastAsia="zh-CN"/>
              </w:rPr>
              <w:t>）（</w:t>
            </w:r>
            <w:r>
              <w:rPr>
                <w:rFonts w:hint="eastAsia" w:ascii="Times New Roman" w:hAnsi="Times New Roman"/>
                <w:color w:val="auto"/>
                <w:sz w:val="24"/>
                <w:u w:val="none"/>
              </w:rPr>
              <w:t>试行</w:t>
            </w:r>
            <w:r>
              <w:rPr>
                <w:rFonts w:hint="eastAsia"/>
                <w:color w:val="auto"/>
                <w:sz w:val="24"/>
                <w:u w:val="none"/>
                <w:lang w:eastAsia="zh-CN"/>
              </w:rPr>
              <w:t>）</w:t>
            </w:r>
            <w:r>
              <w:rPr>
                <w:rFonts w:hint="eastAsia"/>
                <w:color w:val="auto"/>
                <w:sz w:val="24"/>
                <w:u w:val="none"/>
                <w:lang w:val="en-US" w:eastAsia="zh-CN"/>
              </w:rPr>
              <w:t>需</w:t>
            </w:r>
            <w:r>
              <w:rPr>
                <w:rFonts w:hint="default" w:ascii="宋体" w:hAnsi="宋体" w:eastAsia="宋体" w:cs="宋体"/>
                <w:sz w:val="24"/>
                <w:szCs w:val="24"/>
              </w:rPr>
              <w:t>按照环境影响评价相关技术导则要求确定评价范围并识别环境保护目标</w:t>
            </w:r>
            <w:r>
              <w:rPr>
                <w:rFonts w:hint="eastAsia" w:ascii="宋体" w:hAnsi="宋体" w:eastAsia="宋体" w:cs="宋体"/>
                <w:sz w:val="24"/>
                <w:szCs w:val="24"/>
                <w:lang w:eastAsia="zh-CN"/>
              </w:rPr>
              <w:t>。</w:t>
            </w:r>
          </w:p>
          <w:p w14:paraId="73BF6CF5">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kern w:val="0"/>
                <w:sz w:val="24"/>
                <w:u w:val="none"/>
              </w:rPr>
            </w:pPr>
            <w:r>
              <w:rPr>
                <w:rFonts w:hint="eastAsia"/>
                <w:color w:val="auto"/>
                <w:kern w:val="0"/>
                <w:sz w:val="24"/>
                <w:u w:val="none"/>
              </w:rPr>
              <w:t>根据《环境影响评价技术导则-大气环境》（HJ2.2-2018）</w:t>
            </w:r>
            <w:r>
              <w:rPr>
                <w:rFonts w:hint="eastAsia"/>
                <w:color w:val="auto"/>
                <w:kern w:val="0"/>
                <w:sz w:val="24"/>
                <w:u w:val="none"/>
                <w:lang w:eastAsia="zh-CN"/>
              </w:rPr>
              <w:t>，</w:t>
            </w:r>
            <w:r>
              <w:rPr>
                <w:rFonts w:hint="eastAsia"/>
                <w:color w:val="auto"/>
                <w:kern w:val="0"/>
                <w:sz w:val="24"/>
                <w:u w:val="none"/>
              </w:rPr>
              <w:t>本项目为生态影响类项目，无需设置大气环境影响评价范围</w:t>
            </w:r>
            <w:r>
              <w:rPr>
                <w:rFonts w:hint="eastAsia"/>
                <w:color w:val="auto"/>
                <w:kern w:val="0"/>
                <w:sz w:val="24"/>
                <w:u w:val="single"/>
                <w:lang w:eastAsia="zh-CN"/>
              </w:rPr>
              <w:t>。</w:t>
            </w:r>
            <w:r>
              <w:rPr>
                <w:rFonts w:hint="eastAsia"/>
                <w:color w:val="auto"/>
                <w:kern w:val="0"/>
                <w:sz w:val="24"/>
                <w:u w:val="single"/>
              </w:rPr>
              <w:t>根据现场踏勘，项目施工沿线近距离内主要为当地居民</w:t>
            </w:r>
            <w:r>
              <w:rPr>
                <w:rFonts w:hint="eastAsia"/>
                <w:color w:val="auto"/>
                <w:kern w:val="0"/>
                <w:sz w:val="24"/>
                <w:u w:val="single"/>
                <w:lang w:eastAsia="zh-CN"/>
              </w:rPr>
              <w:t>，</w:t>
            </w:r>
            <w:r>
              <w:rPr>
                <w:rFonts w:hint="eastAsia"/>
                <w:color w:val="auto"/>
                <w:kern w:val="0"/>
                <w:sz w:val="24"/>
                <w:u w:val="single"/>
              </w:rPr>
              <w:t>因</w:t>
            </w:r>
            <w:r>
              <w:rPr>
                <w:rFonts w:hint="eastAsia"/>
                <w:color w:val="auto"/>
                <w:kern w:val="0"/>
                <w:sz w:val="24"/>
                <w:u w:val="single"/>
                <w:lang w:val="en-US" w:eastAsia="zh-CN"/>
              </w:rPr>
              <w:t>本</w:t>
            </w:r>
            <w:r>
              <w:rPr>
                <w:rFonts w:hint="eastAsia"/>
                <w:color w:val="auto"/>
                <w:kern w:val="0"/>
                <w:sz w:val="24"/>
                <w:u w:val="single"/>
              </w:rPr>
              <w:t>项目为线型工程</w:t>
            </w:r>
            <w:r>
              <w:rPr>
                <w:rFonts w:hint="eastAsia"/>
                <w:color w:val="auto"/>
                <w:kern w:val="0"/>
                <w:sz w:val="24"/>
                <w:u w:val="single"/>
                <w:lang w:val="en-US" w:eastAsia="zh-CN"/>
              </w:rPr>
              <w:t>且本项目的运输路线采用</w:t>
            </w:r>
            <w:r>
              <w:rPr>
                <w:rFonts w:hint="eastAsia"/>
                <w:color w:val="auto"/>
                <w:kern w:val="0"/>
                <w:sz w:val="24"/>
                <w:u w:val="single"/>
                <w:lang w:eastAsia="zh-CN"/>
              </w:rPr>
              <w:t>已有道路</w:t>
            </w:r>
            <w:r>
              <w:rPr>
                <w:rFonts w:hint="eastAsia"/>
                <w:color w:val="auto"/>
                <w:kern w:val="0"/>
                <w:sz w:val="24"/>
                <w:u w:val="single"/>
              </w:rPr>
              <w:t>，影响范围主要集中在200m范围，所以主要保护目标集中在200m范围内</w:t>
            </w:r>
            <w:r>
              <w:rPr>
                <w:rFonts w:hint="eastAsia"/>
                <w:color w:val="auto"/>
                <w:kern w:val="0"/>
                <w:sz w:val="24"/>
                <w:u w:val="single"/>
                <w:lang w:eastAsia="zh-CN"/>
              </w:rPr>
              <w:t>，</w:t>
            </w:r>
            <w:r>
              <w:rPr>
                <w:rFonts w:hint="eastAsia"/>
                <w:color w:val="auto"/>
                <w:kern w:val="0"/>
                <w:sz w:val="24"/>
                <w:u w:val="single"/>
              </w:rPr>
              <w:t>本项目环境保护目标见下表。</w:t>
            </w:r>
          </w:p>
          <w:p w14:paraId="4D5FF24E">
            <w:pPr>
              <w:pStyle w:val="7"/>
              <w:keepNext w:val="0"/>
              <w:keepLines w:val="0"/>
              <w:suppressLineNumbers w:val="0"/>
              <w:spacing w:before="0" w:beforeAutospacing="0" w:after="0" w:afterAutospacing="0" w:line="360" w:lineRule="exact"/>
              <w:ind w:left="0" w:right="0"/>
              <w:rPr>
                <w:rFonts w:hint="default" w:ascii="Times New Roman" w:hAnsi="Times New Roman"/>
                <w:color w:val="auto"/>
                <w:sz w:val="21"/>
                <w:u w:val="single"/>
              </w:rPr>
            </w:pPr>
            <w:r>
              <w:rPr>
                <w:rFonts w:hint="eastAsia" w:ascii="Times New Roman" w:hAnsi="Times New Roman"/>
                <w:color w:val="auto"/>
                <w:sz w:val="21"/>
                <w:u w:val="single"/>
              </w:rPr>
              <w:t>表3-</w:t>
            </w:r>
            <w:r>
              <w:rPr>
                <w:rFonts w:hint="eastAsia" w:ascii="Times New Roman" w:hAnsi="Times New Roman"/>
                <w:color w:val="auto"/>
                <w:sz w:val="21"/>
                <w:u w:val="single"/>
                <w:lang w:val="en-US" w:eastAsia="zh-CN"/>
              </w:rPr>
              <w:t>6</w:t>
            </w:r>
            <w:r>
              <w:rPr>
                <w:rFonts w:hint="eastAsia" w:ascii="Times New Roman" w:hAnsi="Times New Roman"/>
                <w:color w:val="auto"/>
                <w:sz w:val="21"/>
                <w:u w:val="single"/>
              </w:rPr>
              <w:t xml:space="preserve"> </w:t>
            </w:r>
            <w:r>
              <w:rPr>
                <w:rFonts w:hint="eastAsia" w:ascii="Times New Roman" w:hAnsi="Times New Roman"/>
                <w:color w:val="auto"/>
                <w:sz w:val="21"/>
                <w:u w:val="single"/>
                <w:lang w:val="en-US" w:eastAsia="zh-CN"/>
              </w:rPr>
              <w:t xml:space="preserve"> 施工沿线主要</w:t>
            </w:r>
            <w:r>
              <w:rPr>
                <w:rFonts w:hint="eastAsia" w:ascii="Times New Roman" w:hAnsi="Times New Roman"/>
                <w:color w:val="auto"/>
                <w:sz w:val="21"/>
                <w:u w:val="single"/>
              </w:rPr>
              <w:t>大气环境保护目标一览表</w:t>
            </w:r>
          </w:p>
          <w:tbl>
            <w:tblPr>
              <w:tblStyle w:val="27"/>
              <w:tblW w:w="4996" w:type="pct"/>
              <w:tblInd w:w="0" w:type="dxa"/>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653"/>
              <w:gridCol w:w="1426"/>
              <w:gridCol w:w="1340"/>
              <w:gridCol w:w="1582"/>
              <w:gridCol w:w="739"/>
              <w:gridCol w:w="994"/>
              <w:gridCol w:w="715"/>
            </w:tblGrid>
            <w:tr w14:paraId="1E2DE516">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3" w:hRule="atLeast"/>
              </w:trPr>
              <w:tc>
                <w:tcPr>
                  <w:tcW w:w="804" w:type="pct"/>
                  <w:gridSpan w:val="2"/>
                  <w:tcBorders>
                    <w:tl2br w:val="nil"/>
                    <w:tr2bl w:val="nil"/>
                  </w:tcBorders>
                  <w:vAlign w:val="center"/>
                </w:tcPr>
                <w:p w14:paraId="7B26320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lang w:val="en-US" w:eastAsia="zh-CN"/>
                    </w:rPr>
                  </w:pPr>
                  <w:r>
                    <w:rPr>
                      <w:rFonts w:hint="default" w:ascii="Times New Roman" w:hAnsi="Times New Roman" w:cs="Times New Roman"/>
                      <w:b/>
                      <w:color w:val="auto"/>
                      <w:kern w:val="0"/>
                      <w:sz w:val="21"/>
                      <w:szCs w:val="21"/>
                      <w:u w:val="single"/>
                      <w:lang w:val="en-US" w:eastAsia="zh-CN"/>
                    </w:rPr>
                    <w:t>涉及</w:t>
                  </w:r>
                </w:p>
                <w:p w14:paraId="47F4F50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kern w:val="0"/>
                      <w:sz w:val="21"/>
                      <w:szCs w:val="21"/>
                      <w:u w:val="single"/>
                      <w:lang w:val="en-US" w:eastAsia="zh-CN"/>
                    </w:rPr>
                  </w:pPr>
                  <w:r>
                    <w:rPr>
                      <w:rFonts w:hint="default" w:ascii="Times New Roman" w:hAnsi="Times New Roman" w:cs="Times New Roman"/>
                      <w:b/>
                      <w:color w:val="auto"/>
                      <w:kern w:val="0"/>
                      <w:sz w:val="21"/>
                      <w:szCs w:val="21"/>
                      <w:u w:val="single"/>
                      <w:lang w:val="en-US" w:eastAsia="zh-CN"/>
                    </w:rPr>
                    <w:t>工程</w:t>
                  </w:r>
                </w:p>
              </w:tc>
              <w:tc>
                <w:tcPr>
                  <w:tcW w:w="880" w:type="pct"/>
                  <w:tcBorders>
                    <w:tl2br w:val="nil"/>
                    <w:tr2bl w:val="nil"/>
                  </w:tcBorders>
                  <w:vAlign w:val="center"/>
                </w:tcPr>
                <w:p w14:paraId="72B1C67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lang w:val="en-US" w:eastAsia="zh-CN"/>
                    </w:rPr>
                  </w:pPr>
                  <w:r>
                    <w:rPr>
                      <w:rFonts w:hint="default" w:ascii="Times New Roman" w:hAnsi="Times New Roman" w:cs="Times New Roman"/>
                      <w:b/>
                      <w:color w:val="auto"/>
                      <w:kern w:val="0"/>
                      <w:sz w:val="21"/>
                      <w:szCs w:val="21"/>
                      <w:u w:val="single"/>
                      <w:lang w:val="en-US" w:eastAsia="zh-CN"/>
                    </w:rPr>
                    <w:t>保护</w:t>
                  </w:r>
                </w:p>
                <w:p w14:paraId="63BD74E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kern w:val="0"/>
                      <w:sz w:val="21"/>
                      <w:szCs w:val="21"/>
                      <w:u w:val="single"/>
                      <w:lang w:val="en-US" w:eastAsia="zh-CN"/>
                    </w:rPr>
                  </w:pPr>
                  <w:r>
                    <w:rPr>
                      <w:rFonts w:hint="default" w:ascii="Times New Roman" w:hAnsi="Times New Roman" w:cs="Times New Roman"/>
                      <w:b/>
                      <w:color w:val="auto"/>
                      <w:kern w:val="0"/>
                      <w:sz w:val="21"/>
                      <w:szCs w:val="21"/>
                      <w:u w:val="single"/>
                      <w:lang w:val="en-US" w:eastAsia="zh-CN"/>
                    </w:rPr>
                    <w:t>目标</w:t>
                  </w:r>
                </w:p>
              </w:tc>
              <w:tc>
                <w:tcPr>
                  <w:tcW w:w="827" w:type="pct"/>
                  <w:tcBorders>
                    <w:tl2br w:val="nil"/>
                    <w:tr2bl w:val="nil"/>
                  </w:tcBorders>
                  <w:vAlign w:val="center"/>
                </w:tcPr>
                <w:p w14:paraId="3A99F06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kern w:val="0"/>
                      <w:sz w:val="21"/>
                      <w:szCs w:val="21"/>
                      <w:u w:val="single"/>
                      <w:lang w:val="en-US" w:eastAsia="zh-CN"/>
                    </w:rPr>
                  </w:pPr>
                  <w:r>
                    <w:rPr>
                      <w:rFonts w:hint="default" w:ascii="Times New Roman" w:hAnsi="Times New Roman" w:cs="Times New Roman"/>
                      <w:b/>
                      <w:color w:val="auto"/>
                      <w:kern w:val="0"/>
                      <w:sz w:val="21"/>
                      <w:szCs w:val="21"/>
                      <w:u w:val="single"/>
                      <w:lang w:val="en-US" w:eastAsia="zh-CN"/>
                    </w:rPr>
                    <w:t>与工程相对位置</w:t>
                  </w:r>
                </w:p>
              </w:tc>
              <w:tc>
                <w:tcPr>
                  <w:tcW w:w="976" w:type="pct"/>
                  <w:tcBorders>
                    <w:tl2br w:val="nil"/>
                    <w:tr2bl w:val="nil"/>
                  </w:tcBorders>
                  <w:vAlign w:val="center"/>
                </w:tcPr>
                <w:p w14:paraId="14681C1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rPr>
                  </w:pPr>
                  <w:r>
                    <w:rPr>
                      <w:rFonts w:hint="default" w:ascii="Times New Roman" w:hAnsi="Times New Roman" w:cs="Times New Roman"/>
                      <w:b/>
                      <w:color w:val="auto"/>
                      <w:kern w:val="0"/>
                      <w:sz w:val="21"/>
                      <w:szCs w:val="21"/>
                      <w:u w:val="single"/>
                    </w:rPr>
                    <w:t>坐标</w:t>
                  </w:r>
                </w:p>
                <w:p w14:paraId="7BE074E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kern w:val="0"/>
                      <w:sz w:val="21"/>
                      <w:szCs w:val="21"/>
                      <w:u w:val="single"/>
                      <w:lang w:eastAsia="zh-CN"/>
                    </w:rPr>
                  </w:pPr>
                  <w:r>
                    <w:rPr>
                      <w:rFonts w:hint="default" w:ascii="Times New Roman" w:hAnsi="Times New Roman" w:cs="Times New Roman"/>
                      <w:b/>
                      <w:color w:val="auto"/>
                      <w:kern w:val="0"/>
                      <w:sz w:val="21"/>
                      <w:szCs w:val="21"/>
                      <w:u w:val="single"/>
                      <w:lang w:eastAsia="zh-CN"/>
                    </w:rPr>
                    <w:t>（</w:t>
                  </w:r>
                  <w:r>
                    <w:rPr>
                      <w:rFonts w:hint="default" w:ascii="Times New Roman" w:hAnsi="Times New Roman" w:cs="Times New Roman"/>
                      <w:b/>
                      <w:color w:val="auto"/>
                      <w:kern w:val="0"/>
                      <w:sz w:val="21"/>
                      <w:szCs w:val="21"/>
                      <w:u w:val="single"/>
                      <w:lang w:val="en-US" w:eastAsia="zh-CN"/>
                    </w:rPr>
                    <w:t>经纬度</w:t>
                  </w:r>
                  <w:r>
                    <w:rPr>
                      <w:rFonts w:hint="default" w:ascii="Times New Roman" w:hAnsi="Times New Roman" w:cs="Times New Roman"/>
                      <w:b/>
                      <w:color w:val="auto"/>
                      <w:kern w:val="0"/>
                      <w:sz w:val="21"/>
                      <w:szCs w:val="21"/>
                      <w:u w:val="single"/>
                      <w:lang w:eastAsia="zh-CN"/>
                    </w:rPr>
                    <w:t>）</w:t>
                  </w:r>
                </w:p>
              </w:tc>
              <w:tc>
                <w:tcPr>
                  <w:tcW w:w="456" w:type="pct"/>
                  <w:tcBorders>
                    <w:tl2br w:val="nil"/>
                    <w:tr2bl w:val="nil"/>
                  </w:tcBorders>
                  <w:vAlign w:val="center"/>
                </w:tcPr>
                <w:p w14:paraId="589AC96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rPr>
                  </w:pPr>
                  <w:r>
                    <w:rPr>
                      <w:rFonts w:hint="default" w:ascii="Times New Roman" w:hAnsi="Times New Roman" w:cs="Times New Roman"/>
                      <w:b/>
                      <w:color w:val="auto"/>
                      <w:kern w:val="0"/>
                      <w:sz w:val="21"/>
                      <w:szCs w:val="21"/>
                      <w:u w:val="single"/>
                    </w:rPr>
                    <w:t>保护对象</w:t>
                  </w:r>
                </w:p>
              </w:tc>
              <w:tc>
                <w:tcPr>
                  <w:tcW w:w="613" w:type="pct"/>
                  <w:tcBorders>
                    <w:tl2br w:val="nil"/>
                    <w:tr2bl w:val="nil"/>
                  </w:tcBorders>
                  <w:vAlign w:val="center"/>
                </w:tcPr>
                <w:p w14:paraId="39709CC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rPr>
                  </w:pPr>
                  <w:r>
                    <w:rPr>
                      <w:rFonts w:hint="default" w:ascii="Times New Roman" w:hAnsi="Times New Roman" w:cs="Times New Roman"/>
                      <w:b/>
                      <w:color w:val="auto"/>
                      <w:kern w:val="0"/>
                      <w:sz w:val="21"/>
                      <w:szCs w:val="21"/>
                      <w:u w:val="single"/>
                    </w:rPr>
                    <w:t>保护内容</w:t>
                  </w:r>
                </w:p>
              </w:tc>
              <w:tc>
                <w:tcPr>
                  <w:tcW w:w="441" w:type="pct"/>
                  <w:tcBorders>
                    <w:tl2br w:val="nil"/>
                    <w:tr2bl w:val="nil"/>
                  </w:tcBorders>
                  <w:vAlign w:val="center"/>
                </w:tcPr>
                <w:p w14:paraId="2B44871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rPr>
                  </w:pPr>
                  <w:r>
                    <w:rPr>
                      <w:rFonts w:hint="default" w:ascii="Times New Roman" w:hAnsi="Times New Roman" w:cs="Times New Roman"/>
                      <w:b/>
                      <w:color w:val="auto"/>
                      <w:kern w:val="0"/>
                      <w:sz w:val="21"/>
                      <w:szCs w:val="21"/>
                      <w:u w:val="single"/>
                    </w:rPr>
                    <w:t>环境功能区</w:t>
                  </w:r>
                </w:p>
              </w:tc>
            </w:tr>
            <w:tr w14:paraId="15D9933F">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1" w:type="pct"/>
                  <w:vMerge w:val="restart"/>
                  <w:tcBorders>
                    <w:tl2br w:val="nil"/>
                    <w:tr2bl w:val="nil"/>
                  </w:tcBorders>
                  <w:vAlign w:val="center"/>
                </w:tcPr>
                <w:p w14:paraId="67C2C3D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u w:val="single"/>
                      <w:vertAlign w:val="baseline"/>
                      <w:lang w:val="en-US" w:eastAsia="zh-CN"/>
                    </w:rPr>
                  </w:pPr>
                  <w:r>
                    <w:rPr>
                      <w:rFonts w:hint="eastAsia" w:cs="Times New Roman"/>
                      <w:b w:val="0"/>
                      <w:bCs w:val="0"/>
                      <w:color w:val="auto"/>
                      <w:sz w:val="21"/>
                      <w:szCs w:val="21"/>
                      <w:u w:val="single"/>
                      <w:vertAlign w:val="baseline"/>
                      <w:lang w:val="en-US" w:eastAsia="zh-CN"/>
                    </w:rPr>
                    <w:t>雨水行泄通道工程</w:t>
                  </w:r>
                </w:p>
              </w:tc>
              <w:tc>
                <w:tcPr>
                  <w:tcW w:w="403" w:type="pct"/>
                  <w:vMerge w:val="restart"/>
                  <w:tcBorders>
                    <w:tl2br w:val="nil"/>
                    <w:tr2bl w:val="nil"/>
                  </w:tcBorders>
                  <w:vAlign w:val="center"/>
                </w:tcPr>
                <w:p w14:paraId="7B6DC24F">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cs="Times New Roman"/>
                      <w:b w:val="0"/>
                      <w:bCs w:val="0"/>
                      <w:color w:val="auto"/>
                      <w:sz w:val="21"/>
                      <w:szCs w:val="21"/>
                      <w:u w:val="single"/>
                      <w:vertAlign w:val="baseline"/>
                      <w:lang w:val="en-US" w:eastAsia="zh-CN"/>
                    </w:rPr>
                    <w:t>长安河上游</w:t>
                  </w:r>
                </w:p>
              </w:tc>
              <w:tc>
                <w:tcPr>
                  <w:tcW w:w="880" w:type="pct"/>
                  <w:tcBorders>
                    <w:tl2br w:val="nil"/>
                    <w:tr2bl w:val="nil"/>
                  </w:tcBorders>
                  <w:vAlign w:val="center"/>
                </w:tcPr>
                <w:p w14:paraId="0E5CB9B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大岭村居民点</w:t>
                  </w:r>
                </w:p>
              </w:tc>
              <w:tc>
                <w:tcPr>
                  <w:tcW w:w="827" w:type="pct"/>
                  <w:tcBorders>
                    <w:tl2br w:val="nil"/>
                    <w:tr2bl w:val="nil"/>
                  </w:tcBorders>
                  <w:vAlign w:val="center"/>
                </w:tcPr>
                <w:p w14:paraId="6DFF417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东侧24-200m</w:t>
                  </w:r>
                </w:p>
              </w:tc>
              <w:tc>
                <w:tcPr>
                  <w:tcW w:w="976" w:type="pct"/>
                  <w:tcBorders>
                    <w:tl2br w:val="nil"/>
                    <w:tr2bl w:val="nil"/>
                  </w:tcBorders>
                  <w:vAlign w:val="center"/>
                </w:tcPr>
                <w:p w14:paraId="38DB9D0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113.4423082,</w:t>
                  </w:r>
                </w:p>
                <w:p w14:paraId="3C2C498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29.424325176</w:t>
                  </w:r>
                </w:p>
              </w:tc>
              <w:tc>
                <w:tcPr>
                  <w:tcW w:w="456" w:type="pct"/>
                  <w:tcBorders>
                    <w:tl2br w:val="nil"/>
                    <w:tr2bl w:val="nil"/>
                  </w:tcBorders>
                  <w:vAlign w:val="center"/>
                </w:tcPr>
                <w:p w14:paraId="13094C4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tcBorders>
                    <w:tl2br w:val="nil"/>
                    <w:tr2bl w:val="nil"/>
                  </w:tcBorders>
                  <w:vAlign w:val="center"/>
                </w:tcPr>
                <w:p w14:paraId="325267F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约1</w:t>
                  </w:r>
                  <w:r>
                    <w:rPr>
                      <w:rFonts w:hint="eastAsia" w:ascii="Times New Roman" w:hAnsi="Times New Roman" w:cs="Times New Roman"/>
                      <w:color w:val="auto"/>
                      <w:kern w:val="0"/>
                      <w:sz w:val="21"/>
                      <w:szCs w:val="21"/>
                      <w:u w:val="single"/>
                      <w:lang w:val="en-US" w:eastAsia="zh-CN"/>
                    </w:rPr>
                    <w:t>20户</w:t>
                  </w:r>
                </w:p>
              </w:tc>
              <w:tc>
                <w:tcPr>
                  <w:tcW w:w="441" w:type="pct"/>
                  <w:tcBorders>
                    <w:tl2br w:val="nil"/>
                    <w:tr2bl w:val="nil"/>
                  </w:tcBorders>
                  <w:vAlign w:val="center"/>
                </w:tcPr>
                <w:p w14:paraId="5A609DB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69AEAF6F">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1" w:type="pct"/>
                  <w:vMerge w:val="continue"/>
                  <w:tcBorders>
                    <w:tl2br w:val="nil"/>
                    <w:tr2bl w:val="nil"/>
                  </w:tcBorders>
                  <w:vAlign w:val="center"/>
                </w:tcPr>
                <w:p w14:paraId="3B909C4F">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u w:val="single"/>
                      <w:vertAlign w:val="baseline"/>
                      <w:lang w:val="en-US" w:eastAsia="zh-CN"/>
                    </w:rPr>
                  </w:pPr>
                </w:p>
              </w:tc>
              <w:tc>
                <w:tcPr>
                  <w:tcW w:w="403" w:type="pct"/>
                  <w:vMerge w:val="continue"/>
                  <w:tcBorders>
                    <w:tl2br w:val="nil"/>
                    <w:tr2bl w:val="nil"/>
                  </w:tcBorders>
                  <w:vAlign w:val="center"/>
                </w:tcPr>
                <w:p w14:paraId="1A889C72">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u w:val="single"/>
                      <w:vertAlign w:val="baseline"/>
                      <w:lang w:val="en-US" w:eastAsia="zh-CN"/>
                    </w:rPr>
                  </w:pPr>
                </w:p>
              </w:tc>
              <w:tc>
                <w:tcPr>
                  <w:tcW w:w="880" w:type="pct"/>
                  <w:tcBorders>
                    <w:tl2br w:val="nil"/>
                    <w:tr2bl w:val="nil"/>
                  </w:tcBorders>
                  <w:vAlign w:val="center"/>
                </w:tcPr>
                <w:p w14:paraId="27ECB0B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临湘市城南</w:t>
                  </w:r>
                </w:p>
                <w:p w14:paraId="0441CA2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中心小学</w:t>
                  </w:r>
                </w:p>
              </w:tc>
              <w:tc>
                <w:tcPr>
                  <w:tcW w:w="827" w:type="pct"/>
                  <w:tcBorders>
                    <w:tl2br w:val="nil"/>
                    <w:tr2bl w:val="nil"/>
                  </w:tcBorders>
                  <w:vAlign w:val="center"/>
                </w:tcPr>
                <w:p w14:paraId="4C4EC05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西侧176m</w:t>
                  </w:r>
                </w:p>
              </w:tc>
              <w:tc>
                <w:tcPr>
                  <w:tcW w:w="976" w:type="pct"/>
                  <w:tcBorders>
                    <w:tl2br w:val="nil"/>
                    <w:tr2bl w:val="nil"/>
                  </w:tcBorders>
                  <w:vAlign w:val="center"/>
                </w:tcPr>
                <w:p w14:paraId="6663EB1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113.440425326,</w:t>
                  </w:r>
                </w:p>
                <w:p w14:paraId="28BB19D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29.425816485</w:t>
                  </w:r>
                </w:p>
              </w:tc>
              <w:tc>
                <w:tcPr>
                  <w:tcW w:w="456" w:type="pct"/>
                  <w:tcBorders>
                    <w:tl2br w:val="nil"/>
                    <w:tr2bl w:val="nil"/>
                  </w:tcBorders>
                  <w:vAlign w:val="center"/>
                </w:tcPr>
                <w:p w14:paraId="5CEAA872">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师生</w:t>
                  </w:r>
                </w:p>
              </w:tc>
              <w:tc>
                <w:tcPr>
                  <w:tcW w:w="613" w:type="pct"/>
                  <w:tcBorders>
                    <w:tl2br w:val="nil"/>
                    <w:tr2bl w:val="nil"/>
                  </w:tcBorders>
                  <w:vAlign w:val="center"/>
                </w:tcPr>
                <w:p w14:paraId="4144EA6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800</w:t>
                  </w:r>
                  <w:r>
                    <w:rPr>
                      <w:rFonts w:hint="default" w:ascii="Times New Roman" w:hAnsi="Times New Roman" w:cs="Times New Roman"/>
                      <w:color w:val="auto"/>
                      <w:kern w:val="0"/>
                      <w:sz w:val="21"/>
                      <w:szCs w:val="21"/>
                      <w:u w:val="single"/>
                    </w:rPr>
                    <w:t>人</w:t>
                  </w:r>
                </w:p>
              </w:tc>
              <w:tc>
                <w:tcPr>
                  <w:tcW w:w="441" w:type="pct"/>
                  <w:tcBorders>
                    <w:tl2br w:val="nil"/>
                    <w:tr2bl w:val="nil"/>
                  </w:tcBorders>
                  <w:vAlign w:val="center"/>
                </w:tcPr>
                <w:p w14:paraId="5D37ECE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67F904FB">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1" w:type="pct"/>
                  <w:vMerge w:val="continue"/>
                  <w:tcBorders>
                    <w:tl2br w:val="nil"/>
                    <w:tr2bl w:val="nil"/>
                  </w:tcBorders>
                  <w:vAlign w:val="center"/>
                </w:tcPr>
                <w:p w14:paraId="3BA94D3B">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u w:val="single"/>
                      <w:vertAlign w:val="baseline"/>
                      <w:lang w:val="en-US" w:eastAsia="zh-CN"/>
                    </w:rPr>
                  </w:pPr>
                </w:p>
              </w:tc>
              <w:tc>
                <w:tcPr>
                  <w:tcW w:w="403" w:type="pct"/>
                  <w:vMerge w:val="continue"/>
                  <w:tcBorders>
                    <w:tl2br w:val="nil"/>
                    <w:tr2bl w:val="nil"/>
                  </w:tcBorders>
                  <w:vAlign w:val="center"/>
                </w:tcPr>
                <w:p w14:paraId="159B2020">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u w:val="single"/>
                      <w:vertAlign w:val="baseline"/>
                      <w:lang w:val="en-US" w:eastAsia="zh-CN"/>
                    </w:rPr>
                  </w:pPr>
                </w:p>
              </w:tc>
              <w:tc>
                <w:tcPr>
                  <w:tcW w:w="880" w:type="pct"/>
                  <w:tcBorders>
                    <w:tl2br w:val="nil"/>
                    <w:tr2bl w:val="nil"/>
                  </w:tcBorders>
                  <w:vAlign w:val="center"/>
                </w:tcPr>
                <w:p w14:paraId="4E5F08B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大岭口居民点</w:t>
                  </w:r>
                </w:p>
              </w:tc>
              <w:tc>
                <w:tcPr>
                  <w:tcW w:w="827" w:type="pct"/>
                  <w:tcBorders>
                    <w:tl2br w:val="nil"/>
                    <w:tr2bl w:val="nil"/>
                  </w:tcBorders>
                  <w:vAlign w:val="center"/>
                </w:tcPr>
                <w:p w14:paraId="0F34E0F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东侧20-180m</w:t>
                  </w:r>
                </w:p>
              </w:tc>
              <w:tc>
                <w:tcPr>
                  <w:tcW w:w="976" w:type="pct"/>
                  <w:tcBorders>
                    <w:tl2br w:val="nil"/>
                    <w:tr2bl w:val="nil"/>
                  </w:tcBorders>
                  <w:vAlign w:val="center"/>
                </w:tcPr>
                <w:p w14:paraId="373289C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113.442162057,</w:t>
                  </w:r>
                </w:p>
                <w:p w14:paraId="09CB4DA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29.432988712</w:t>
                  </w:r>
                </w:p>
              </w:tc>
              <w:tc>
                <w:tcPr>
                  <w:tcW w:w="456" w:type="pct"/>
                  <w:tcBorders>
                    <w:tl2br w:val="nil"/>
                    <w:tr2bl w:val="nil"/>
                  </w:tcBorders>
                  <w:vAlign w:val="center"/>
                </w:tcPr>
                <w:p w14:paraId="085F3DF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tcBorders>
                    <w:tl2br w:val="nil"/>
                    <w:tr2bl w:val="nil"/>
                  </w:tcBorders>
                  <w:vAlign w:val="center"/>
                </w:tcPr>
                <w:p w14:paraId="4B530772">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eastAsia="zh-CN"/>
                    </w:rPr>
                  </w:pPr>
                  <w:r>
                    <w:rPr>
                      <w:rFonts w:hint="default" w:ascii="Times New Roman" w:hAnsi="Times New Roman" w:cs="Times New Roman"/>
                      <w:color w:val="auto"/>
                      <w:kern w:val="0"/>
                      <w:sz w:val="21"/>
                      <w:szCs w:val="21"/>
                      <w:u w:val="single"/>
                    </w:rPr>
                    <w:t>约100</w:t>
                  </w:r>
                  <w:r>
                    <w:rPr>
                      <w:rFonts w:hint="eastAsia" w:cs="Times New Roman"/>
                      <w:color w:val="auto"/>
                      <w:kern w:val="0"/>
                      <w:sz w:val="21"/>
                      <w:szCs w:val="21"/>
                      <w:u w:val="single"/>
                      <w:lang w:val="en-US" w:eastAsia="zh-CN"/>
                    </w:rPr>
                    <w:t>户</w:t>
                  </w:r>
                </w:p>
              </w:tc>
              <w:tc>
                <w:tcPr>
                  <w:tcW w:w="441" w:type="pct"/>
                  <w:tcBorders>
                    <w:tl2br w:val="nil"/>
                    <w:tr2bl w:val="nil"/>
                  </w:tcBorders>
                  <w:vAlign w:val="center"/>
                </w:tcPr>
                <w:p w14:paraId="36ABF1E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40A8437C">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1" w:type="pct"/>
                  <w:vMerge w:val="continue"/>
                  <w:tcBorders>
                    <w:tl2br w:val="nil"/>
                    <w:tr2bl w:val="nil"/>
                  </w:tcBorders>
                  <w:vAlign w:val="center"/>
                </w:tcPr>
                <w:p w14:paraId="5692FB6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Merge w:val="continue"/>
                  <w:tcBorders>
                    <w:tl2br w:val="nil"/>
                    <w:tr2bl w:val="nil"/>
                  </w:tcBorders>
                  <w:vAlign w:val="center"/>
                </w:tcPr>
                <w:p w14:paraId="2A4F5CA1">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880" w:type="pct"/>
                  <w:tcBorders>
                    <w:tl2br w:val="nil"/>
                    <w:tr2bl w:val="nil"/>
                  </w:tcBorders>
                  <w:vAlign w:val="center"/>
                </w:tcPr>
                <w:p w14:paraId="2E5D2CA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三湾曹家</w:t>
                  </w:r>
                </w:p>
                <w:p w14:paraId="57D5E45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居民点</w:t>
                  </w:r>
                </w:p>
              </w:tc>
              <w:tc>
                <w:tcPr>
                  <w:tcW w:w="827" w:type="pct"/>
                  <w:tcBorders>
                    <w:tl2br w:val="nil"/>
                    <w:tr2bl w:val="nil"/>
                  </w:tcBorders>
                  <w:vAlign w:val="center"/>
                </w:tcPr>
                <w:p w14:paraId="6E008E4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西侧93-200m</w:t>
                  </w:r>
                </w:p>
              </w:tc>
              <w:tc>
                <w:tcPr>
                  <w:tcW w:w="976" w:type="pct"/>
                  <w:tcBorders>
                    <w:tl2br w:val="nil"/>
                    <w:tr2bl w:val="nil"/>
                  </w:tcBorders>
                  <w:vAlign w:val="center"/>
                </w:tcPr>
                <w:p w14:paraId="732E0BC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113.439297457,</w:t>
                  </w:r>
                </w:p>
                <w:p w14:paraId="1651E46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29.435799667</w:t>
                  </w:r>
                </w:p>
              </w:tc>
              <w:tc>
                <w:tcPr>
                  <w:tcW w:w="456" w:type="pct"/>
                  <w:tcBorders>
                    <w:tl2br w:val="nil"/>
                    <w:tr2bl w:val="nil"/>
                  </w:tcBorders>
                  <w:vAlign w:val="center"/>
                </w:tcPr>
                <w:p w14:paraId="653A770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tcBorders>
                    <w:tl2br w:val="nil"/>
                    <w:tr2bl w:val="nil"/>
                  </w:tcBorders>
                  <w:vAlign w:val="center"/>
                </w:tcPr>
                <w:p w14:paraId="5522C3B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50户</w:t>
                  </w:r>
                </w:p>
              </w:tc>
              <w:tc>
                <w:tcPr>
                  <w:tcW w:w="441" w:type="pct"/>
                  <w:tcBorders>
                    <w:tl2br w:val="nil"/>
                    <w:tr2bl w:val="nil"/>
                  </w:tcBorders>
                  <w:vAlign w:val="center"/>
                </w:tcPr>
                <w:p w14:paraId="7BFE0BE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3B993D20">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1" w:type="pct"/>
                  <w:vMerge w:val="continue"/>
                  <w:tcBorders>
                    <w:tl2br w:val="nil"/>
                    <w:tr2bl w:val="nil"/>
                  </w:tcBorders>
                  <w:vAlign w:val="center"/>
                </w:tcPr>
                <w:p w14:paraId="311DDFCC">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Merge w:val="continue"/>
                  <w:tcBorders>
                    <w:tl2br w:val="nil"/>
                    <w:tr2bl w:val="nil"/>
                  </w:tcBorders>
                  <w:vAlign w:val="center"/>
                </w:tcPr>
                <w:p w14:paraId="185D9E20">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880" w:type="pct"/>
                  <w:tcBorders>
                    <w:tl2br w:val="nil"/>
                    <w:tr2bl w:val="nil"/>
                  </w:tcBorders>
                  <w:vAlign w:val="center"/>
                </w:tcPr>
                <w:p w14:paraId="15C45AD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联合村居民点</w:t>
                  </w:r>
                </w:p>
              </w:tc>
              <w:tc>
                <w:tcPr>
                  <w:tcW w:w="827" w:type="pct"/>
                  <w:tcBorders>
                    <w:tl2br w:val="nil"/>
                    <w:tr2bl w:val="nil"/>
                  </w:tcBorders>
                  <w:vAlign w:val="center"/>
                </w:tcPr>
                <w:p w14:paraId="512B48A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东侧55-200m</w:t>
                  </w:r>
                </w:p>
              </w:tc>
              <w:tc>
                <w:tcPr>
                  <w:tcW w:w="976" w:type="pct"/>
                  <w:tcBorders>
                    <w:tl2br w:val="nil"/>
                    <w:tr2bl w:val="nil"/>
                  </w:tcBorders>
                  <w:vAlign w:val="center"/>
                </w:tcPr>
                <w:p w14:paraId="6BDF066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113.440772672,</w:t>
                  </w:r>
                </w:p>
                <w:p w14:paraId="56718FC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29.441266009</w:t>
                  </w:r>
                </w:p>
              </w:tc>
              <w:tc>
                <w:tcPr>
                  <w:tcW w:w="456" w:type="pct"/>
                  <w:tcBorders>
                    <w:tl2br w:val="nil"/>
                    <w:tr2bl w:val="nil"/>
                  </w:tcBorders>
                  <w:vAlign w:val="center"/>
                </w:tcPr>
                <w:p w14:paraId="787D44A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tcBorders>
                    <w:tl2br w:val="nil"/>
                    <w:tr2bl w:val="nil"/>
                  </w:tcBorders>
                  <w:vAlign w:val="center"/>
                </w:tcPr>
                <w:p w14:paraId="684142E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200户</w:t>
                  </w:r>
                </w:p>
              </w:tc>
              <w:tc>
                <w:tcPr>
                  <w:tcW w:w="441" w:type="pct"/>
                  <w:tcBorders>
                    <w:tl2br w:val="nil"/>
                    <w:tr2bl w:val="nil"/>
                  </w:tcBorders>
                  <w:vAlign w:val="center"/>
                </w:tcPr>
                <w:p w14:paraId="344E232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0A8AE407">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tcBorders>
                    <w:tl2br w:val="nil"/>
                    <w:tr2bl w:val="nil"/>
                  </w:tcBorders>
                  <w:vAlign w:val="center"/>
                </w:tcPr>
                <w:p w14:paraId="62F0431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Merge w:val="restart"/>
                  <w:tcBorders>
                    <w:tl2br w:val="nil"/>
                    <w:tr2bl w:val="nil"/>
                  </w:tcBorders>
                  <w:vAlign w:val="center"/>
                </w:tcPr>
                <w:p w14:paraId="10FFFE5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eastAsia="zh-CN"/>
                    </w:rPr>
                  </w:pPr>
                  <w:r>
                    <w:rPr>
                      <w:rFonts w:hint="default" w:ascii="Times New Roman" w:hAnsi="Times New Roman" w:eastAsia="宋体" w:cs="Times New Roman"/>
                      <w:b w:val="0"/>
                      <w:bCs w:val="0"/>
                      <w:color w:val="auto"/>
                      <w:sz w:val="21"/>
                      <w:szCs w:val="21"/>
                      <w:u w:val="single"/>
                      <w:vertAlign w:val="baseline"/>
                      <w:lang w:val="en-US" w:eastAsia="zh-CN"/>
                    </w:rPr>
                    <w:t>长安河下游</w:t>
                  </w:r>
                </w:p>
              </w:tc>
              <w:tc>
                <w:tcPr>
                  <w:tcW w:w="880" w:type="pct"/>
                  <w:tcBorders>
                    <w:tl2br w:val="nil"/>
                    <w:tr2bl w:val="nil"/>
                  </w:tcBorders>
                  <w:vAlign w:val="center"/>
                </w:tcPr>
                <w:p w14:paraId="58C86B0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笔字塘居民点</w:t>
                  </w:r>
                </w:p>
              </w:tc>
              <w:tc>
                <w:tcPr>
                  <w:tcW w:w="827" w:type="pct"/>
                  <w:tcBorders>
                    <w:tl2br w:val="nil"/>
                    <w:tr2bl w:val="nil"/>
                  </w:tcBorders>
                  <w:vAlign w:val="center"/>
                </w:tcPr>
                <w:p w14:paraId="51E575D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东侧80-200m</w:t>
                  </w:r>
                </w:p>
              </w:tc>
              <w:tc>
                <w:tcPr>
                  <w:tcW w:w="976" w:type="pct"/>
                  <w:tcBorders>
                    <w:tl2br w:val="nil"/>
                    <w:tr2bl w:val="nil"/>
                  </w:tcBorders>
                  <w:vAlign w:val="center"/>
                </w:tcPr>
                <w:p w14:paraId="2045F9C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113.457665224,</w:t>
                  </w:r>
                </w:p>
                <w:p w14:paraId="430241B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29.488290497</w:t>
                  </w:r>
                </w:p>
              </w:tc>
              <w:tc>
                <w:tcPr>
                  <w:tcW w:w="456" w:type="pct"/>
                  <w:tcBorders>
                    <w:tl2br w:val="nil"/>
                    <w:tr2bl w:val="nil"/>
                  </w:tcBorders>
                  <w:vAlign w:val="center"/>
                </w:tcPr>
                <w:p w14:paraId="5508428B">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tcBorders>
                    <w:tl2br w:val="nil"/>
                    <w:tr2bl w:val="nil"/>
                  </w:tcBorders>
                  <w:vAlign w:val="center"/>
                </w:tcPr>
                <w:p w14:paraId="1AD63ACD">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20户</w:t>
                  </w:r>
                </w:p>
              </w:tc>
              <w:tc>
                <w:tcPr>
                  <w:tcW w:w="441" w:type="pct"/>
                  <w:tcBorders>
                    <w:tl2br w:val="nil"/>
                    <w:tr2bl w:val="nil"/>
                  </w:tcBorders>
                  <w:vAlign w:val="center"/>
                </w:tcPr>
                <w:p w14:paraId="21490C3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25773E28">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tcBorders>
                    <w:tl2br w:val="nil"/>
                    <w:tr2bl w:val="nil"/>
                  </w:tcBorders>
                  <w:vAlign w:val="center"/>
                </w:tcPr>
                <w:p w14:paraId="0B1AAEA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Merge w:val="continue"/>
                  <w:tcBorders>
                    <w:tl2br w:val="nil"/>
                    <w:tr2bl w:val="nil"/>
                  </w:tcBorders>
                  <w:vAlign w:val="center"/>
                </w:tcPr>
                <w:p w14:paraId="3CBE022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880" w:type="pct"/>
                  <w:tcBorders>
                    <w:tl2br w:val="nil"/>
                    <w:tr2bl w:val="nil"/>
                  </w:tcBorders>
                  <w:vAlign w:val="center"/>
                </w:tcPr>
                <w:p w14:paraId="19BAEC3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徐家垄居民点</w:t>
                  </w:r>
                </w:p>
              </w:tc>
              <w:tc>
                <w:tcPr>
                  <w:tcW w:w="827" w:type="pct"/>
                  <w:tcBorders>
                    <w:tl2br w:val="nil"/>
                    <w:tr2bl w:val="nil"/>
                  </w:tcBorders>
                  <w:vAlign w:val="center"/>
                </w:tcPr>
                <w:p w14:paraId="087E7A2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西侧70-200m</w:t>
                  </w:r>
                </w:p>
              </w:tc>
              <w:tc>
                <w:tcPr>
                  <w:tcW w:w="976" w:type="pct"/>
                  <w:tcBorders>
                    <w:tl2br w:val="nil"/>
                    <w:tr2bl w:val="nil"/>
                  </w:tcBorders>
                  <w:vAlign w:val="center"/>
                </w:tcPr>
                <w:p w14:paraId="77C5DC2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113.454291005,</w:t>
                  </w:r>
                </w:p>
                <w:p w14:paraId="2E98A84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29.490355798</w:t>
                  </w:r>
                </w:p>
              </w:tc>
              <w:tc>
                <w:tcPr>
                  <w:tcW w:w="456" w:type="pct"/>
                  <w:tcBorders>
                    <w:tl2br w:val="nil"/>
                    <w:tr2bl w:val="nil"/>
                  </w:tcBorders>
                  <w:vAlign w:val="center"/>
                </w:tcPr>
                <w:p w14:paraId="50D557C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tcBorders>
                    <w:tl2br w:val="nil"/>
                    <w:tr2bl w:val="nil"/>
                  </w:tcBorders>
                  <w:vAlign w:val="center"/>
                </w:tcPr>
                <w:p w14:paraId="7414A40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50户</w:t>
                  </w:r>
                </w:p>
              </w:tc>
              <w:tc>
                <w:tcPr>
                  <w:tcW w:w="441" w:type="pct"/>
                  <w:tcBorders>
                    <w:tl2br w:val="nil"/>
                    <w:tr2bl w:val="nil"/>
                  </w:tcBorders>
                  <w:vAlign w:val="center"/>
                </w:tcPr>
                <w:p w14:paraId="1758114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5DCD306C">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tcBorders>
                    <w:tl2br w:val="nil"/>
                    <w:tr2bl w:val="nil"/>
                  </w:tcBorders>
                  <w:vAlign w:val="center"/>
                </w:tcPr>
                <w:p w14:paraId="3F84299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eastAsia="zh-CN"/>
                    </w:rPr>
                  </w:pPr>
                </w:p>
              </w:tc>
              <w:tc>
                <w:tcPr>
                  <w:tcW w:w="403" w:type="pct"/>
                  <w:vMerge w:val="continue"/>
                  <w:tcBorders>
                    <w:tl2br w:val="nil"/>
                    <w:tr2bl w:val="nil"/>
                  </w:tcBorders>
                  <w:vAlign w:val="center"/>
                </w:tcPr>
                <w:p w14:paraId="59F2314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eastAsia="zh-CN"/>
                    </w:rPr>
                  </w:pPr>
                </w:p>
              </w:tc>
              <w:tc>
                <w:tcPr>
                  <w:tcW w:w="880" w:type="pct"/>
                  <w:tcBorders>
                    <w:tl2br w:val="nil"/>
                    <w:tr2bl w:val="nil"/>
                  </w:tcBorders>
                  <w:vAlign w:val="center"/>
                </w:tcPr>
                <w:p w14:paraId="3D43264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沈家港居民点</w:t>
                  </w:r>
                </w:p>
              </w:tc>
              <w:tc>
                <w:tcPr>
                  <w:tcW w:w="827" w:type="pct"/>
                  <w:tcBorders>
                    <w:tl2br w:val="nil"/>
                    <w:tr2bl w:val="nil"/>
                  </w:tcBorders>
                  <w:vAlign w:val="center"/>
                </w:tcPr>
                <w:p w14:paraId="0F1BA87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东侧71-200m</w:t>
                  </w:r>
                </w:p>
              </w:tc>
              <w:tc>
                <w:tcPr>
                  <w:tcW w:w="976" w:type="pct"/>
                  <w:tcBorders>
                    <w:tl2br w:val="nil"/>
                    <w:tr2bl w:val="nil"/>
                  </w:tcBorders>
                  <w:vAlign w:val="center"/>
                </w:tcPr>
                <w:p w14:paraId="3D896DF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113.455551644,</w:t>
                  </w:r>
                </w:p>
                <w:p w14:paraId="5055E6B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29.494867274</w:t>
                  </w:r>
                </w:p>
              </w:tc>
              <w:tc>
                <w:tcPr>
                  <w:tcW w:w="456" w:type="pct"/>
                  <w:tcBorders>
                    <w:tl2br w:val="nil"/>
                    <w:tr2bl w:val="nil"/>
                  </w:tcBorders>
                  <w:vAlign w:val="center"/>
                </w:tcPr>
                <w:p w14:paraId="3D3EB8D6">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tcBorders>
                    <w:tl2br w:val="nil"/>
                    <w:tr2bl w:val="nil"/>
                  </w:tcBorders>
                  <w:vAlign w:val="center"/>
                </w:tcPr>
                <w:p w14:paraId="76648E05">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30户</w:t>
                  </w:r>
                </w:p>
              </w:tc>
              <w:tc>
                <w:tcPr>
                  <w:tcW w:w="441" w:type="pct"/>
                  <w:tcBorders>
                    <w:tl2br w:val="nil"/>
                    <w:tr2bl w:val="nil"/>
                  </w:tcBorders>
                  <w:vAlign w:val="center"/>
                </w:tcPr>
                <w:p w14:paraId="4C3DC70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2E6F7D1D">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tcBorders>
                    <w:tl2br w:val="nil"/>
                    <w:tr2bl w:val="nil"/>
                  </w:tcBorders>
                  <w:vAlign w:val="center"/>
                </w:tcPr>
                <w:p w14:paraId="2687ED42">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Merge w:val="restart"/>
                  <w:tcBorders>
                    <w:tl2br w:val="nil"/>
                    <w:tr2bl w:val="nil"/>
                  </w:tcBorders>
                  <w:vAlign w:val="center"/>
                </w:tcPr>
                <w:p w14:paraId="222748E6">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val="en-US" w:eastAsia="zh-CN"/>
                    </w:rPr>
                    <w:t>肖家堰</w:t>
                  </w:r>
                </w:p>
              </w:tc>
              <w:tc>
                <w:tcPr>
                  <w:tcW w:w="880" w:type="pct"/>
                  <w:tcBorders>
                    <w:tl2br w:val="nil"/>
                    <w:tr2bl w:val="nil"/>
                  </w:tcBorders>
                  <w:vAlign w:val="center"/>
                </w:tcPr>
                <w:p w14:paraId="3EA503C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红石村居民点</w:t>
                  </w:r>
                </w:p>
              </w:tc>
              <w:tc>
                <w:tcPr>
                  <w:tcW w:w="827" w:type="pct"/>
                  <w:tcBorders>
                    <w:tl2br w:val="nil"/>
                    <w:tr2bl w:val="nil"/>
                  </w:tcBorders>
                  <w:vAlign w:val="center"/>
                </w:tcPr>
                <w:p w14:paraId="31E25FA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ascii="Times New Roman" w:hAnsi="Times New Roman" w:cs="Times New Roman"/>
                      <w:color w:val="auto"/>
                      <w:kern w:val="0"/>
                      <w:sz w:val="21"/>
                      <w:szCs w:val="21"/>
                      <w:u w:val="single"/>
                      <w:lang w:val="en-US" w:eastAsia="zh-CN" w:bidi="ar-SA"/>
                    </w:rPr>
                    <w:t>南侧33-200m</w:t>
                  </w:r>
                </w:p>
              </w:tc>
              <w:tc>
                <w:tcPr>
                  <w:tcW w:w="976" w:type="pct"/>
                  <w:tcBorders>
                    <w:tl2br w:val="nil"/>
                    <w:tr2bl w:val="nil"/>
                  </w:tcBorders>
                  <w:vAlign w:val="center"/>
                </w:tcPr>
                <w:p w14:paraId="026378AA">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kern w:val="0"/>
                      <w:sz w:val="21"/>
                      <w:szCs w:val="21"/>
                      <w:u w:val="single"/>
                      <w:lang w:val="en-US" w:eastAsia="zh-CN" w:bidi="ar-SA"/>
                    </w:rPr>
                    <w:t>113.452536841,</w:t>
                  </w:r>
                </w:p>
                <w:p w14:paraId="7BD8DC11">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kern w:val="0"/>
                      <w:sz w:val="21"/>
                      <w:szCs w:val="21"/>
                      <w:u w:val="single"/>
                      <w:lang w:val="en-US" w:eastAsia="zh-CN" w:bidi="ar-SA"/>
                    </w:rPr>
                    <w:t>29.494368383</w:t>
                  </w:r>
                </w:p>
              </w:tc>
              <w:tc>
                <w:tcPr>
                  <w:tcW w:w="456" w:type="pct"/>
                  <w:tcBorders>
                    <w:tl2br w:val="nil"/>
                    <w:tr2bl w:val="nil"/>
                  </w:tcBorders>
                  <w:vAlign w:val="center"/>
                </w:tcPr>
                <w:p w14:paraId="56DDDAB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tcBorders>
                    <w:tl2br w:val="nil"/>
                    <w:tr2bl w:val="nil"/>
                  </w:tcBorders>
                  <w:vAlign w:val="center"/>
                </w:tcPr>
                <w:p w14:paraId="742D9E2A">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50户</w:t>
                  </w:r>
                </w:p>
              </w:tc>
              <w:tc>
                <w:tcPr>
                  <w:tcW w:w="441" w:type="pct"/>
                  <w:tcBorders>
                    <w:tl2br w:val="nil"/>
                    <w:tr2bl w:val="nil"/>
                  </w:tcBorders>
                  <w:vAlign w:val="center"/>
                </w:tcPr>
                <w:p w14:paraId="7CB1AEA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58E8DD4B">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tcBorders>
                    <w:tl2br w:val="nil"/>
                    <w:tr2bl w:val="nil"/>
                  </w:tcBorders>
                  <w:vAlign w:val="center"/>
                </w:tcPr>
                <w:p w14:paraId="1279F452">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403" w:type="pct"/>
                  <w:vMerge w:val="continue"/>
                  <w:tcBorders>
                    <w:tl2br w:val="nil"/>
                    <w:tr2bl w:val="nil"/>
                  </w:tcBorders>
                  <w:vAlign w:val="center"/>
                </w:tcPr>
                <w:p w14:paraId="2291B1DC">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880" w:type="pct"/>
                  <w:tcBorders>
                    <w:tl2br w:val="nil"/>
                    <w:tr2bl w:val="nil"/>
                  </w:tcBorders>
                  <w:vAlign w:val="center"/>
                </w:tcPr>
                <w:p w14:paraId="0A4DC54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门头屋居民点</w:t>
                  </w:r>
                </w:p>
              </w:tc>
              <w:tc>
                <w:tcPr>
                  <w:tcW w:w="827" w:type="pct"/>
                  <w:tcBorders>
                    <w:tl2br w:val="nil"/>
                    <w:tr2bl w:val="nil"/>
                  </w:tcBorders>
                  <w:vAlign w:val="center"/>
                </w:tcPr>
                <w:p w14:paraId="17ED008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南侧77-200m</w:t>
                  </w:r>
                </w:p>
              </w:tc>
              <w:tc>
                <w:tcPr>
                  <w:tcW w:w="976" w:type="pct"/>
                  <w:tcBorders>
                    <w:tl2br w:val="nil"/>
                    <w:tr2bl w:val="nil"/>
                  </w:tcBorders>
                  <w:vAlign w:val="center"/>
                </w:tcPr>
                <w:p w14:paraId="4F42067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113.448883672,</w:t>
                  </w:r>
                </w:p>
                <w:p w14:paraId="45018E2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29.495634385</w:t>
                  </w:r>
                </w:p>
              </w:tc>
              <w:tc>
                <w:tcPr>
                  <w:tcW w:w="456" w:type="pct"/>
                  <w:tcBorders>
                    <w:tl2br w:val="nil"/>
                    <w:tr2bl w:val="nil"/>
                  </w:tcBorders>
                  <w:vAlign w:val="center"/>
                </w:tcPr>
                <w:p w14:paraId="21156B51">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tcBorders>
                    <w:tl2br w:val="nil"/>
                    <w:tr2bl w:val="nil"/>
                  </w:tcBorders>
                  <w:vAlign w:val="center"/>
                </w:tcPr>
                <w:p w14:paraId="17187B0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20户</w:t>
                  </w:r>
                </w:p>
              </w:tc>
              <w:tc>
                <w:tcPr>
                  <w:tcW w:w="441" w:type="pct"/>
                  <w:tcBorders>
                    <w:tl2br w:val="nil"/>
                    <w:tr2bl w:val="nil"/>
                  </w:tcBorders>
                  <w:vAlign w:val="center"/>
                </w:tcPr>
                <w:p w14:paraId="6CD7E44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1A323C20">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tcBorders>
                    <w:tl2br w:val="nil"/>
                    <w:tr2bl w:val="nil"/>
                  </w:tcBorders>
                  <w:vAlign w:val="center"/>
                </w:tcPr>
                <w:p w14:paraId="2E32D8F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403" w:type="pct"/>
                  <w:vMerge w:val="continue"/>
                  <w:tcBorders>
                    <w:tl2br w:val="nil"/>
                    <w:tr2bl w:val="nil"/>
                  </w:tcBorders>
                  <w:vAlign w:val="center"/>
                </w:tcPr>
                <w:p w14:paraId="3B067B00">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880" w:type="pct"/>
                  <w:tcBorders>
                    <w:tl2br w:val="nil"/>
                    <w:tr2bl w:val="nil"/>
                  </w:tcBorders>
                  <w:vAlign w:val="center"/>
                </w:tcPr>
                <w:p w14:paraId="5CD01EB8">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花田畈居民点</w:t>
                  </w:r>
                </w:p>
              </w:tc>
              <w:tc>
                <w:tcPr>
                  <w:tcW w:w="827" w:type="pct"/>
                  <w:tcBorders>
                    <w:tl2br w:val="nil"/>
                    <w:tr2bl w:val="nil"/>
                  </w:tcBorders>
                  <w:vAlign w:val="center"/>
                </w:tcPr>
                <w:p w14:paraId="2F31EE3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北侧17-200</w:t>
                  </w:r>
                </w:p>
              </w:tc>
              <w:tc>
                <w:tcPr>
                  <w:tcW w:w="976" w:type="pct"/>
                  <w:tcBorders>
                    <w:tl2br w:val="nil"/>
                    <w:tr2bl w:val="nil"/>
                  </w:tcBorders>
                  <w:vAlign w:val="center"/>
                </w:tcPr>
                <w:p w14:paraId="23771D8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113.447494288,</w:t>
                  </w:r>
                </w:p>
                <w:p w14:paraId="117CFE3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29.497801610</w:t>
                  </w:r>
                </w:p>
              </w:tc>
              <w:tc>
                <w:tcPr>
                  <w:tcW w:w="456" w:type="pct"/>
                  <w:tcBorders>
                    <w:tl2br w:val="nil"/>
                    <w:tr2bl w:val="nil"/>
                  </w:tcBorders>
                  <w:vAlign w:val="center"/>
                </w:tcPr>
                <w:p w14:paraId="625A2DF2">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tcBorders>
                    <w:tl2br w:val="nil"/>
                    <w:tr2bl w:val="nil"/>
                  </w:tcBorders>
                  <w:vAlign w:val="center"/>
                </w:tcPr>
                <w:p w14:paraId="24E46D73">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10户</w:t>
                  </w:r>
                </w:p>
              </w:tc>
              <w:tc>
                <w:tcPr>
                  <w:tcW w:w="441" w:type="pct"/>
                  <w:tcBorders>
                    <w:tl2br w:val="nil"/>
                    <w:tr2bl w:val="nil"/>
                  </w:tcBorders>
                  <w:vAlign w:val="center"/>
                </w:tcPr>
                <w:p w14:paraId="1BFFFAC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697E3875">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tcBorders>
                    <w:tl2br w:val="nil"/>
                    <w:tr2bl w:val="nil"/>
                  </w:tcBorders>
                  <w:vAlign w:val="center"/>
                </w:tcPr>
                <w:p w14:paraId="1584F0B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Merge w:val="restart"/>
                  <w:tcBorders>
                    <w:tl2br w:val="nil"/>
                    <w:tr2bl w:val="nil"/>
                  </w:tcBorders>
                  <w:vAlign w:val="center"/>
                </w:tcPr>
                <w:p w14:paraId="3842508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eastAsia="zh-CN"/>
                    </w:rPr>
                  </w:pPr>
                  <w:r>
                    <w:rPr>
                      <w:rFonts w:hint="default" w:ascii="Times New Roman" w:hAnsi="Times New Roman" w:eastAsia="宋体" w:cs="Times New Roman"/>
                      <w:b w:val="0"/>
                      <w:bCs w:val="0"/>
                      <w:color w:val="auto"/>
                      <w:sz w:val="21"/>
                      <w:szCs w:val="21"/>
                      <w:u w:val="single"/>
                      <w:vertAlign w:val="baseline"/>
                      <w:lang w:val="en-US" w:eastAsia="zh-CN"/>
                    </w:rPr>
                    <w:t>师家河</w:t>
                  </w:r>
                </w:p>
              </w:tc>
              <w:tc>
                <w:tcPr>
                  <w:tcW w:w="880" w:type="pct"/>
                  <w:tcBorders>
                    <w:tl2br w:val="nil"/>
                    <w:tr2bl w:val="nil"/>
                  </w:tcBorders>
                  <w:vAlign w:val="center"/>
                </w:tcPr>
                <w:p w14:paraId="7BDD699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周家居民点</w:t>
                  </w:r>
                </w:p>
              </w:tc>
              <w:tc>
                <w:tcPr>
                  <w:tcW w:w="827" w:type="pct"/>
                  <w:tcBorders>
                    <w:tl2br w:val="nil"/>
                    <w:tr2bl w:val="nil"/>
                  </w:tcBorders>
                  <w:vAlign w:val="center"/>
                </w:tcPr>
                <w:p w14:paraId="11831F4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北侧5-200m</w:t>
                  </w:r>
                </w:p>
              </w:tc>
              <w:tc>
                <w:tcPr>
                  <w:tcW w:w="976" w:type="pct"/>
                  <w:tcBorders>
                    <w:tl2br w:val="nil"/>
                    <w:tr2bl w:val="nil"/>
                  </w:tcBorders>
                  <w:vAlign w:val="center"/>
                </w:tcPr>
                <w:p w14:paraId="7436743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113.422865618,</w:t>
                  </w:r>
                </w:p>
                <w:p w14:paraId="442537B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29.494921355</w:t>
                  </w:r>
                </w:p>
              </w:tc>
              <w:tc>
                <w:tcPr>
                  <w:tcW w:w="456" w:type="pct"/>
                  <w:tcBorders>
                    <w:tl2br w:val="nil"/>
                    <w:tr2bl w:val="nil"/>
                  </w:tcBorders>
                  <w:vAlign w:val="center"/>
                </w:tcPr>
                <w:p w14:paraId="595A8C01">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tcBorders>
                    <w:tl2br w:val="nil"/>
                    <w:tr2bl w:val="nil"/>
                  </w:tcBorders>
                  <w:vAlign w:val="center"/>
                </w:tcPr>
                <w:p w14:paraId="56577FD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120户</w:t>
                  </w:r>
                </w:p>
              </w:tc>
              <w:tc>
                <w:tcPr>
                  <w:tcW w:w="441" w:type="pct"/>
                  <w:tcBorders>
                    <w:tl2br w:val="nil"/>
                    <w:tr2bl w:val="nil"/>
                  </w:tcBorders>
                  <w:vAlign w:val="center"/>
                </w:tcPr>
                <w:p w14:paraId="656E851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52CBD248">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tcBorders>
                    <w:tl2br w:val="nil"/>
                    <w:tr2bl w:val="nil"/>
                  </w:tcBorders>
                  <w:vAlign w:val="center"/>
                </w:tcPr>
                <w:p w14:paraId="1F861BF2">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403" w:type="pct"/>
                  <w:vMerge w:val="continue"/>
                  <w:tcBorders>
                    <w:tl2br w:val="nil"/>
                    <w:tr2bl w:val="nil"/>
                  </w:tcBorders>
                  <w:vAlign w:val="center"/>
                </w:tcPr>
                <w:p w14:paraId="406A47F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880" w:type="pct"/>
                  <w:tcBorders>
                    <w:tl2br w:val="nil"/>
                    <w:tr2bl w:val="nil"/>
                  </w:tcBorders>
                  <w:vAlign w:val="center"/>
                </w:tcPr>
                <w:p w14:paraId="6C11EB9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麻塘</w:t>
                  </w:r>
                  <w:r>
                    <w:rPr>
                      <w:rFonts w:hint="eastAsia" w:ascii="Times New Roman" w:hAnsi="Times New Roman" w:cs="Times New Roman"/>
                      <w:color w:val="auto"/>
                      <w:kern w:val="0"/>
                      <w:sz w:val="21"/>
                      <w:szCs w:val="21"/>
                      <w:u w:val="single"/>
                      <w:lang w:val="en-US" w:eastAsia="zh-CN"/>
                    </w:rPr>
                    <w:t>村</w:t>
                  </w:r>
                  <w:r>
                    <w:rPr>
                      <w:rFonts w:hint="default" w:ascii="Times New Roman" w:hAnsi="Times New Roman" w:cs="Times New Roman"/>
                      <w:color w:val="auto"/>
                      <w:kern w:val="0"/>
                      <w:sz w:val="21"/>
                      <w:szCs w:val="21"/>
                      <w:u w:val="single"/>
                    </w:rPr>
                    <w:t>居民点</w:t>
                  </w:r>
                </w:p>
              </w:tc>
              <w:tc>
                <w:tcPr>
                  <w:tcW w:w="827" w:type="pct"/>
                  <w:tcBorders>
                    <w:tl2br w:val="nil"/>
                    <w:tr2bl w:val="nil"/>
                  </w:tcBorders>
                  <w:vAlign w:val="center"/>
                </w:tcPr>
                <w:p w14:paraId="109F951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北侧70-200m</w:t>
                  </w:r>
                </w:p>
              </w:tc>
              <w:tc>
                <w:tcPr>
                  <w:tcW w:w="976" w:type="pct"/>
                  <w:tcBorders>
                    <w:tl2br w:val="nil"/>
                    <w:tr2bl w:val="nil"/>
                  </w:tcBorders>
                  <w:vAlign w:val="center"/>
                </w:tcPr>
                <w:p w14:paraId="0563DCC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113.414368318,</w:t>
                  </w:r>
                </w:p>
                <w:p w14:paraId="14463D1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29.496042375</w:t>
                  </w:r>
                </w:p>
              </w:tc>
              <w:tc>
                <w:tcPr>
                  <w:tcW w:w="456" w:type="pct"/>
                  <w:tcBorders>
                    <w:tl2br w:val="nil"/>
                    <w:tr2bl w:val="nil"/>
                  </w:tcBorders>
                  <w:vAlign w:val="center"/>
                </w:tcPr>
                <w:p w14:paraId="321BEC3B">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tcBorders>
                    <w:tl2br w:val="nil"/>
                    <w:tr2bl w:val="nil"/>
                  </w:tcBorders>
                  <w:vAlign w:val="center"/>
                </w:tcPr>
                <w:p w14:paraId="2E220A6B">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120户</w:t>
                  </w:r>
                </w:p>
              </w:tc>
              <w:tc>
                <w:tcPr>
                  <w:tcW w:w="441" w:type="pct"/>
                  <w:tcBorders>
                    <w:tl2br w:val="nil"/>
                    <w:tr2bl w:val="nil"/>
                  </w:tcBorders>
                  <w:vAlign w:val="center"/>
                </w:tcPr>
                <w:p w14:paraId="70896C4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2DDD05D9">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tcBorders>
                    <w:tl2br w:val="nil"/>
                    <w:tr2bl w:val="nil"/>
                  </w:tcBorders>
                  <w:vAlign w:val="center"/>
                </w:tcPr>
                <w:p w14:paraId="2B42C03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403" w:type="pct"/>
                  <w:vMerge w:val="continue"/>
                  <w:tcBorders>
                    <w:tl2br w:val="nil"/>
                    <w:tr2bl w:val="nil"/>
                  </w:tcBorders>
                  <w:vAlign w:val="center"/>
                </w:tcPr>
                <w:p w14:paraId="2372A9E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880" w:type="pct"/>
                  <w:tcBorders>
                    <w:tl2br w:val="nil"/>
                    <w:tr2bl w:val="nil"/>
                  </w:tcBorders>
                  <w:vAlign w:val="center"/>
                </w:tcPr>
                <w:p w14:paraId="1EE4B60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麻塘社区居民点</w:t>
                  </w:r>
                </w:p>
              </w:tc>
              <w:tc>
                <w:tcPr>
                  <w:tcW w:w="827" w:type="pct"/>
                  <w:tcBorders>
                    <w:tl2br w:val="nil"/>
                    <w:tr2bl w:val="nil"/>
                  </w:tcBorders>
                  <w:vAlign w:val="center"/>
                </w:tcPr>
                <w:p w14:paraId="21FE848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南侧15-200m</w:t>
                  </w:r>
                </w:p>
              </w:tc>
              <w:tc>
                <w:tcPr>
                  <w:tcW w:w="976" w:type="pct"/>
                  <w:tcBorders>
                    <w:tl2br w:val="nil"/>
                    <w:tr2bl w:val="nil"/>
                  </w:tcBorders>
                  <w:vAlign w:val="center"/>
                </w:tcPr>
                <w:p w14:paraId="2EC2695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113.417098345,</w:t>
                  </w:r>
                </w:p>
                <w:p w14:paraId="1027616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29.493061280</w:t>
                  </w:r>
                </w:p>
              </w:tc>
              <w:tc>
                <w:tcPr>
                  <w:tcW w:w="456" w:type="pct"/>
                  <w:tcBorders>
                    <w:tl2br w:val="nil"/>
                    <w:tr2bl w:val="nil"/>
                  </w:tcBorders>
                  <w:vAlign w:val="center"/>
                </w:tcPr>
                <w:p w14:paraId="14726891">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tcBorders>
                    <w:tl2br w:val="nil"/>
                    <w:tr2bl w:val="nil"/>
                  </w:tcBorders>
                  <w:vAlign w:val="center"/>
                </w:tcPr>
                <w:p w14:paraId="194C5677">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300户</w:t>
                  </w:r>
                </w:p>
              </w:tc>
              <w:tc>
                <w:tcPr>
                  <w:tcW w:w="441" w:type="pct"/>
                  <w:tcBorders>
                    <w:tl2br w:val="nil"/>
                    <w:tr2bl w:val="nil"/>
                  </w:tcBorders>
                  <w:vAlign w:val="center"/>
                </w:tcPr>
                <w:p w14:paraId="0AB2426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2561CB81">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0C6CE5D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eastAsia="zh-CN"/>
                    </w:rPr>
                  </w:pPr>
                </w:p>
              </w:tc>
              <w:tc>
                <w:tcPr>
                  <w:tcW w:w="403" w:type="pct"/>
                  <w:vMerge w:val="continue"/>
                  <w:vAlign w:val="center"/>
                </w:tcPr>
                <w:p w14:paraId="6E8B152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eastAsia="zh-CN"/>
                    </w:rPr>
                  </w:pPr>
                </w:p>
              </w:tc>
              <w:tc>
                <w:tcPr>
                  <w:tcW w:w="880" w:type="pct"/>
                  <w:vAlign w:val="center"/>
                </w:tcPr>
                <w:p w14:paraId="3E5B3EC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刘家居民点</w:t>
                  </w:r>
                </w:p>
              </w:tc>
              <w:tc>
                <w:tcPr>
                  <w:tcW w:w="827" w:type="pct"/>
                  <w:vAlign w:val="center"/>
                </w:tcPr>
                <w:p w14:paraId="2E93B1F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西侧45-200m</w:t>
                  </w:r>
                </w:p>
              </w:tc>
              <w:tc>
                <w:tcPr>
                  <w:tcW w:w="976" w:type="pct"/>
                  <w:vAlign w:val="center"/>
                </w:tcPr>
                <w:p w14:paraId="5CA7CFF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113.409293578,</w:t>
                  </w:r>
                </w:p>
                <w:p w14:paraId="1E7E8B1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29.496369605</w:t>
                  </w:r>
                </w:p>
              </w:tc>
              <w:tc>
                <w:tcPr>
                  <w:tcW w:w="456" w:type="pct"/>
                  <w:vAlign w:val="center"/>
                </w:tcPr>
                <w:p w14:paraId="64A85B46">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vAlign w:val="center"/>
                </w:tcPr>
                <w:p w14:paraId="48A47875">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80户</w:t>
                  </w:r>
                </w:p>
              </w:tc>
              <w:tc>
                <w:tcPr>
                  <w:tcW w:w="441" w:type="pct"/>
                </w:tcPr>
                <w:p w14:paraId="4FF47D7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35F49752">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18BDF7C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Merge w:val="restart"/>
                  <w:vAlign w:val="center"/>
                </w:tcPr>
                <w:p w14:paraId="7384524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eastAsia="zh-CN"/>
                    </w:rPr>
                  </w:pPr>
                  <w:r>
                    <w:rPr>
                      <w:rFonts w:hint="default" w:ascii="Times New Roman" w:hAnsi="Times New Roman" w:eastAsia="宋体" w:cs="Times New Roman"/>
                      <w:b w:val="0"/>
                      <w:bCs w:val="0"/>
                      <w:color w:val="auto"/>
                      <w:sz w:val="21"/>
                      <w:szCs w:val="21"/>
                      <w:u w:val="single"/>
                      <w:vertAlign w:val="baseline"/>
                      <w:lang w:val="en-US" w:eastAsia="zh-CN"/>
                    </w:rPr>
                    <w:t>上港溪支流</w:t>
                  </w:r>
                  <w:r>
                    <w:rPr>
                      <w:rFonts w:hint="default" w:ascii="Times New Roman" w:hAnsi="Times New Roman" w:cs="Times New Roman"/>
                      <w:b w:val="0"/>
                      <w:bCs w:val="0"/>
                      <w:color w:val="auto"/>
                      <w:sz w:val="21"/>
                      <w:szCs w:val="21"/>
                      <w:u w:val="single"/>
                      <w:vertAlign w:val="baseline"/>
                      <w:lang w:val="en-US" w:eastAsia="zh-CN"/>
                    </w:rPr>
                    <w:t>一</w:t>
                  </w:r>
                </w:p>
              </w:tc>
              <w:tc>
                <w:tcPr>
                  <w:tcW w:w="880" w:type="pct"/>
                  <w:vAlign w:val="center"/>
                </w:tcPr>
                <w:p w14:paraId="7F685FD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宋家山居民点</w:t>
                  </w:r>
                </w:p>
              </w:tc>
              <w:tc>
                <w:tcPr>
                  <w:tcW w:w="827" w:type="pct"/>
                  <w:vAlign w:val="center"/>
                </w:tcPr>
                <w:p w14:paraId="2854624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南侧38-200m</w:t>
                  </w:r>
                </w:p>
              </w:tc>
              <w:tc>
                <w:tcPr>
                  <w:tcW w:w="976" w:type="pct"/>
                  <w:vAlign w:val="center"/>
                </w:tcPr>
                <w:p w14:paraId="59919F1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113.467995943,</w:t>
                  </w:r>
                </w:p>
                <w:p w14:paraId="491FCF9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29.481490230</w:t>
                  </w:r>
                </w:p>
              </w:tc>
              <w:tc>
                <w:tcPr>
                  <w:tcW w:w="456" w:type="pct"/>
                  <w:vAlign w:val="center"/>
                </w:tcPr>
                <w:p w14:paraId="08D7D52C">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vAlign w:val="center"/>
                </w:tcPr>
                <w:p w14:paraId="01E1723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20户</w:t>
                  </w:r>
                </w:p>
              </w:tc>
              <w:tc>
                <w:tcPr>
                  <w:tcW w:w="441" w:type="pct"/>
                  <w:vAlign w:val="center"/>
                </w:tcPr>
                <w:p w14:paraId="1523A22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5C7B91B0">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07129B78">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403" w:type="pct"/>
                  <w:vMerge w:val="continue"/>
                  <w:vAlign w:val="center"/>
                </w:tcPr>
                <w:p w14:paraId="7C953D37">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880" w:type="pct"/>
                  <w:vAlign w:val="center"/>
                </w:tcPr>
                <w:p w14:paraId="5C1809A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官家畈居民点</w:t>
                  </w:r>
                </w:p>
              </w:tc>
              <w:tc>
                <w:tcPr>
                  <w:tcW w:w="827" w:type="pct"/>
                  <w:vAlign w:val="center"/>
                </w:tcPr>
                <w:p w14:paraId="282FD66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东北侧88-200m</w:t>
                  </w:r>
                </w:p>
              </w:tc>
              <w:tc>
                <w:tcPr>
                  <w:tcW w:w="976" w:type="pct"/>
                  <w:vAlign w:val="center"/>
                </w:tcPr>
                <w:p w14:paraId="44CEF42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113.470072024,</w:t>
                  </w:r>
                </w:p>
                <w:p w14:paraId="380D901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29.485414441</w:t>
                  </w:r>
                </w:p>
              </w:tc>
              <w:tc>
                <w:tcPr>
                  <w:tcW w:w="456" w:type="pct"/>
                  <w:vAlign w:val="center"/>
                </w:tcPr>
                <w:p w14:paraId="0682FFE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vAlign w:val="center"/>
                </w:tcPr>
                <w:p w14:paraId="11C27373">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100户</w:t>
                  </w:r>
                </w:p>
              </w:tc>
              <w:tc>
                <w:tcPr>
                  <w:tcW w:w="441" w:type="pct"/>
                  <w:vAlign w:val="center"/>
                </w:tcPr>
                <w:p w14:paraId="69AB655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1973DA84">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03789128">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Merge w:val="restart"/>
                  <w:vAlign w:val="center"/>
                </w:tcPr>
                <w:p w14:paraId="4F9584C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val="en-US" w:eastAsia="zh-CN"/>
                    </w:rPr>
                    <w:t>上港溪支流</w:t>
                  </w:r>
                  <w:r>
                    <w:rPr>
                      <w:rFonts w:hint="default" w:ascii="Times New Roman" w:hAnsi="Times New Roman" w:cs="Times New Roman"/>
                      <w:b w:val="0"/>
                      <w:bCs w:val="0"/>
                      <w:color w:val="auto"/>
                      <w:sz w:val="21"/>
                      <w:szCs w:val="21"/>
                      <w:u w:val="single"/>
                      <w:vertAlign w:val="baseline"/>
                      <w:lang w:val="en-US" w:eastAsia="zh-CN"/>
                    </w:rPr>
                    <w:t>二</w:t>
                  </w:r>
                </w:p>
              </w:tc>
              <w:tc>
                <w:tcPr>
                  <w:tcW w:w="880" w:type="pct"/>
                  <w:vAlign w:val="center"/>
                </w:tcPr>
                <w:p w14:paraId="512F057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新庄社区居民点1</w:t>
                  </w:r>
                </w:p>
              </w:tc>
              <w:tc>
                <w:tcPr>
                  <w:tcW w:w="827" w:type="pct"/>
                  <w:vAlign w:val="center"/>
                </w:tcPr>
                <w:p w14:paraId="12726E9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西侧5-200m</w:t>
                  </w:r>
                </w:p>
              </w:tc>
              <w:tc>
                <w:tcPr>
                  <w:tcW w:w="976" w:type="pct"/>
                  <w:vAlign w:val="center"/>
                </w:tcPr>
                <w:p w14:paraId="4384C63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113.472469919,</w:t>
                  </w:r>
                </w:p>
                <w:p w14:paraId="7DD59F3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29.479154165</w:t>
                  </w:r>
                </w:p>
              </w:tc>
              <w:tc>
                <w:tcPr>
                  <w:tcW w:w="456" w:type="pct"/>
                  <w:vAlign w:val="center"/>
                </w:tcPr>
                <w:p w14:paraId="2F96DEBB">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vAlign w:val="center"/>
                </w:tcPr>
                <w:p w14:paraId="15157F0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300户</w:t>
                  </w:r>
                </w:p>
              </w:tc>
              <w:tc>
                <w:tcPr>
                  <w:tcW w:w="441" w:type="pct"/>
                  <w:vAlign w:val="center"/>
                </w:tcPr>
                <w:p w14:paraId="36C2D90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00F29B1E">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7B082EB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Merge w:val="continue"/>
                  <w:vAlign w:val="center"/>
                </w:tcPr>
                <w:p w14:paraId="442AF5D7">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880" w:type="pct"/>
                  <w:vAlign w:val="center"/>
                </w:tcPr>
                <w:p w14:paraId="3D069D7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新庄社区居民点2</w:t>
                  </w:r>
                </w:p>
              </w:tc>
              <w:tc>
                <w:tcPr>
                  <w:tcW w:w="827" w:type="pct"/>
                  <w:vAlign w:val="center"/>
                </w:tcPr>
                <w:p w14:paraId="22842AB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东侧5-200m</w:t>
                  </w:r>
                </w:p>
              </w:tc>
              <w:tc>
                <w:tcPr>
                  <w:tcW w:w="976" w:type="pct"/>
                  <w:vAlign w:val="center"/>
                </w:tcPr>
                <w:p w14:paraId="45C65F5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113.473253124,</w:t>
                  </w:r>
                </w:p>
                <w:p w14:paraId="7488B3F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29.478751834</w:t>
                  </w:r>
                </w:p>
              </w:tc>
              <w:tc>
                <w:tcPr>
                  <w:tcW w:w="456" w:type="pct"/>
                  <w:vAlign w:val="center"/>
                </w:tcPr>
                <w:p w14:paraId="1E053AC4">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7E129C03">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约300户</w:t>
                  </w:r>
                </w:p>
              </w:tc>
              <w:tc>
                <w:tcPr>
                  <w:tcW w:w="441" w:type="pct"/>
                  <w:vAlign w:val="center"/>
                </w:tcPr>
                <w:p w14:paraId="26F2D28C">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015EFC23">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5B83F33D">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Merge w:val="continue"/>
                  <w:vAlign w:val="center"/>
                </w:tcPr>
                <w:p w14:paraId="43575CFA">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880" w:type="pct"/>
                  <w:vAlign w:val="center"/>
                </w:tcPr>
                <w:p w14:paraId="542EAB7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临湘市第七中学</w:t>
                  </w:r>
                </w:p>
              </w:tc>
              <w:tc>
                <w:tcPr>
                  <w:tcW w:w="827" w:type="pct"/>
                  <w:vAlign w:val="center"/>
                </w:tcPr>
                <w:p w14:paraId="7B509D2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东侧36m</w:t>
                  </w:r>
                </w:p>
              </w:tc>
              <w:tc>
                <w:tcPr>
                  <w:tcW w:w="976" w:type="pct"/>
                  <w:vAlign w:val="center"/>
                </w:tcPr>
                <w:p w14:paraId="77E279E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113.473285310,</w:t>
                  </w:r>
                </w:p>
                <w:p w14:paraId="34B97E4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29.480184133</w:t>
                  </w:r>
                </w:p>
              </w:tc>
              <w:tc>
                <w:tcPr>
                  <w:tcW w:w="456" w:type="pct"/>
                  <w:vAlign w:val="center"/>
                </w:tcPr>
                <w:p w14:paraId="477F29EE">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师生</w:t>
                  </w:r>
                </w:p>
              </w:tc>
              <w:tc>
                <w:tcPr>
                  <w:tcW w:w="613" w:type="pct"/>
                  <w:vAlign w:val="center"/>
                </w:tcPr>
                <w:p w14:paraId="627CB36E">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1500人</w:t>
                  </w:r>
                </w:p>
              </w:tc>
              <w:tc>
                <w:tcPr>
                  <w:tcW w:w="441" w:type="pct"/>
                  <w:vAlign w:val="center"/>
                </w:tcPr>
                <w:p w14:paraId="14D06A8E">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3120E6B0">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4C073A70">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Merge w:val="continue"/>
                  <w:vAlign w:val="center"/>
                </w:tcPr>
                <w:p w14:paraId="6D65DD8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880" w:type="pct"/>
                  <w:vAlign w:val="center"/>
                </w:tcPr>
                <w:p w14:paraId="6A82DCAB">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盛家山居民点</w:t>
                  </w:r>
                </w:p>
              </w:tc>
              <w:tc>
                <w:tcPr>
                  <w:tcW w:w="827" w:type="pct"/>
                  <w:vAlign w:val="center"/>
                </w:tcPr>
                <w:p w14:paraId="6376B35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西侧、东侧10-60m</w:t>
                  </w:r>
                </w:p>
              </w:tc>
              <w:tc>
                <w:tcPr>
                  <w:tcW w:w="976" w:type="pct"/>
                  <w:vAlign w:val="center"/>
                </w:tcPr>
                <w:p w14:paraId="517AB8D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113.471861057,</w:t>
                  </w:r>
                </w:p>
                <w:p w14:paraId="664316C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29.483492638,</w:t>
                  </w:r>
                </w:p>
              </w:tc>
              <w:tc>
                <w:tcPr>
                  <w:tcW w:w="456" w:type="pct"/>
                  <w:vAlign w:val="center"/>
                </w:tcPr>
                <w:p w14:paraId="18A26ED6">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1B90007C">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约10户</w:t>
                  </w:r>
                </w:p>
              </w:tc>
              <w:tc>
                <w:tcPr>
                  <w:tcW w:w="441" w:type="pct"/>
                  <w:vAlign w:val="center"/>
                </w:tcPr>
                <w:p w14:paraId="54BC817E">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5506D3F4">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7A718DC6">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403" w:type="pct"/>
                  <w:vAlign w:val="center"/>
                </w:tcPr>
                <w:p w14:paraId="1029C38C">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val="en-US" w:eastAsia="zh-CN"/>
                    </w:rPr>
                    <w:t>铁路沿线明渠</w:t>
                  </w:r>
                </w:p>
              </w:tc>
              <w:tc>
                <w:tcPr>
                  <w:tcW w:w="880" w:type="pct"/>
                  <w:vAlign w:val="center"/>
                </w:tcPr>
                <w:p w14:paraId="45AAB62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集家庄居民点</w:t>
                  </w:r>
                </w:p>
              </w:tc>
              <w:tc>
                <w:tcPr>
                  <w:tcW w:w="827" w:type="pct"/>
                  <w:vAlign w:val="center"/>
                </w:tcPr>
                <w:p w14:paraId="5A40A47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北侧6-100m</w:t>
                  </w:r>
                </w:p>
              </w:tc>
              <w:tc>
                <w:tcPr>
                  <w:tcW w:w="976" w:type="pct"/>
                  <w:vAlign w:val="center"/>
                </w:tcPr>
                <w:p w14:paraId="32636E6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113.449754290,</w:t>
                  </w:r>
                </w:p>
                <w:p w14:paraId="235A68A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29.488358165</w:t>
                  </w:r>
                </w:p>
              </w:tc>
              <w:tc>
                <w:tcPr>
                  <w:tcW w:w="456" w:type="pct"/>
                  <w:vAlign w:val="center"/>
                </w:tcPr>
                <w:p w14:paraId="417F30B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13" w:type="pct"/>
                  <w:vAlign w:val="center"/>
                </w:tcPr>
                <w:p w14:paraId="3F75ADE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80户</w:t>
                  </w:r>
                </w:p>
              </w:tc>
              <w:tc>
                <w:tcPr>
                  <w:tcW w:w="441" w:type="pct"/>
                  <w:vAlign w:val="center"/>
                </w:tcPr>
                <w:p w14:paraId="44DC137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1BF70414">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restart"/>
                  <w:vAlign w:val="center"/>
                </w:tcPr>
                <w:p w14:paraId="3C34E89D">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lang w:val="en-US" w:eastAsia="zh-CN"/>
                    </w:rPr>
                  </w:pPr>
                  <w:r>
                    <w:rPr>
                      <w:rFonts w:hint="eastAsia" w:cs="Times New Roman"/>
                      <w:color w:val="auto"/>
                      <w:sz w:val="21"/>
                      <w:szCs w:val="21"/>
                      <w:u w:val="single"/>
                      <w:lang w:val="en-US" w:eastAsia="zh-CN"/>
                    </w:rPr>
                    <w:t>城区内涝点改造工程</w:t>
                  </w:r>
                </w:p>
              </w:tc>
              <w:tc>
                <w:tcPr>
                  <w:tcW w:w="403" w:type="pct"/>
                  <w:vMerge w:val="restart"/>
                  <w:vAlign w:val="center"/>
                </w:tcPr>
                <w:p w14:paraId="534995C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color w:val="auto"/>
                      <w:sz w:val="21"/>
                      <w:szCs w:val="21"/>
                      <w:u w:val="single"/>
                    </w:rPr>
                    <w:t>水产巷</w:t>
                  </w:r>
                </w:p>
              </w:tc>
              <w:tc>
                <w:tcPr>
                  <w:tcW w:w="880" w:type="pct"/>
                  <w:vAlign w:val="center"/>
                </w:tcPr>
                <w:p w14:paraId="7B2D942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大塘巷居民点</w:t>
                  </w:r>
                </w:p>
              </w:tc>
              <w:tc>
                <w:tcPr>
                  <w:tcW w:w="827" w:type="pct"/>
                  <w:vAlign w:val="center"/>
                </w:tcPr>
                <w:p w14:paraId="5E43BF4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东侧5-45m</w:t>
                  </w:r>
                </w:p>
              </w:tc>
              <w:tc>
                <w:tcPr>
                  <w:tcW w:w="976" w:type="pct"/>
                  <w:vAlign w:val="center"/>
                </w:tcPr>
                <w:p w14:paraId="3DBA772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113.448852131,</w:t>
                  </w:r>
                </w:p>
                <w:p w14:paraId="3981BEA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29.479658299</w:t>
                  </w:r>
                </w:p>
              </w:tc>
              <w:tc>
                <w:tcPr>
                  <w:tcW w:w="456" w:type="pct"/>
                  <w:vAlign w:val="center"/>
                </w:tcPr>
                <w:p w14:paraId="096BA425">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764148A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约50户</w:t>
                  </w:r>
                </w:p>
              </w:tc>
              <w:tc>
                <w:tcPr>
                  <w:tcW w:w="441" w:type="pct"/>
                  <w:vAlign w:val="center"/>
                </w:tcPr>
                <w:p w14:paraId="53963EA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1B6F759C">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7B10DC62">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continue"/>
                  <w:vAlign w:val="center"/>
                </w:tcPr>
                <w:p w14:paraId="742405E6">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880" w:type="pct"/>
                  <w:vAlign w:val="center"/>
                </w:tcPr>
                <w:p w14:paraId="257C761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同德巷居民点</w:t>
                  </w:r>
                </w:p>
              </w:tc>
              <w:tc>
                <w:tcPr>
                  <w:tcW w:w="827" w:type="pct"/>
                  <w:vAlign w:val="center"/>
                </w:tcPr>
                <w:p w14:paraId="162C32C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西北侧5-200m</w:t>
                  </w:r>
                </w:p>
              </w:tc>
              <w:tc>
                <w:tcPr>
                  <w:tcW w:w="976" w:type="pct"/>
                  <w:vAlign w:val="center"/>
                </w:tcPr>
                <w:p w14:paraId="64DCAB1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113.448558429,</w:t>
                  </w:r>
                </w:p>
                <w:p w14:paraId="2D88916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29.480045878</w:t>
                  </w:r>
                </w:p>
              </w:tc>
              <w:tc>
                <w:tcPr>
                  <w:tcW w:w="456" w:type="pct"/>
                  <w:vAlign w:val="center"/>
                </w:tcPr>
                <w:p w14:paraId="044C7F45">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075C2C37">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约500户</w:t>
                  </w:r>
                </w:p>
              </w:tc>
              <w:tc>
                <w:tcPr>
                  <w:tcW w:w="441" w:type="pct"/>
                  <w:vAlign w:val="center"/>
                </w:tcPr>
                <w:p w14:paraId="315A411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401E565D">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4FD79833">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continue"/>
                  <w:vAlign w:val="center"/>
                </w:tcPr>
                <w:p w14:paraId="3DED7770">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880" w:type="pct"/>
                  <w:vAlign w:val="center"/>
                </w:tcPr>
                <w:p w14:paraId="509D55FB">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临湘市</w:t>
                  </w:r>
                </w:p>
                <w:p w14:paraId="393CD35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第九中学</w:t>
                  </w:r>
                </w:p>
              </w:tc>
              <w:tc>
                <w:tcPr>
                  <w:tcW w:w="827" w:type="pct"/>
                  <w:vAlign w:val="center"/>
                </w:tcPr>
                <w:p w14:paraId="2898419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东侧83m</w:t>
                  </w:r>
                </w:p>
              </w:tc>
              <w:tc>
                <w:tcPr>
                  <w:tcW w:w="976" w:type="pct"/>
                  <w:vAlign w:val="center"/>
                </w:tcPr>
                <w:p w14:paraId="15D77F3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113.449612537,</w:t>
                  </w:r>
                </w:p>
                <w:p w14:paraId="7E77C97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29.479423606</w:t>
                  </w:r>
                </w:p>
              </w:tc>
              <w:tc>
                <w:tcPr>
                  <w:tcW w:w="456" w:type="pct"/>
                  <w:vAlign w:val="center"/>
                </w:tcPr>
                <w:p w14:paraId="4FF8C5D5">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师生</w:t>
                  </w:r>
                </w:p>
              </w:tc>
              <w:tc>
                <w:tcPr>
                  <w:tcW w:w="613" w:type="pct"/>
                  <w:vAlign w:val="center"/>
                </w:tcPr>
                <w:p w14:paraId="3D71C72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约1500人</w:t>
                  </w:r>
                </w:p>
              </w:tc>
              <w:tc>
                <w:tcPr>
                  <w:tcW w:w="441" w:type="pct"/>
                  <w:vAlign w:val="center"/>
                </w:tcPr>
                <w:p w14:paraId="6965D38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36F21548">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6384E886">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restart"/>
                  <w:vAlign w:val="center"/>
                </w:tcPr>
                <w:p w14:paraId="537B845B">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color w:val="auto"/>
                      <w:sz w:val="21"/>
                      <w:szCs w:val="21"/>
                      <w:u w:val="single"/>
                    </w:rPr>
                    <w:t>西正街</w:t>
                  </w:r>
                </w:p>
              </w:tc>
              <w:tc>
                <w:tcPr>
                  <w:tcW w:w="880" w:type="pct"/>
                  <w:vAlign w:val="center"/>
                </w:tcPr>
                <w:p w14:paraId="3882A04B">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长安社区</w:t>
                  </w:r>
                </w:p>
                <w:p w14:paraId="348871D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居民点1</w:t>
                  </w:r>
                </w:p>
              </w:tc>
              <w:tc>
                <w:tcPr>
                  <w:tcW w:w="827" w:type="pct"/>
                  <w:vAlign w:val="center"/>
                </w:tcPr>
                <w:p w14:paraId="6CE399F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南侧5-200m</w:t>
                  </w:r>
                </w:p>
              </w:tc>
              <w:tc>
                <w:tcPr>
                  <w:tcW w:w="976" w:type="pct"/>
                  <w:vAlign w:val="center"/>
                </w:tcPr>
                <w:p w14:paraId="2CE7D62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113.447308519,</w:t>
                  </w:r>
                </w:p>
                <w:p w14:paraId="58423AF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29.477326119</w:t>
                  </w:r>
                </w:p>
              </w:tc>
              <w:tc>
                <w:tcPr>
                  <w:tcW w:w="456" w:type="pct"/>
                  <w:vAlign w:val="center"/>
                </w:tcPr>
                <w:p w14:paraId="3660A9DB">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2742F01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约500户</w:t>
                  </w:r>
                </w:p>
              </w:tc>
              <w:tc>
                <w:tcPr>
                  <w:tcW w:w="441" w:type="pct"/>
                  <w:vAlign w:val="center"/>
                </w:tcPr>
                <w:p w14:paraId="73437AA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26276A63">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1E2ABD20">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continue"/>
                  <w:vAlign w:val="center"/>
                </w:tcPr>
                <w:p w14:paraId="00A16A6B">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880" w:type="pct"/>
                  <w:vAlign w:val="center"/>
                </w:tcPr>
                <w:p w14:paraId="4FF1776C">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长安社区</w:t>
                  </w:r>
                </w:p>
                <w:p w14:paraId="533B959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居民点2</w:t>
                  </w:r>
                </w:p>
              </w:tc>
              <w:tc>
                <w:tcPr>
                  <w:tcW w:w="827" w:type="pct"/>
                  <w:vAlign w:val="center"/>
                </w:tcPr>
                <w:p w14:paraId="72930F9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北侧5-200m</w:t>
                  </w:r>
                </w:p>
              </w:tc>
              <w:tc>
                <w:tcPr>
                  <w:tcW w:w="976" w:type="pct"/>
                  <w:vAlign w:val="center"/>
                </w:tcPr>
                <w:p w14:paraId="4AED112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113.445264676,</w:t>
                  </w:r>
                </w:p>
                <w:p w14:paraId="0FA9E9A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29.479493343</w:t>
                  </w:r>
                </w:p>
              </w:tc>
              <w:tc>
                <w:tcPr>
                  <w:tcW w:w="456" w:type="pct"/>
                  <w:vAlign w:val="center"/>
                </w:tcPr>
                <w:p w14:paraId="7AE25ECF">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781E1B7E">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约500户</w:t>
                  </w:r>
                </w:p>
              </w:tc>
              <w:tc>
                <w:tcPr>
                  <w:tcW w:w="441" w:type="pct"/>
                  <w:vAlign w:val="center"/>
                </w:tcPr>
                <w:p w14:paraId="06A7286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51570528">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6AE892F1">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continue"/>
                  <w:vAlign w:val="center"/>
                </w:tcPr>
                <w:p w14:paraId="65BC6282">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880" w:type="pct"/>
                  <w:vAlign w:val="center"/>
                </w:tcPr>
                <w:p w14:paraId="4255B69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湘北中学</w:t>
                  </w:r>
                </w:p>
              </w:tc>
              <w:tc>
                <w:tcPr>
                  <w:tcW w:w="827" w:type="pct"/>
                  <w:vAlign w:val="center"/>
                </w:tcPr>
                <w:p w14:paraId="4E0EEF9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南侧82m</w:t>
                  </w:r>
                </w:p>
              </w:tc>
              <w:tc>
                <w:tcPr>
                  <w:tcW w:w="976" w:type="pct"/>
                  <w:vAlign w:val="center"/>
                </w:tcPr>
                <w:p w14:paraId="544C02B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113.449148515,</w:t>
                  </w:r>
                </w:p>
                <w:p w14:paraId="09B3F5A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29.476666295</w:t>
                  </w:r>
                </w:p>
              </w:tc>
              <w:tc>
                <w:tcPr>
                  <w:tcW w:w="456" w:type="pct"/>
                  <w:vAlign w:val="center"/>
                </w:tcPr>
                <w:p w14:paraId="01456E2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师生</w:t>
                  </w:r>
                </w:p>
              </w:tc>
              <w:tc>
                <w:tcPr>
                  <w:tcW w:w="613" w:type="pct"/>
                  <w:vAlign w:val="center"/>
                </w:tcPr>
                <w:p w14:paraId="7816743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约1500人</w:t>
                  </w:r>
                </w:p>
              </w:tc>
              <w:tc>
                <w:tcPr>
                  <w:tcW w:w="441" w:type="pct"/>
                  <w:vAlign w:val="center"/>
                </w:tcPr>
                <w:p w14:paraId="0D2D3BB6">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6ECE5766">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44950DEC">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restart"/>
                  <w:vAlign w:val="center"/>
                </w:tcPr>
                <w:p w14:paraId="1674392F">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color w:val="auto"/>
                      <w:sz w:val="21"/>
                      <w:szCs w:val="21"/>
                      <w:u w:val="single"/>
                    </w:rPr>
                    <w:t>长安一品</w:t>
                  </w:r>
                </w:p>
              </w:tc>
              <w:tc>
                <w:tcPr>
                  <w:tcW w:w="880" w:type="pct"/>
                  <w:vAlign w:val="center"/>
                </w:tcPr>
                <w:p w14:paraId="6DE67BB2">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临湘市第九完全小学</w:t>
                  </w:r>
                </w:p>
              </w:tc>
              <w:tc>
                <w:tcPr>
                  <w:tcW w:w="827" w:type="pct"/>
                  <w:vAlign w:val="center"/>
                </w:tcPr>
                <w:p w14:paraId="50D70DA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西侧19m</w:t>
                  </w:r>
                </w:p>
              </w:tc>
              <w:tc>
                <w:tcPr>
                  <w:tcW w:w="976" w:type="pct"/>
                  <w:vAlign w:val="center"/>
                </w:tcPr>
                <w:p w14:paraId="7CAEA2B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113.436762074,</w:t>
                  </w:r>
                </w:p>
                <w:p w14:paraId="74091B3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29.48778673</w:t>
                  </w:r>
                </w:p>
              </w:tc>
              <w:tc>
                <w:tcPr>
                  <w:tcW w:w="456" w:type="pct"/>
                  <w:vAlign w:val="center"/>
                </w:tcPr>
                <w:p w14:paraId="250E3C34">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师生</w:t>
                  </w:r>
                </w:p>
              </w:tc>
              <w:tc>
                <w:tcPr>
                  <w:tcW w:w="613" w:type="pct"/>
                  <w:vAlign w:val="center"/>
                </w:tcPr>
                <w:p w14:paraId="2B355566">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约800人</w:t>
                  </w:r>
                </w:p>
              </w:tc>
              <w:tc>
                <w:tcPr>
                  <w:tcW w:w="441" w:type="pct"/>
                  <w:vAlign w:val="center"/>
                </w:tcPr>
                <w:p w14:paraId="2EDDABB0">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2F7F443D">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66E38A07">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continue"/>
                  <w:vAlign w:val="center"/>
                </w:tcPr>
                <w:p w14:paraId="7492EFC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880" w:type="pct"/>
                  <w:vAlign w:val="center"/>
                </w:tcPr>
                <w:p w14:paraId="5B0791E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莲花塘居民点</w:t>
                  </w:r>
                </w:p>
              </w:tc>
              <w:tc>
                <w:tcPr>
                  <w:tcW w:w="827" w:type="pct"/>
                  <w:vAlign w:val="center"/>
                </w:tcPr>
                <w:p w14:paraId="672352A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西侧5-200m</w:t>
                  </w:r>
                </w:p>
              </w:tc>
              <w:tc>
                <w:tcPr>
                  <w:tcW w:w="976" w:type="pct"/>
                  <w:vAlign w:val="center"/>
                </w:tcPr>
                <w:p w14:paraId="5552888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113.436360136,</w:t>
                  </w:r>
                </w:p>
                <w:p w14:paraId="1D27726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29.486528543</w:t>
                  </w:r>
                </w:p>
              </w:tc>
              <w:tc>
                <w:tcPr>
                  <w:tcW w:w="456" w:type="pct"/>
                  <w:vAlign w:val="center"/>
                </w:tcPr>
                <w:p w14:paraId="2085D249">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1393BC84">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eastAsia" w:cs="Times New Roman"/>
                      <w:color w:val="auto"/>
                      <w:kern w:val="0"/>
                      <w:sz w:val="21"/>
                      <w:szCs w:val="21"/>
                      <w:u w:val="single"/>
                      <w:lang w:val="en-US" w:eastAsia="zh-CN"/>
                    </w:rPr>
                    <w:t>约20户</w:t>
                  </w:r>
                </w:p>
              </w:tc>
              <w:tc>
                <w:tcPr>
                  <w:tcW w:w="441" w:type="pct"/>
                  <w:vAlign w:val="center"/>
                </w:tcPr>
                <w:p w14:paraId="3AA4F6E1">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rPr>
                    <w:t>二类</w:t>
                  </w:r>
                </w:p>
              </w:tc>
            </w:tr>
            <w:tr w14:paraId="2E5679B8">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2CD3017B">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continue"/>
                  <w:vAlign w:val="center"/>
                </w:tcPr>
                <w:p w14:paraId="706F0971">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880" w:type="pct"/>
                  <w:vAlign w:val="center"/>
                </w:tcPr>
                <w:p w14:paraId="14D373E4">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长安一品</w:t>
                  </w:r>
                </w:p>
                <w:p w14:paraId="641700C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居民点</w:t>
                  </w:r>
                </w:p>
              </w:tc>
              <w:tc>
                <w:tcPr>
                  <w:tcW w:w="827" w:type="pct"/>
                  <w:vAlign w:val="center"/>
                </w:tcPr>
                <w:p w14:paraId="2B9382F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东侧10-200m</w:t>
                  </w:r>
                </w:p>
              </w:tc>
              <w:tc>
                <w:tcPr>
                  <w:tcW w:w="976" w:type="pct"/>
                  <w:vAlign w:val="center"/>
                </w:tcPr>
                <w:p w14:paraId="3F5ABBB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113.438012377,</w:t>
                  </w:r>
                </w:p>
                <w:p w14:paraId="5715F51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29.487376121</w:t>
                  </w:r>
                </w:p>
              </w:tc>
              <w:tc>
                <w:tcPr>
                  <w:tcW w:w="456" w:type="pct"/>
                  <w:vAlign w:val="center"/>
                </w:tcPr>
                <w:p w14:paraId="1FDAA731">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1390AED7">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eastAsia" w:cs="Times New Roman"/>
                      <w:color w:val="auto"/>
                      <w:kern w:val="0"/>
                      <w:sz w:val="21"/>
                      <w:szCs w:val="21"/>
                      <w:u w:val="single"/>
                      <w:lang w:val="en-US" w:eastAsia="zh-CN"/>
                    </w:rPr>
                    <w:t>约200户</w:t>
                  </w:r>
                </w:p>
              </w:tc>
              <w:tc>
                <w:tcPr>
                  <w:tcW w:w="441" w:type="pct"/>
                  <w:vAlign w:val="center"/>
                </w:tcPr>
                <w:p w14:paraId="2136D60F">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rPr>
                    <w:t>二类</w:t>
                  </w:r>
                </w:p>
              </w:tc>
            </w:tr>
            <w:tr w14:paraId="2BC48627">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2346CB65">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restart"/>
                  <w:vAlign w:val="center"/>
                </w:tcPr>
                <w:p w14:paraId="66003AA0">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color w:val="auto"/>
                      <w:sz w:val="21"/>
                      <w:szCs w:val="21"/>
                      <w:u w:val="single"/>
                    </w:rPr>
                    <w:t>杨田涵洞内涝点</w:t>
                  </w:r>
                </w:p>
              </w:tc>
              <w:tc>
                <w:tcPr>
                  <w:tcW w:w="880" w:type="pct"/>
                  <w:vAlign w:val="center"/>
                </w:tcPr>
                <w:p w14:paraId="7891DFC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陡山畈居民点</w:t>
                  </w:r>
                </w:p>
              </w:tc>
              <w:tc>
                <w:tcPr>
                  <w:tcW w:w="827" w:type="pct"/>
                  <w:vAlign w:val="center"/>
                </w:tcPr>
                <w:p w14:paraId="3AD0B88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北侧40-140m</w:t>
                  </w:r>
                </w:p>
              </w:tc>
              <w:tc>
                <w:tcPr>
                  <w:tcW w:w="976" w:type="pct"/>
                  <w:vAlign w:val="center"/>
                </w:tcPr>
                <w:p w14:paraId="09DE31D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113.453955427,</w:t>
                  </w:r>
                </w:p>
                <w:p w14:paraId="4EAC557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29.486887959</w:t>
                  </w:r>
                </w:p>
              </w:tc>
              <w:tc>
                <w:tcPr>
                  <w:tcW w:w="456" w:type="pct"/>
                  <w:vAlign w:val="center"/>
                </w:tcPr>
                <w:p w14:paraId="3621426D">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30A95E4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约10户</w:t>
                  </w:r>
                </w:p>
              </w:tc>
              <w:tc>
                <w:tcPr>
                  <w:tcW w:w="441" w:type="pct"/>
                  <w:vAlign w:val="center"/>
                </w:tcPr>
                <w:p w14:paraId="0463B716">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72E99588">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7822675A">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continue"/>
                  <w:vAlign w:val="center"/>
                </w:tcPr>
                <w:p w14:paraId="18746CD3">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880" w:type="pct"/>
                  <w:vAlign w:val="center"/>
                </w:tcPr>
                <w:p w14:paraId="40D6BC9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天星巷居民点</w:t>
                  </w:r>
                </w:p>
              </w:tc>
              <w:tc>
                <w:tcPr>
                  <w:tcW w:w="827" w:type="pct"/>
                  <w:vAlign w:val="center"/>
                </w:tcPr>
                <w:p w14:paraId="0DA2A62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南侧60-200m</w:t>
                  </w:r>
                </w:p>
              </w:tc>
              <w:tc>
                <w:tcPr>
                  <w:tcW w:w="976" w:type="pct"/>
                  <w:vAlign w:val="center"/>
                </w:tcPr>
                <w:p w14:paraId="7F5A23F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113.453464583,</w:t>
                  </w:r>
                </w:p>
                <w:p w14:paraId="57A373D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29.485777525</w:t>
                  </w:r>
                </w:p>
              </w:tc>
              <w:tc>
                <w:tcPr>
                  <w:tcW w:w="456" w:type="pct"/>
                  <w:vAlign w:val="center"/>
                </w:tcPr>
                <w:p w14:paraId="4C29DAAA">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0A6DBC2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约100户</w:t>
                  </w:r>
                </w:p>
              </w:tc>
              <w:tc>
                <w:tcPr>
                  <w:tcW w:w="441" w:type="pct"/>
                  <w:vAlign w:val="center"/>
                </w:tcPr>
                <w:p w14:paraId="31350E7E">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4B57DC02">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17D0362F">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restart"/>
                  <w:vAlign w:val="center"/>
                </w:tcPr>
                <w:p w14:paraId="4C70991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color w:val="auto"/>
                      <w:sz w:val="21"/>
                      <w:szCs w:val="21"/>
                      <w:u w:val="single"/>
                    </w:rPr>
                    <w:t>南正街华天宾馆</w:t>
                  </w:r>
                </w:p>
              </w:tc>
              <w:tc>
                <w:tcPr>
                  <w:tcW w:w="880" w:type="pct"/>
                  <w:vAlign w:val="center"/>
                </w:tcPr>
                <w:p w14:paraId="06FE862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周家巷居民点</w:t>
                  </w:r>
                </w:p>
              </w:tc>
              <w:tc>
                <w:tcPr>
                  <w:tcW w:w="827" w:type="pct"/>
                  <w:vAlign w:val="center"/>
                </w:tcPr>
                <w:p w14:paraId="20E7CF3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东侧29-200m</w:t>
                  </w:r>
                </w:p>
              </w:tc>
              <w:tc>
                <w:tcPr>
                  <w:tcW w:w="976" w:type="pct"/>
                  <w:vAlign w:val="center"/>
                </w:tcPr>
                <w:p w14:paraId="2698EFC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113.445761279,</w:t>
                  </w:r>
                </w:p>
                <w:p w14:paraId="3AD38CA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29.473358897</w:t>
                  </w:r>
                </w:p>
              </w:tc>
              <w:tc>
                <w:tcPr>
                  <w:tcW w:w="456" w:type="pct"/>
                  <w:vAlign w:val="center"/>
                </w:tcPr>
                <w:p w14:paraId="65276A51">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6802B54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约300户</w:t>
                  </w:r>
                </w:p>
              </w:tc>
              <w:tc>
                <w:tcPr>
                  <w:tcW w:w="441" w:type="pct"/>
                  <w:vAlign w:val="center"/>
                </w:tcPr>
                <w:p w14:paraId="61303E4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70A0D24F">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23412F02">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continue"/>
                  <w:vAlign w:val="center"/>
                </w:tcPr>
                <w:p w14:paraId="4FC313FD">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880" w:type="pct"/>
                  <w:vAlign w:val="center"/>
                </w:tcPr>
                <w:p w14:paraId="712136A7">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彭家巷居民点</w:t>
                  </w:r>
                </w:p>
              </w:tc>
              <w:tc>
                <w:tcPr>
                  <w:tcW w:w="827" w:type="pct"/>
                  <w:vAlign w:val="center"/>
                </w:tcPr>
                <w:p w14:paraId="4C8428F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西侧5-200m</w:t>
                  </w:r>
                </w:p>
              </w:tc>
              <w:tc>
                <w:tcPr>
                  <w:tcW w:w="976" w:type="pct"/>
                  <w:vAlign w:val="center"/>
                </w:tcPr>
                <w:p w14:paraId="5522647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113.444918961,</w:t>
                  </w:r>
                </w:p>
                <w:p w14:paraId="019DBDF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29.473941050</w:t>
                  </w:r>
                </w:p>
              </w:tc>
              <w:tc>
                <w:tcPr>
                  <w:tcW w:w="456" w:type="pct"/>
                  <w:vAlign w:val="center"/>
                </w:tcPr>
                <w:p w14:paraId="0E463226">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08BB4C99">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kern w:val="0"/>
                      <w:sz w:val="21"/>
                      <w:szCs w:val="21"/>
                      <w:u w:val="single"/>
                      <w:lang w:val="en-US" w:eastAsia="zh-CN"/>
                    </w:rPr>
                  </w:pPr>
                  <w:r>
                    <w:rPr>
                      <w:rFonts w:hint="eastAsia" w:cs="Times New Roman"/>
                      <w:color w:val="auto"/>
                      <w:kern w:val="0"/>
                      <w:sz w:val="21"/>
                      <w:szCs w:val="21"/>
                      <w:u w:val="single"/>
                      <w:lang w:val="en-US" w:eastAsia="zh-CN"/>
                    </w:rPr>
                    <w:t>约300户</w:t>
                  </w:r>
                </w:p>
              </w:tc>
              <w:tc>
                <w:tcPr>
                  <w:tcW w:w="441" w:type="pct"/>
                  <w:vAlign w:val="center"/>
                </w:tcPr>
                <w:p w14:paraId="2EA7E87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7D23830E">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73901B8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403" w:type="pct"/>
                  <w:vMerge w:val="restart"/>
                  <w:vAlign w:val="center"/>
                </w:tcPr>
                <w:p w14:paraId="5676D32F">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六中南侧内涝点</w:t>
                  </w:r>
                </w:p>
              </w:tc>
              <w:tc>
                <w:tcPr>
                  <w:tcW w:w="880" w:type="pct"/>
                  <w:vAlign w:val="center"/>
                </w:tcPr>
                <w:p w14:paraId="18A4DD7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西侧居民点</w:t>
                  </w:r>
                </w:p>
              </w:tc>
              <w:tc>
                <w:tcPr>
                  <w:tcW w:w="827" w:type="pct"/>
                  <w:vAlign w:val="center"/>
                </w:tcPr>
                <w:p w14:paraId="459EB81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西侧40-110m</w:t>
                  </w:r>
                </w:p>
              </w:tc>
              <w:tc>
                <w:tcPr>
                  <w:tcW w:w="976" w:type="pct"/>
                  <w:vAlign w:val="center"/>
                </w:tcPr>
                <w:p w14:paraId="1DBFB70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113.449655742,</w:t>
                  </w:r>
                </w:p>
                <w:p w14:paraId="58B29CE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29.474600874</w:t>
                  </w:r>
                </w:p>
              </w:tc>
              <w:tc>
                <w:tcPr>
                  <w:tcW w:w="456" w:type="pct"/>
                  <w:vAlign w:val="center"/>
                </w:tcPr>
                <w:p w14:paraId="596E809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居民</w:t>
                  </w:r>
                </w:p>
              </w:tc>
              <w:tc>
                <w:tcPr>
                  <w:tcW w:w="613" w:type="pct"/>
                  <w:vAlign w:val="center"/>
                </w:tcPr>
                <w:p w14:paraId="6E85DE1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约50户</w:t>
                  </w:r>
                </w:p>
              </w:tc>
              <w:tc>
                <w:tcPr>
                  <w:tcW w:w="441" w:type="pct"/>
                  <w:vAlign w:val="center"/>
                </w:tcPr>
                <w:p w14:paraId="178446B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699A59BE">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19F864AF">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403" w:type="pct"/>
                  <w:vMerge w:val="continue"/>
                  <w:vAlign w:val="center"/>
                </w:tcPr>
                <w:p w14:paraId="3514C465">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880" w:type="pct"/>
                  <w:vAlign w:val="center"/>
                </w:tcPr>
                <w:p w14:paraId="1E8C689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临湘市第六中学</w:t>
                  </w:r>
                </w:p>
              </w:tc>
              <w:tc>
                <w:tcPr>
                  <w:tcW w:w="827" w:type="pct"/>
                  <w:vAlign w:val="center"/>
                </w:tcPr>
                <w:p w14:paraId="408FDAA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北侧60m</w:t>
                  </w:r>
                </w:p>
              </w:tc>
              <w:tc>
                <w:tcPr>
                  <w:tcW w:w="976" w:type="pct"/>
                  <w:vAlign w:val="center"/>
                </w:tcPr>
                <w:p w14:paraId="5E8BF4A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113.450599880,</w:t>
                  </w:r>
                </w:p>
                <w:p w14:paraId="0829F23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29.475040756</w:t>
                  </w:r>
                </w:p>
              </w:tc>
              <w:tc>
                <w:tcPr>
                  <w:tcW w:w="456" w:type="pct"/>
                  <w:vAlign w:val="center"/>
                </w:tcPr>
                <w:p w14:paraId="0C875967">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师生</w:t>
                  </w:r>
                </w:p>
              </w:tc>
              <w:tc>
                <w:tcPr>
                  <w:tcW w:w="613" w:type="pct"/>
                  <w:vAlign w:val="center"/>
                </w:tcPr>
                <w:p w14:paraId="699C49D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约1500人</w:t>
                  </w:r>
                </w:p>
              </w:tc>
              <w:tc>
                <w:tcPr>
                  <w:tcW w:w="441" w:type="pct"/>
                  <w:vAlign w:val="center"/>
                </w:tcPr>
                <w:p w14:paraId="59F88CED">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313BE0A9">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2866220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restart"/>
                  <w:vAlign w:val="center"/>
                </w:tcPr>
                <w:p w14:paraId="20B4BA9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城中南路夏家巷</w:t>
                  </w:r>
                </w:p>
              </w:tc>
              <w:tc>
                <w:tcPr>
                  <w:tcW w:w="880" w:type="pct"/>
                  <w:vAlign w:val="center"/>
                </w:tcPr>
                <w:p w14:paraId="2F25FE2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夏家巷南侧居民点</w:t>
                  </w:r>
                </w:p>
              </w:tc>
              <w:tc>
                <w:tcPr>
                  <w:tcW w:w="827" w:type="pct"/>
                  <w:vAlign w:val="center"/>
                </w:tcPr>
                <w:p w14:paraId="45A676E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南侧5-200m</w:t>
                  </w:r>
                </w:p>
              </w:tc>
              <w:tc>
                <w:tcPr>
                  <w:tcW w:w="976" w:type="pct"/>
                  <w:vAlign w:val="center"/>
                </w:tcPr>
                <w:p w14:paraId="21FEDA5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113.458686740,</w:t>
                  </w:r>
                </w:p>
                <w:p w14:paraId="36F3CA5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29.474823497</w:t>
                  </w:r>
                </w:p>
              </w:tc>
              <w:tc>
                <w:tcPr>
                  <w:tcW w:w="456" w:type="pct"/>
                  <w:vAlign w:val="center"/>
                </w:tcPr>
                <w:p w14:paraId="37B5861D">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13" w:type="pct"/>
                  <w:vAlign w:val="center"/>
                </w:tcPr>
                <w:p w14:paraId="7342E16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约200户</w:t>
                  </w:r>
                </w:p>
              </w:tc>
              <w:tc>
                <w:tcPr>
                  <w:tcW w:w="441" w:type="pct"/>
                  <w:vAlign w:val="center"/>
                </w:tcPr>
                <w:p w14:paraId="69F6F91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76833365">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1311324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continue"/>
                  <w:vAlign w:val="center"/>
                </w:tcPr>
                <w:p w14:paraId="435DD8C8">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880" w:type="pct"/>
                  <w:vAlign w:val="center"/>
                </w:tcPr>
                <w:p w14:paraId="1B850F0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夏家巷北侧居民点</w:t>
                  </w:r>
                </w:p>
              </w:tc>
              <w:tc>
                <w:tcPr>
                  <w:tcW w:w="827" w:type="pct"/>
                  <w:vAlign w:val="center"/>
                </w:tcPr>
                <w:p w14:paraId="7485F88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北侧5-200m</w:t>
                  </w:r>
                </w:p>
              </w:tc>
              <w:tc>
                <w:tcPr>
                  <w:tcW w:w="976" w:type="pct"/>
                  <w:vAlign w:val="center"/>
                </w:tcPr>
                <w:p w14:paraId="67C9EEE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113.458740384,</w:t>
                  </w:r>
                </w:p>
                <w:p w14:paraId="22AAF3D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29.475306294</w:t>
                  </w:r>
                </w:p>
              </w:tc>
              <w:tc>
                <w:tcPr>
                  <w:tcW w:w="456" w:type="pct"/>
                  <w:vAlign w:val="center"/>
                </w:tcPr>
                <w:p w14:paraId="70A6F35A">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13" w:type="pct"/>
                  <w:vAlign w:val="center"/>
                </w:tcPr>
                <w:p w14:paraId="2D348085">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约300户</w:t>
                  </w:r>
                </w:p>
              </w:tc>
              <w:tc>
                <w:tcPr>
                  <w:tcW w:w="441" w:type="pct"/>
                  <w:vAlign w:val="center"/>
                </w:tcPr>
                <w:p w14:paraId="18F1C25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4D8037B7">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08C19356">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continue"/>
                  <w:vAlign w:val="center"/>
                </w:tcPr>
                <w:p w14:paraId="48DF035D">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880" w:type="pct"/>
                  <w:vAlign w:val="center"/>
                </w:tcPr>
                <w:p w14:paraId="6315871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时代名郡居民点</w:t>
                  </w:r>
                </w:p>
              </w:tc>
              <w:tc>
                <w:tcPr>
                  <w:tcW w:w="827" w:type="pct"/>
                  <w:vAlign w:val="center"/>
                </w:tcPr>
                <w:p w14:paraId="1F6578E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东侧13-200m</w:t>
                  </w:r>
                </w:p>
              </w:tc>
              <w:tc>
                <w:tcPr>
                  <w:tcW w:w="976" w:type="pct"/>
                  <w:vAlign w:val="center"/>
                </w:tcPr>
                <w:p w14:paraId="5DAD844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113.460794956,</w:t>
                  </w:r>
                </w:p>
                <w:p w14:paraId="368B968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29.475048803</w:t>
                  </w:r>
                </w:p>
              </w:tc>
              <w:tc>
                <w:tcPr>
                  <w:tcW w:w="456" w:type="pct"/>
                  <w:vAlign w:val="center"/>
                </w:tcPr>
                <w:p w14:paraId="0350EC77">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13" w:type="pct"/>
                  <w:vAlign w:val="center"/>
                </w:tcPr>
                <w:p w14:paraId="35E47480">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约400户</w:t>
                  </w:r>
                </w:p>
              </w:tc>
              <w:tc>
                <w:tcPr>
                  <w:tcW w:w="441" w:type="pct"/>
                  <w:vAlign w:val="center"/>
                </w:tcPr>
                <w:p w14:paraId="2EF9370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71021D6A">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60D930F5">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continue"/>
                  <w:vAlign w:val="center"/>
                </w:tcPr>
                <w:p w14:paraId="3827073F">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880" w:type="pct"/>
                  <w:vAlign w:val="center"/>
                </w:tcPr>
                <w:p w14:paraId="4EEC485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城中南路西侧居民点</w:t>
                  </w:r>
                </w:p>
              </w:tc>
              <w:tc>
                <w:tcPr>
                  <w:tcW w:w="827" w:type="pct"/>
                  <w:vAlign w:val="center"/>
                </w:tcPr>
                <w:p w14:paraId="37B2181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西侧24-200m</w:t>
                  </w:r>
                </w:p>
              </w:tc>
              <w:tc>
                <w:tcPr>
                  <w:tcW w:w="976" w:type="pct"/>
                  <w:vAlign w:val="center"/>
                </w:tcPr>
                <w:p w14:paraId="5135ED7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113.456197650,</w:t>
                  </w:r>
                </w:p>
                <w:p w14:paraId="1D456D6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29.474807404</w:t>
                  </w:r>
                </w:p>
              </w:tc>
              <w:tc>
                <w:tcPr>
                  <w:tcW w:w="456" w:type="pct"/>
                  <w:vAlign w:val="center"/>
                </w:tcPr>
                <w:p w14:paraId="4AF3619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13" w:type="pct"/>
                  <w:vAlign w:val="center"/>
                </w:tcPr>
                <w:p w14:paraId="6AA74936">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约300户</w:t>
                  </w:r>
                </w:p>
              </w:tc>
              <w:tc>
                <w:tcPr>
                  <w:tcW w:w="441" w:type="pct"/>
                  <w:vAlign w:val="center"/>
                </w:tcPr>
                <w:p w14:paraId="5200738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04DE6ECF">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1" w:type="pct"/>
                  <w:vMerge w:val="continue"/>
                  <w:vAlign w:val="center"/>
                </w:tcPr>
                <w:p w14:paraId="20D87D35">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restart"/>
                  <w:vAlign w:val="center"/>
                </w:tcPr>
                <w:p w14:paraId="669CDD9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学院路</w:t>
                  </w:r>
                </w:p>
              </w:tc>
              <w:tc>
                <w:tcPr>
                  <w:tcW w:w="880" w:type="pct"/>
                  <w:vAlign w:val="center"/>
                </w:tcPr>
                <w:p w14:paraId="1E13CE7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王家塝居民点</w:t>
                  </w:r>
                </w:p>
              </w:tc>
              <w:tc>
                <w:tcPr>
                  <w:tcW w:w="827" w:type="pct"/>
                  <w:vAlign w:val="center"/>
                </w:tcPr>
                <w:p w14:paraId="5794B69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北侧5-200m</w:t>
                  </w:r>
                </w:p>
              </w:tc>
              <w:tc>
                <w:tcPr>
                  <w:tcW w:w="976" w:type="pct"/>
                  <w:vAlign w:val="center"/>
                </w:tcPr>
                <w:p w14:paraId="0F98D00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113.461873204,</w:t>
                  </w:r>
                </w:p>
                <w:p w14:paraId="054DFDB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29.472259305</w:t>
                  </w:r>
                </w:p>
              </w:tc>
              <w:tc>
                <w:tcPr>
                  <w:tcW w:w="456" w:type="pct"/>
                  <w:vAlign w:val="center"/>
                </w:tcPr>
                <w:p w14:paraId="4BA6C54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居民</w:t>
                  </w:r>
                </w:p>
              </w:tc>
              <w:tc>
                <w:tcPr>
                  <w:tcW w:w="613" w:type="pct"/>
                  <w:vAlign w:val="center"/>
                </w:tcPr>
                <w:p w14:paraId="3A07871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约150户</w:t>
                  </w:r>
                </w:p>
              </w:tc>
              <w:tc>
                <w:tcPr>
                  <w:tcW w:w="441" w:type="pct"/>
                  <w:vAlign w:val="center"/>
                </w:tcPr>
                <w:p w14:paraId="2FF51740">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63E05367">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1" w:type="pct"/>
                  <w:vMerge w:val="continue"/>
                  <w:vAlign w:val="center"/>
                </w:tcPr>
                <w:p w14:paraId="7FB09D2B">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continue"/>
                  <w:vAlign w:val="center"/>
                </w:tcPr>
                <w:p w14:paraId="46A4B96A">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880" w:type="pct"/>
                  <w:vAlign w:val="center"/>
                </w:tcPr>
                <w:p w14:paraId="24F1769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新一中</w:t>
                  </w:r>
                </w:p>
              </w:tc>
              <w:tc>
                <w:tcPr>
                  <w:tcW w:w="827" w:type="pct"/>
                  <w:vAlign w:val="center"/>
                </w:tcPr>
                <w:p w14:paraId="403C621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东侧25m</w:t>
                  </w:r>
                </w:p>
              </w:tc>
              <w:tc>
                <w:tcPr>
                  <w:tcW w:w="976" w:type="pct"/>
                  <w:vAlign w:val="center"/>
                </w:tcPr>
                <w:p w14:paraId="6519BF9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113.462001950,</w:t>
                  </w:r>
                </w:p>
                <w:p w14:paraId="1525A06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29.470269106</w:t>
                  </w:r>
                </w:p>
              </w:tc>
              <w:tc>
                <w:tcPr>
                  <w:tcW w:w="456" w:type="pct"/>
                  <w:vAlign w:val="center"/>
                </w:tcPr>
                <w:p w14:paraId="6D30218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师生</w:t>
                  </w:r>
                </w:p>
              </w:tc>
              <w:tc>
                <w:tcPr>
                  <w:tcW w:w="613" w:type="pct"/>
                  <w:vAlign w:val="center"/>
                </w:tcPr>
                <w:p w14:paraId="6D30C13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约1500人</w:t>
                  </w:r>
                </w:p>
              </w:tc>
              <w:tc>
                <w:tcPr>
                  <w:tcW w:w="441" w:type="pct"/>
                  <w:vAlign w:val="center"/>
                </w:tcPr>
                <w:p w14:paraId="5433FF1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4955C111">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01" w:type="pct"/>
                  <w:vMerge w:val="continue"/>
                  <w:vAlign w:val="center"/>
                </w:tcPr>
                <w:p w14:paraId="29A4F196">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continue"/>
                  <w:vAlign w:val="center"/>
                </w:tcPr>
                <w:p w14:paraId="7BCAC92F">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880" w:type="pct"/>
                  <w:vAlign w:val="center"/>
                </w:tcPr>
                <w:p w14:paraId="757EB9B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康桥郡居民点</w:t>
                  </w:r>
                </w:p>
              </w:tc>
              <w:tc>
                <w:tcPr>
                  <w:tcW w:w="827" w:type="pct"/>
                  <w:vAlign w:val="center"/>
                </w:tcPr>
                <w:p w14:paraId="21079AC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西侧40-200m</w:t>
                  </w:r>
                </w:p>
              </w:tc>
              <w:tc>
                <w:tcPr>
                  <w:tcW w:w="976" w:type="pct"/>
                  <w:vAlign w:val="center"/>
                </w:tcPr>
                <w:p w14:paraId="62FB1CD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113.459883005,</w:t>
                  </w:r>
                </w:p>
                <w:p w14:paraId="73B035B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29.471293710</w:t>
                  </w:r>
                </w:p>
              </w:tc>
              <w:tc>
                <w:tcPr>
                  <w:tcW w:w="456" w:type="pct"/>
                  <w:vAlign w:val="center"/>
                </w:tcPr>
                <w:p w14:paraId="7C7C7744">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居民</w:t>
                  </w:r>
                </w:p>
              </w:tc>
              <w:tc>
                <w:tcPr>
                  <w:tcW w:w="613" w:type="pct"/>
                  <w:vAlign w:val="center"/>
                </w:tcPr>
                <w:p w14:paraId="1F3074FE">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约300户</w:t>
                  </w:r>
                </w:p>
              </w:tc>
              <w:tc>
                <w:tcPr>
                  <w:tcW w:w="441" w:type="pct"/>
                  <w:vAlign w:val="center"/>
                </w:tcPr>
                <w:p w14:paraId="1D5ACCE4">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166CAC6E">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3A883351">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restart"/>
                  <w:vAlign w:val="center"/>
                </w:tcPr>
                <w:p w14:paraId="6983063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荷花路</w:t>
                  </w:r>
                </w:p>
              </w:tc>
              <w:tc>
                <w:tcPr>
                  <w:tcW w:w="880" w:type="pct"/>
                  <w:vAlign w:val="center"/>
                </w:tcPr>
                <w:p w14:paraId="5E59004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荷花路西侧居民点</w:t>
                  </w:r>
                </w:p>
              </w:tc>
              <w:tc>
                <w:tcPr>
                  <w:tcW w:w="827" w:type="pct"/>
                  <w:vAlign w:val="center"/>
                </w:tcPr>
                <w:p w14:paraId="7BBD0940">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-200m</w:t>
                  </w:r>
                </w:p>
              </w:tc>
              <w:tc>
                <w:tcPr>
                  <w:tcW w:w="976" w:type="pct"/>
                  <w:vAlign w:val="center"/>
                </w:tcPr>
                <w:p w14:paraId="6218B79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113.474436723,</w:t>
                  </w:r>
                </w:p>
                <w:p w14:paraId="0403ABA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29.472140007</w:t>
                  </w:r>
                </w:p>
              </w:tc>
              <w:tc>
                <w:tcPr>
                  <w:tcW w:w="456" w:type="pct"/>
                  <w:vAlign w:val="center"/>
                </w:tcPr>
                <w:p w14:paraId="26ABD5E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居民</w:t>
                  </w:r>
                </w:p>
              </w:tc>
              <w:tc>
                <w:tcPr>
                  <w:tcW w:w="613" w:type="pct"/>
                  <w:vAlign w:val="center"/>
                </w:tcPr>
                <w:p w14:paraId="783D8836">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约500户</w:t>
                  </w:r>
                </w:p>
              </w:tc>
              <w:tc>
                <w:tcPr>
                  <w:tcW w:w="441" w:type="pct"/>
                  <w:vAlign w:val="center"/>
                </w:tcPr>
                <w:p w14:paraId="12D6FC4B">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7075B38C">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63C2C9A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continue"/>
                  <w:vAlign w:val="center"/>
                </w:tcPr>
                <w:p w14:paraId="2EB6004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880" w:type="pct"/>
                  <w:vAlign w:val="center"/>
                </w:tcPr>
                <w:p w14:paraId="701DD7B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临湘市第二完小</w:t>
                  </w:r>
                </w:p>
              </w:tc>
              <w:tc>
                <w:tcPr>
                  <w:tcW w:w="827" w:type="pct"/>
                  <w:vAlign w:val="center"/>
                </w:tcPr>
                <w:p w14:paraId="4033586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cs="Times New Roman"/>
                      <w:bCs/>
                      <w:color w:val="auto"/>
                      <w:sz w:val="21"/>
                      <w:szCs w:val="21"/>
                      <w:u w:val="single"/>
                      <w:lang w:val="en-US" w:eastAsia="zh-CN"/>
                    </w:rPr>
                    <w:t>东侧145m</w:t>
                  </w:r>
                </w:p>
              </w:tc>
              <w:tc>
                <w:tcPr>
                  <w:tcW w:w="976" w:type="pct"/>
                  <w:vAlign w:val="center"/>
                </w:tcPr>
                <w:p w14:paraId="7F4F327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113.476668321,</w:t>
                  </w:r>
                </w:p>
                <w:p w14:paraId="04D2FBC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29.471721583</w:t>
                  </w:r>
                </w:p>
              </w:tc>
              <w:tc>
                <w:tcPr>
                  <w:tcW w:w="456" w:type="pct"/>
                  <w:vAlign w:val="center"/>
                </w:tcPr>
                <w:p w14:paraId="35C4B6B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师生</w:t>
                  </w:r>
                </w:p>
              </w:tc>
              <w:tc>
                <w:tcPr>
                  <w:tcW w:w="613" w:type="pct"/>
                  <w:vAlign w:val="center"/>
                </w:tcPr>
                <w:p w14:paraId="1D87AAEA">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约800人</w:t>
                  </w:r>
                </w:p>
              </w:tc>
              <w:tc>
                <w:tcPr>
                  <w:tcW w:w="441" w:type="pct"/>
                  <w:vAlign w:val="center"/>
                </w:tcPr>
                <w:p w14:paraId="683202AD">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6DCFC804">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37FBD936">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continue"/>
                  <w:vAlign w:val="center"/>
                </w:tcPr>
                <w:p w14:paraId="58E5801C">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880" w:type="pct"/>
                  <w:vAlign w:val="center"/>
                </w:tcPr>
                <w:p w14:paraId="279D974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荷花路东侧居民点</w:t>
                  </w:r>
                </w:p>
              </w:tc>
              <w:tc>
                <w:tcPr>
                  <w:tcW w:w="827" w:type="pct"/>
                  <w:vAlign w:val="center"/>
                </w:tcPr>
                <w:p w14:paraId="1C2BEA6A">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bCs/>
                      <w:color w:val="auto"/>
                      <w:sz w:val="21"/>
                      <w:szCs w:val="21"/>
                      <w:u w:val="single"/>
                      <w:lang w:val="en-US" w:eastAsia="zh-CN"/>
                    </w:rPr>
                  </w:pPr>
                  <w:r>
                    <w:rPr>
                      <w:rFonts w:hint="eastAsia" w:cs="Times New Roman"/>
                      <w:bCs/>
                      <w:color w:val="auto"/>
                      <w:sz w:val="21"/>
                      <w:szCs w:val="21"/>
                      <w:u w:val="single"/>
                      <w:lang w:val="en-US" w:eastAsia="zh-CN"/>
                    </w:rPr>
                    <w:t>东</w:t>
                  </w:r>
                  <w:r>
                    <w:rPr>
                      <w:rFonts w:hint="eastAsia" w:ascii="Times New Roman" w:hAnsi="Times New Roman" w:cs="Times New Roman"/>
                      <w:bCs/>
                      <w:color w:val="auto"/>
                      <w:sz w:val="21"/>
                      <w:szCs w:val="21"/>
                      <w:u w:val="single"/>
                      <w:lang w:val="en-US" w:eastAsia="zh-CN"/>
                    </w:rPr>
                    <w:t>侧</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-200m</w:t>
                  </w:r>
                </w:p>
              </w:tc>
              <w:tc>
                <w:tcPr>
                  <w:tcW w:w="976" w:type="pct"/>
                  <w:vAlign w:val="center"/>
                </w:tcPr>
                <w:p w14:paraId="0F60CE1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113.475638353,</w:t>
                  </w:r>
                </w:p>
                <w:p w14:paraId="5976CBF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29.472172194</w:t>
                  </w:r>
                </w:p>
              </w:tc>
              <w:tc>
                <w:tcPr>
                  <w:tcW w:w="456" w:type="pct"/>
                  <w:vAlign w:val="center"/>
                </w:tcPr>
                <w:p w14:paraId="0C8A2156">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居民</w:t>
                  </w:r>
                </w:p>
              </w:tc>
              <w:tc>
                <w:tcPr>
                  <w:tcW w:w="613" w:type="pct"/>
                  <w:vAlign w:val="center"/>
                </w:tcPr>
                <w:p w14:paraId="0E39DF8A">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约500户</w:t>
                  </w:r>
                </w:p>
              </w:tc>
              <w:tc>
                <w:tcPr>
                  <w:tcW w:w="441" w:type="pct"/>
                  <w:vAlign w:val="center"/>
                </w:tcPr>
                <w:p w14:paraId="09E3CEAC">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4B7AA468">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6483BEE5">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restart"/>
                  <w:vAlign w:val="center"/>
                </w:tcPr>
                <w:p w14:paraId="3996EB1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金桥路</w:t>
                  </w:r>
                </w:p>
              </w:tc>
              <w:tc>
                <w:tcPr>
                  <w:tcW w:w="880" w:type="pct"/>
                  <w:vAlign w:val="center"/>
                </w:tcPr>
                <w:p w14:paraId="5BA857B9">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荷花路东侧居民点</w:t>
                  </w:r>
                </w:p>
              </w:tc>
              <w:tc>
                <w:tcPr>
                  <w:tcW w:w="827" w:type="pct"/>
                  <w:vAlign w:val="center"/>
                </w:tcPr>
                <w:p w14:paraId="454E06F3">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bCs/>
                      <w:color w:val="auto"/>
                      <w:sz w:val="21"/>
                      <w:szCs w:val="21"/>
                      <w:u w:val="single"/>
                      <w:lang w:val="en-US" w:eastAsia="zh-CN"/>
                    </w:rPr>
                  </w:pPr>
                  <w:r>
                    <w:rPr>
                      <w:rFonts w:hint="eastAsia" w:cs="Times New Roman"/>
                      <w:bCs/>
                      <w:color w:val="auto"/>
                      <w:sz w:val="21"/>
                      <w:szCs w:val="21"/>
                      <w:u w:val="single"/>
                      <w:lang w:val="en-US" w:eastAsia="zh-CN"/>
                    </w:rPr>
                    <w:t>东</w:t>
                  </w:r>
                  <w:r>
                    <w:rPr>
                      <w:rFonts w:hint="eastAsia" w:ascii="Times New Roman" w:hAnsi="Times New Roman" w:cs="Times New Roman"/>
                      <w:bCs/>
                      <w:color w:val="auto"/>
                      <w:sz w:val="21"/>
                      <w:szCs w:val="21"/>
                      <w:u w:val="single"/>
                      <w:lang w:val="en-US" w:eastAsia="zh-CN"/>
                    </w:rPr>
                    <w:t>侧</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-200m</w:t>
                  </w:r>
                </w:p>
              </w:tc>
              <w:tc>
                <w:tcPr>
                  <w:tcW w:w="976" w:type="pct"/>
                  <w:vAlign w:val="center"/>
                </w:tcPr>
                <w:p w14:paraId="414DEAB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113.486571037,</w:t>
                  </w:r>
                </w:p>
                <w:p w14:paraId="36345EB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29.475626879</w:t>
                  </w:r>
                </w:p>
              </w:tc>
              <w:tc>
                <w:tcPr>
                  <w:tcW w:w="456" w:type="pct"/>
                  <w:vAlign w:val="center"/>
                </w:tcPr>
                <w:p w14:paraId="57A8325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13" w:type="pct"/>
                  <w:vAlign w:val="center"/>
                </w:tcPr>
                <w:p w14:paraId="686449F7">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约200户</w:t>
                  </w:r>
                </w:p>
              </w:tc>
              <w:tc>
                <w:tcPr>
                  <w:tcW w:w="441" w:type="pct"/>
                  <w:vAlign w:val="center"/>
                </w:tcPr>
                <w:p w14:paraId="2C1CDA96">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446A2459">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2AB89B30">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continue"/>
                  <w:vAlign w:val="center"/>
                </w:tcPr>
                <w:p w14:paraId="339D02AB">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880" w:type="pct"/>
                  <w:vAlign w:val="center"/>
                </w:tcPr>
                <w:p w14:paraId="7CB1A7DA">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荷花路</w:t>
                  </w:r>
                  <w:r>
                    <w:rPr>
                      <w:rFonts w:hint="eastAsia" w:cs="Times New Roman"/>
                      <w:color w:val="auto"/>
                      <w:kern w:val="0"/>
                      <w:sz w:val="21"/>
                      <w:szCs w:val="21"/>
                      <w:u w:val="single"/>
                      <w:lang w:val="en-US" w:eastAsia="zh-CN"/>
                    </w:rPr>
                    <w:t>西</w:t>
                  </w:r>
                  <w:r>
                    <w:rPr>
                      <w:rFonts w:hint="eastAsia" w:ascii="Times New Roman" w:hAnsi="Times New Roman" w:cs="Times New Roman"/>
                      <w:color w:val="auto"/>
                      <w:kern w:val="0"/>
                      <w:sz w:val="21"/>
                      <w:szCs w:val="21"/>
                      <w:u w:val="single"/>
                      <w:lang w:val="en-US" w:eastAsia="zh-CN"/>
                    </w:rPr>
                    <w:t>侧居民点</w:t>
                  </w:r>
                </w:p>
              </w:tc>
              <w:tc>
                <w:tcPr>
                  <w:tcW w:w="827" w:type="pct"/>
                  <w:vAlign w:val="center"/>
                </w:tcPr>
                <w:p w14:paraId="248FE878">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bCs/>
                      <w:color w:val="auto"/>
                      <w:sz w:val="21"/>
                      <w:szCs w:val="21"/>
                      <w:u w:val="single"/>
                      <w:lang w:val="en-US" w:eastAsia="zh-CN"/>
                    </w:rPr>
                  </w:pPr>
                  <w:r>
                    <w:rPr>
                      <w:rFonts w:hint="eastAsia" w:cs="Times New Roman"/>
                      <w:bCs/>
                      <w:color w:val="auto"/>
                      <w:sz w:val="21"/>
                      <w:szCs w:val="21"/>
                      <w:u w:val="single"/>
                      <w:lang w:val="en-US" w:eastAsia="zh-CN"/>
                    </w:rPr>
                    <w:t>西</w:t>
                  </w:r>
                  <w:r>
                    <w:rPr>
                      <w:rFonts w:hint="eastAsia" w:ascii="Times New Roman" w:hAnsi="Times New Roman" w:cs="Times New Roman"/>
                      <w:bCs/>
                      <w:color w:val="auto"/>
                      <w:sz w:val="21"/>
                      <w:szCs w:val="21"/>
                      <w:u w:val="single"/>
                      <w:lang w:val="en-US" w:eastAsia="zh-CN"/>
                    </w:rPr>
                    <w:t>侧</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-200m</w:t>
                  </w:r>
                </w:p>
              </w:tc>
              <w:tc>
                <w:tcPr>
                  <w:tcW w:w="976" w:type="pct"/>
                  <w:vAlign w:val="center"/>
                </w:tcPr>
                <w:p w14:paraId="578419F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113.485605442,</w:t>
                  </w:r>
                </w:p>
                <w:p w14:paraId="49EF654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29.475219183</w:t>
                  </w:r>
                </w:p>
              </w:tc>
              <w:tc>
                <w:tcPr>
                  <w:tcW w:w="456" w:type="pct"/>
                  <w:vAlign w:val="center"/>
                </w:tcPr>
                <w:p w14:paraId="3FBDE404">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13" w:type="pct"/>
                  <w:vAlign w:val="center"/>
                </w:tcPr>
                <w:p w14:paraId="5C088DA1">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约100户</w:t>
                  </w:r>
                </w:p>
              </w:tc>
              <w:tc>
                <w:tcPr>
                  <w:tcW w:w="441" w:type="pct"/>
                  <w:vAlign w:val="center"/>
                </w:tcPr>
                <w:p w14:paraId="57FBA376">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31C03D3D">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59A976D8">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Align w:val="center"/>
                </w:tcPr>
                <w:p w14:paraId="57A3DFA5">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新一中</w:t>
                  </w:r>
                </w:p>
              </w:tc>
              <w:tc>
                <w:tcPr>
                  <w:tcW w:w="880" w:type="pct"/>
                  <w:vAlign w:val="center"/>
                </w:tcPr>
                <w:p w14:paraId="676B7C7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东侧居民点</w:t>
                  </w:r>
                </w:p>
              </w:tc>
              <w:tc>
                <w:tcPr>
                  <w:tcW w:w="827" w:type="pct"/>
                  <w:vAlign w:val="center"/>
                </w:tcPr>
                <w:p w14:paraId="3FE3F72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东侧10-200m</w:t>
                  </w:r>
                </w:p>
              </w:tc>
              <w:tc>
                <w:tcPr>
                  <w:tcW w:w="976" w:type="pct"/>
                  <w:vAlign w:val="center"/>
                </w:tcPr>
                <w:p w14:paraId="0C2B30E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113.464405262,</w:t>
                  </w:r>
                </w:p>
                <w:p w14:paraId="07251A3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29.470160537</w:t>
                  </w:r>
                </w:p>
              </w:tc>
              <w:tc>
                <w:tcPr>
                  <w:tcW w:w="456" w:type="pct"/>
                  <w:vAlign w:val="center"/>
                </w:tcPr>
                <w:p w14:paraId="302B54D1">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居民</w:t>
                  </w:r>
                </w:p>
              </w:tc>
              <w:tc>
                <w:tcPr>
                  <w:tcW w:w="613" w:type="pct"/>
                  <w:vAlign w:val="center"/>
                </w:tcPr>
                <w:p w14:paraId="6A9F66B3">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约100户</w:t>
                  </w:r>
                </w:p>
              </w:tc>
              <w:tc>
                <w:tcPr>
                  <w:tcW w:w="441" w:type="pct"/>
                  <w:vAlign w:val="center"/>
                </w:tcPr>
                <w:p w14:paraId="62C41F0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70C9D1BB">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1AE97446">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restart"/>
                  <w:vAlign w:val="center"/>
                </w:tcPr>
                <w:p w14:paraId="11DC68C2">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三完小</w:t>
                  </w:r>
                </w:p>
              </w:tc>
              <w:tc>
                <w:tcPr>
                  <w:tcW w:w="880" w:type="pct"/>
                  <w:vAlign w:val="center"/>
                </w:tcPr>
                <w:p w14:paraId="568D2AD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何家巷居民点</w:t>
                  </w:r>
                </w:p>
              </w:tc>
              <w:tc>
                <w:tcPr>
                  <w:tcW w:w="827" w:type="pct"/>
                  <w:vAlign w:val="center"/>
                </w:tcPr>
                <w:p w14:paraId="68C8CFE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color w:val="auto"/>
                      <w:kern w:val="0"/>
                      <w:sz w:val="21"/>
                      <w:szCs w:val="21"/>
                      <w:u w:val="single"/>
                      <w:lang w:val="en-US" w:eastAsia="zh-CN"/>
                    </w:rPr>
                    <w:t>北侧</w:t>
                  </w:r>
                  <w:r>
                    <w:rPr>
                      <w:rFonts w:hint="eastAsia" w:cs="Times New Roman"/>
                      <w:color w:val="auto"/>
                      <w:kern w:val="0"/>
                      <w:sz w:val="21"/>
                      <w:szCs w:val="21"/>
                      <w:u w:val="single"/>
                      <w:lang w:val="en-US" w:eastAsia="zh-CN"/>
                    </w:rPr>
                    <w:t>5-200m</w:t>
                  </w:r>
                </w:p>
              </w:tc>
              <w:tc>
                <w:tcPr>
                  <w:tcW w:w="976" w:type="pct"/>
                  <w:vAlign w:val="center"/>
                </w:tcPr>
                <w:p w14:paraId="206F953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113.458769940,</w:t>
                  </w:r>
                </w:p>
                <w:p w14:paraId="265E556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29.479435616</w:t>
                  </w:r>
                </w:p>
              </w:tc>
              <w:tc>
                <w:tcPr>
                  <w:tcW w:w="456" w:type="pct"/>
                  <w:vAlign w:val="center"/>
                </w:tcPr>
                <w:p w14:paraId="7C208651">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37E44A53">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约150户</w:t>
                  </w:r>
                </w:p>
              </w:tc>
              <w:tc>
                <w:tcPr>
                  <w:tcW w:w="441" w:type="pct"/>
                  <w:vAlign w:val="center"/>
                </w:tcPr>
                <w:p w14:paraId="7386A188">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4DC687B8">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753F478A">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Merge w:val="continue"/>
                  <w:vAlign w:val="center"/>
                </w:tcPr>
                <w:p w14:paraId="2822145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880" w:type="pct"/>
                  <w:vAlign w:val="center"/>
                </w:tcPr>
                <w:p w14:paraId="01DD64B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三完小</w:t>
                  </w:r>
                </w:p>
              </w:tc>
              <w:tc>
                <w:tcPr>
                  <w:tcW w:w="827" w:type="pct"/>
                  <w:vAlign w:val="center"/>
                </w:tcPr>
                <w:p w14:paraId="51BCF33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南侧15m</w:t>
                  </w:r>
                </w:p>
              </w:tc>
              <w:tc>
                <w:tcPr>
                  <w:tcW w:w="976" w:type="pct"/>
                  <w:vAlign w:val="center"/>
                </w:tcPr>
                <w:p w14:paraId="0E295A4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113.458348834,</w:t>
                  </w:r>
                </w:p>
                <w:p w14:paraId="1036902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29.479052060</w:t>
                  </w:r>
                </w:p>
              </w:tc>
              <w:tc>
                <w:tcPr>
                  <w:tcW w:w="456" w:type="pct"/>
                  <w:vAlign w:val="center"/>
                </w:tcPr>
                <w:p w14:paraId="7D63C259">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师生</w:t>
                  </w:r>
                </w:p>
              </w:tc>
              <w:tc>
                <w:tcPr>
                  <w:tcW w:w="613" w:type="pct"/>
                  <w:vAlign w:val="center"/>
                </w:tcPr>
                <w:p w14:paraId="7BF01615">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约800人</w:t>
                  </w:r>
                </w:p>
              </w:tc>
              <w:tc>
                <w:tcPr>
                  <w:tcW w:w="441" w:type="pct"/>
                  <w:vAlign w:val="center"/>
                </w:tcPr>
                <w:p w14:paraId="3D62B67C">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3221E249">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2C6791AA">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Align w:val="center"/>
                </w:tcPr>
                <w:p w14:paraId="32DCA0BB">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南太路肖家畈</w:t>
                  </w:r>
                </w:p>
              </w:tc>
              <w:tc>
                <w:tcPr>
                  <w:tcW w:w="880" w:type="pct"/>
                  <w:vAlign w:val="center"/>
                </w:tcPr>
                <w:p w14:paraId="11591A8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肖家畈居民点</w:t>
                  </w:r>
                </w:p>
              </w:tc>
              <w:tc>
                <w:tcPr>
                  <w:tcW w:w="827" w:type="pct"/>
                  <w:vAlign w:val="center"/>
                </w:tcPr>
                <w:p w14:paraId="7A76B7C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四周紧邻</w:t>
                  </w:r>
                </w:p>
              </w:tc>
              <w:tc>
                <w:tcPr>
                  <w:tcW w:w="976" w:type="pct"/>
                  <w:vAlign w:val="center"/>
                </w:tcPr>
                <w:p w14:paraId="220A150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113.435523235,</w:t>
                  </w:r>
                </w:p>
                <w:p w14:paraId="39C89D6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29.462706678</w:t>
                  </w:r>
                </w:p>
              </w:tc>
              <w:tc>
                <w:tcPr>
                  <w:tcW w:w="456" w:type="pct"/>
                  <w:vAlign w:val="center"/>
                </w:tcPr>
                <w:p w14:paraId="3001724C">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55551C77">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约100户</w:t>
                  </w:r>
                </w:p>
              </w:tc>
              <w:tc>
                <w:tcPr>
                  <w:tcW w:w="441" w:type="pct"/>
                  <w:vAlign w:val="center"/>
                </w:tcPr>
                <w:p w14:paraId="14D91673">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5B9C161F">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35ACAFEB">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Align w:val="center"/>
                </w:tcPr>
                <w:p w14:paraId="2BB88852">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石咀内涝点</w:t>
                  </w:r>
                </w:p>
              </w:tc>
              <w:tc>
                <w:tcPr>
                  <w:tcW w:w="880" w:type="pct"/>
                  <w:vAlign w:val="center"/>
                </w:tcPr>
                <w:p w14:paraId="2E19F3B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石咀村居民点</w:t>
                  </w:r>
                </w:p>
              </w:tc>
              <w:tc>
                <w:tcPr>
                  <w:tcW w:w="827" w:type="pct"/>
                  <w:vAlign w:val="center"/>
                </w:tcPr>
                <w:p w14:paraId="11B91C3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南侧60-200m</w:t>
                  </w:r>
                </w:p>
              </w:tc>
              <w:tc>
                <w:tcPr>
                  <w:tcW w:w="976" w:type="pct"/>
                  <w:vAlign w:val="center"/>
                </w:tcPr>
                <w:p w14:paraId="31E37C2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113.447915834,</w:t>
                  </w:r>
                </w:p>
                <w:p w14:paraId="515B148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29.463443166</w:t>
                  </w:r>
                </w:p>
              </w:tc>
              <w:tc>
                <w:tcPr>
                  <w:tcW w:w="456" w:type="pct"/>
                  <w:vAlign w:val="center"/>
                </w:tcPr>
                <w:p w14:paraId="058A5F78">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0AFDA753">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约150户</w:t>
                  </w:r>
                </w:p>
              </w:tc>
              <w:tc>
                <w:tcPr>
                  <w:tcW w:w="441" w:type="pct"/>
                  <w:vAlign w:val="center"/>
                </w:tcPr>
                <w:p w14:paraId="2B9DE717">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26D9BFE8">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1" w:type="pct"/>
                  <w:vMerge w:val="continue"/>
                  <w:vAlign w:val="center"/>
                </w:tcPr>
                <w:p w14:paraId="40ED7A71">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403" w:type="pct"/>
                  <w:vAlign w:val="center"/>
                </w:tcPr>
                <w:p w14:paraId="374AFA8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工业园</w:t>
                  </w:r>
                </w:p>
              </w:tc>
              <w:tc>
                <w:tcPr>
                  <w:tcW w:w="880" w:type="pct"/>
                  <w:vAlign w:val="center"/>
                </w:tcPr>
                <w:p w14:paraId="6FE3009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新建村居民点</w:t>
                  </w:r>
                </w:p>
              </w:tc>
              <w:tc>
                <w:tcPr>
                  <w:tcW w:w="827" w:type="pct"/>
                  <w:vAlign w:val="center"/>
                </w:tcPr>
                <w:p w14:paraId="6355C8F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南侧60-160m</w:t>
                  </w:r>
                </w:p>
              </w:tc>
              <w:tc>
                <w:tcPr>
                  <w:tcW w:w="976" w:type="pct"/>
                  <w:vAlign w:val="center"/>
                </w:tcPr>
                <w:p w14:paraId="338AC4D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113.423078433,</w:t>
                  </w:r>
                </w:p>
                <w:p w14:paraId="2AE14AB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29.438592821</w:t>
                  </w:r>
                </w:p>
              </w:tc>
              <w:tc>
                <w:tcPr>
                  <w:tcW w:w="456" w:type="pct"/>
                  <w:vAlign w:val="center"/>
                </w:tcPr>
                <w:p w14:paraId="0F7E58E7">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13" w:type="pct"/>
                  <w:vAlign w:val="center"/>
                </w:tcPr>
                <w:p w14:paraId="4EB3B913">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约80户</w:t>
                  </w:r>
                </w:p>
              </w:tc>
              <w:tc>
                <w:tcPr>
                  <w:tcW w:w="441" w:type="pct"/>
                  <w:vAlign w:val="center"/>
                </w:tcPr>
                <w:p w14:paraId="7EABD6E9">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bl>
          <w:p w14:paraId="45DB0BF1">
            <w:pPr>
              <w:pStyle w:val="26"/>
              <w:spacing w:before="0" w:beforeAutospacing="0" w:after="0" w:line="360" w:lineRule="auto"/>
              <w:ind w:left="0" w:leftChars="0" w:right="0" w:firstLine="480"/>
              <w:rPr>
                <w:rFonts w:hint="eastAsia"/>
                <w:b/>
                <w:bCs/>
                <w:color w:val="auto"/>
                <w:sz w:val="24"/>
                <w:u w:val="single"/>
              </w:rPr>
            </w:pPr>
            <w:r>
              <w:rPr>
                <w:rFonts w:hint="eastAsia"/>
                <w:b w:val="0"/>
                <w:bCs w:val="0"/>
                <w:color w:val="auto"/>
                <w:sz w:val="24"/>
                <w:u w:val="single"/>
                <w:lang w:val="en-US" w:eastAsia="zh-CN"/>
              </w:rPr>
              <w:t>项目临时场地主要为淤泥临时堆放场，临时施工材料、设备堆放场，占地类型考虑为荒地、草地，植被主要以杂草为主，不涉及占用基本农田、生态公益林。</w:t>
            </w:r>
          </w:p>
          <w:p w14:paraId="3EE8A35C">
            <w:pPr>
              <w:pStyle w:val="26"/>
              <w:spacing w:before="0" w:beforeAutospacing="0" w:after="0" w:line="360" w:lineRule="auto"/>
              <w:ind w:left="0" w:leftChars="0" w:right="0" w:firstLine="480"/>
              <w:rPr>
                <w:b/>
                <w:bCs/>
                <w:color w:val="auto"/>
                <w:sz w:val="24"/>
                <w:u w:val="none"/>
              </w:rPr>
            </w:pPr>
            <w:r>
              <w:rPr>
                <w:rFonts w:hint="eastAsia"/>
                <w:b/>
                <w:bCs/>
                <w:color w:val="auto"/>
                <w:sz w:val="24"/>
                <w:u w:val="none"/>
              </w:rPr>
              <w:t>2、</w:t>
            </w:r>
            <w:r>
              <w:rPr>
                <w:rFonts w:hint="eastAsia"/>
                <w:b/>
                <w:bCs/>
                <w:color w:val="auto"/>
                <w:sz w:val="24"/>
                <w:u w:val="none"/>
                <w:lang w:val="en-US" w:eastAsia="zh-CN"/>
              </w:rPr>
              <w:t>地表</w:t>
            </w:r>
            <w:r>
              <w:rPr>
                <w:rFonts w:hint="eastAsia"/>
                <w:b/>
                <w:bCs/>
                <w:color w:val="auto"/>
                <w:sz w:val="24"/>
                <w:u w:val="none"/>
              </w:rPr>
              <w:t>水环境保护目标</w:t>
            </w:r>
          </w:p>
          <w:p w14:paraId="1971D14B">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kern w:val="0"/>
                <w:sz w:val="24"/>
                <w:u w:val="none"/>
              </w:rPr>
            </w:pPr>
            <w:r>
              <w:rPr>
                <w:rFonts w:hint="default"/>
                <w:color w:val="auto"/>
                <w:kern w:val="0"/>
                <w:sz w:val="24"/>
                <w:u w:val="none"/>
              </w:rPr>
              <w:t>项目</w:t>
            </w:r>
            <w:r>
              <w:rPr>
                <w:rFonts w:hint="eastAsia"/>
                <w:color w:val="auto"/>
                <w:kern w:val="0"/>
                <w:sz w:val="24"/>
                <w:u w:val="none"/>
                <w:lang w:val="en-US" w:eastAsia="zh-CN"/>
              </w:rPr>
              <w:t>施工河流为长安河、师家河、肖家堰</w:t>
            </w:r>
            <w:r>
              <w:rPr>
                <w:rFonts w:hint="eastAsia"/>
                <w:color w:val="auto"/>
                <w:kern w:val="0"/>
                <w:sz w:val="24"/>
                <w:u w:val="none"/>
              </w:rPr>
              <w:t>，执行《地表水环境质量标准》（GB3838-2002）Ⅲ类标准。</w:t>
            </w:r>
          </w:p>
          <w:p w14:paraId="65BC2C1F">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auto"/>
                <w:kern w:val="0"/>
                <w:sz w:val="24"/>
                <w:u w:val="none"/>
              </w:rPr>
            </w:pPr>
            <w:r>
              <w:rPr>
                <w:rFonts w:hint="eastAsia"/>
                <w:b/>
                <w:bCs/>
                <w:color w:val="auto"/>
                <w:kern w:val="0"/>
                <w:sz w:val="24"/>
                <w:u w:val="none"/>
              </w:rPr>
              <w:t>3、声环境保护目标</w:t>
            </w:r>
          </w:p>
          <w:p w14:paraId="53011D0C">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kern w:val="0"/>
                <w:sz w:val="24"/>
                <w:u w:val="single"/>
              </w:rPr>
            </w:pPr>
            <w:r>
              <w:rPr>
                <w:rFonts w:hint="eastAsia"/>
                <w:color w:val="auto"/>
                <w:kern w:val="0"/>
                <w:sz w:val="24"/>
                <w:u w:val="single"/>
              </w:rPr>
              <w:t>本项目声环境功能区为2类区，项目建设前后噪声级基本不增加，根据《环境影响评价技术导则-声环境》（HJ2.4-2021）</w:t>
            </w:r>
            <w:r>
              <w:rPr>
                <w:rFonts w:hint="eastAsia"/>
                <w:color w:val="auto"/>
                <w:kern w:val="0"/>
                <w:sz w:val="24"/>
                <w:u w:val="single"/>
                <w:lang w:eastAsia="zh-CN"/>
              </w:rPr>
              <w:t>，</w:t>
            </w:r>
            <w:r>
              <w:rPr>
                <w:rFonts w:hint="eastAsia"/>
                <w:color w:val="auto"/>
                <w:kern w:val="0"/>
                <w:sz w:val="24"/>
                <w:u w:val="single"/>
              </w:rPr>
              <w:t>本项目声环境评价等级按三级评价，评价范围为施工场地外和运输道路旁50m范围内，具体详见下表。</w:t>
            </w:r>
          </w:p>
          <w:p w14:paraId="734B98ED">
            <w:pPr>
              <w:pStyle w:val="7"/>
              <w:keepNext w:val="0"/>
              <w:keepLines w:val="0"/>
              <w:suppressLineNumbers w:val="0"/>
              <w:spacing w:before="0" w:beforeAutospacing="0" w:after="0" w:afterAutospacing="0" w:line="360" w:lineRule="exact"/>
              <w:ind w:left="0" w:right="0"/>
              <w:rPr>
                <w:rFonts w:hint="default" w:ascii="Times New Roman" w:hAnsi="Times New Roman"/>
                <w:color w:val="auto"/>
                <w:sz w:val="21"/>
                <w:u w:val="single"/>
              </w:rPr>
            </w:pPr>
            <w:r>
              <w:rPr>
                <w:rFonts w:hint="eastAsia" w:ascii="Times New Roman" w:hAnsi="Times New Roman"/>
                <w:color w:val="auto"/>
                <w:sz w:val="21"/>
                <w:u w:val="single"/>
              </w:rPr>
              <w:t>表3-</w:t>
            </w:r>
            <w:r>
              <w:rPr>
                <w:rFonts w:hint="eastAsia" w:ascii="Times New Roman" w:hAnsi="Times New Roman"/>
                <w:color w:val="auto"/>
                <w:sz w:val="21"/>
                <w:u w:val="single"/>
                <w:lang w:val="en-US" w:eastAsia="zh-CN"/>
              </w:rPr>
              <w:t>7</w:t>
            </w:r>
            <w:r>
              <w:rPr>
                <w:rFonts w:hint="eastAsia" w:ascii="Times New Roman" w:hAnsi="Times New Roman"/>
                <w:color w:val="auto"/>
                <w:sz w:val="21"/>
                <w:u w:val="single"/>
              </w:rPr>
              <w:t xml:space="preserve"> </w:t>
            </w:r>
            <w:r>
              <w:rPr>
                <w:rFonts w:hint="eastAsia" w:ascii="Times New Roman" w:hAnsi="Times New Roman"/>
                <w:color w:val="auto"/>
                <w:sz w:val="21"/>
                <w:u w:val="single"/>
                <w:lang w:val="en-US" w:eastAsia="zh-CN"/>
              </w:rPr>
              <w:t xml:space="preserve"> 施工沿线声</w:t>
            </w:r>
            <w:r>
              <w:rPr>
                <w:rFonts w:hint="eastAsia" w:ascii="Times New Roman" w:hAnsi="Times New Roman"/>
                <w:color w:val="auto"/>
                <w:sz w:val="21"/>
                <w:u w:val="single"/>
              </w:rPr>
              <w:t>环境保护目标一览表</w:t>
            </w:r>
          </w:p>
          <w:tbl>
            <w:tblPr>
              <w:tblStyle w:val="27"/>
              <w:tblW w:w="4998" w:type="pct"/>
              <w:tblInd w:w="0" w:type="dxa"/>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1573"/>
              <w:gridCol w:w="1477"/>
              <w:gridCol w:w="1604"/>
              <w:gridCol w:w="824"/>
              <w:gridCol w:w="1099"/>
              <w:gridCol w:w="797"/>
            </w:tblGrid>
            <w:tr w14:paraId="40844115">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3" w:hRule="atLeast"/>
              </w:trPr>
              <w:tc>
                <w:tcPr>
                  <w:tcW w:w="449" w:type="pct"/>
                  <w:tcBorders>
                    <w:tl2br w:val="nil"/>
                    <w:tr2bl w:val="nil"/>
                  </w:tcBorders>
                  <w:vAlign w:val="center"/>
                </w:tcPr>
                <w:p w14:paraId="0A2DD6C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lang w:val="en-US" w:eastAsia="zh-CN"/>
                    </w:rPr>
                  </w:pPr>
                  <w:r>
                    <w:rPr>
                      <w:rFonts w:hint="default" w:ascii="Times New Roman" w:hAnsi="Times New Roman" w:cs="Times New Roman"/>
                      <w:b/>
                      <w:color w:val="auto"/>
                      <w:kern w:val="0"/>
                      <w:sz w:val="21"/>
                      <w:szCs w:val="21"/>
                      <w:u w:val="single"/>
                      <w:lang w:val="en-US" w:eastAsia="zh-CN"/>
                    </w:rPr>
                    <w:t>涉及</w:t>
                  </w:r>
                </w:p>
                <w:p w14:paraId="67A4DD2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kern w:val="0"/>
                      <w:sz w:val="21"/>
                      <w:szCs w:val="21"/>
                      <w:u w:val="single"/>
                      <w:lang w:val="en-US" w:eastAsia="zh-CN"/>
                    </w:rPr>
                  </w:pPr>
                  <w:r>
                    <w:rPr>
                      <w:rFonts w:hint="default" w:ascii="Times New Roman" w:hAnsi="Times New Roman" w:cs="Times New Roman"/>
                      <w:b/>
                      <w:color w:val="auto"/>
                      <w:kern w:val="0"/>
                      <w:sz w:val="21"/>
                      <w:szCs w:val="21"/>
                      <w:u w:val="single"/>
                      <w:lang w:val="en-US" w:eastAsia="zh-CN"/>
                    </w:rPr>
                    <w:t>工程</w:t>
                  </w:r>
                </w:p>
              </w:tc>
              <w:tc>
                <w:tcPr>
                  <w:tcW w:w="970" w:type="pct"/>
                  <w:tcBorders>
                    <w:tl2br w:val="nil"/>
                    <w:tr2bl w:val="nil"/>
                  </w:tcBorders>
                  <w:vAlign w:val="center"/>
                </w:tcPr>
                <w:p w14:paraId="32FE006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lang w:val="en-US" w:eastAsia="zh-CN"/>
                    </w:rPr>
                  </w:pPr>
                  <w:r>
                    <w:rPr>
                      <w:rFonts w:hint="default" w:ascii="Times New Roman" w:hAnsi="Times New Roman" w:cs="Times New Roman"/>
                      <w:b/>
                      <w:color w:val="auto"/>
                      <w:kern w:val="0"/>
                      <w:sz w:val="21"/>
                      <w:szCs w:val="21"/>
                      <w:u w:val="single"/>
                      <w:lang w:val="en-US" w:eastAsia="zh-CN"/>
                    </w:rPr>
                    <w:t>保护</w:t>
                  </w:r>
                </w:p>
                <w:p w14:paraId="3EABB0A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kern w:val="0"/>
                      <w:sz w:val="21"/>
                      <w:szCs w:val="21"/>
                      <w:u w:val="single"/>
                      <w:lang w:val="en-US" w:eastAsia="zh-CN"/>
                    </w:rPr>
                  </w:pPr>
                  <w:r>
                    <w:rPr>
                      <w:rFonts w:hint="default" w:ascii="Times New Roman" w:hAnsi="Times New Roman" w:cs="Times New Roman"/>
                      <w:b/>
                      <w:color w:val="auto"/>
                      <w:kern w:val="0"/>
                      <w:sz w:val="21"/>
                      <w:szCs w:val="21"/>
                      <w:u w:val="single"/>
                      <w:lang w:val="en-US" w:eastAsia="zh-CN"/>
                    </w:rPr>
                    <w:t>目标</w:t>
                  </w:r>
                </w:p>
              </w:tc>
              <w:tc>
                <w:tcPr>
                  <w:tcW w:w="911" w:type="pct"/>
                  <w:tcBorders>
                    <w:tl2br w:val="nil"/>
                    <w:tr2bl w:val="nil"/>
                  </w:tcBorders>
                  <w:vAlign w:val="center"/>
                </w:tcPr>
                <w:p w14:paraId="3CFBF6C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kern w:val="0"/>
                      <w:sz w:val="21"/>
                      <w:szCs w:val="21"/>
                      <w:u w:val="single"/>
                      <w:lang w:val="en-US" w:eastAsia="zh-CN"/>
                    </w:rPr>
                  </w:pPr>
                  <w:r>
                    <w:rPr>
                      <w:rFonts w:hint="default" w:ascii="Times New Roman" w:hAnsi="Times New Roman" w:cs="Times New Roman"/>
                      <w:b/>
                      <w:color w:val="auto"/>
                      <w:kern w:val="0"/>
                      <w:sz w:val="21"/>
                      <w:szCs w:val="21"/>
                      <w:u w:val="single"/>
                      <w:lang w:val="en-US" w:eastAsia="zh-CN"/>
                    </w:rPr>
                    <w:t>与工程相对位置</w:t>
                  </w:r>
                </w:p>
              </w:tc>
              <w:tc>
                <w:tcPr>
                  <w:tcW w:w="989" w:type="pct"/>
                  <w:tcBorders>
                    <w:tl2br w:val="nil"/>
                    <w:tr2bl w:val="nil"/>
                  </w:tcBorders>
                  <w:vAlign w:val="center"/>
                </w:tcPr>
                <w:p w14:paraId="3FB1AFF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rPr>
                  </w:pPr>
                  <w:r>
                    <w:rPr>
                      <w:rFonts w:hint="default" w:ascii="Times New Roman" w:hAnsi="Times New Roman" w:cs="Times New Roman"/>
                      <w:b/>
                      <w:color w:val="auto"/>
                      <w:kern w:val="0"/>
                      <w:sz w:val="21"/>
                      <w:szCs w:val="21"/>
                      <w:u w:val="single"/>
                    </w:rPr>
                    <w:t>坐标</w:t>
                  </w:r>
                </w:p>
                <w:p w14:paraId="545561D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kern w:val="0"/>
                      <w:sz w:val="21"/>
                      <w:szCs w:val="21"/>
                      <w:u w:val="single"/>
                      <w:lang w:eastAsia="zh-CN"/>
                    </w:rPr>
                  </w:pPr>
                  <w:r>
                    <w:rPr>
                      <w:rFonts w:hint="default" w:ascii="Times New Roman" w:hAnsi="Times New Roman" w:cs="Times New Roman"/>
                      <w:b/>
                      <w:color w:val="auto"/>
                      <w:kern w:val="0"/>
                      <w:sz w:val="21"/>
                      <w:szCs w:val="21"/>
                      <w:u w:val="single"/>
                      <w:lang w:eastAsia="zh-CN"/>
                    </w:rPr>
                    <w:t>（</w:t>
                  </w:r>
                  <w:r>
                    <w:rPr>
                      <w:rFonts w:hint="default" w:ascii="Times New Roman" w:hAnsi="Times New Roman" w:cs="Times New Roman"/>
                      <w:b/>
                      <w:color w:val="auto"/>
                      <w:kern w:val="0"/>
                      <w:sz w:val="21"/>
                      <w:szCs w:val="21"/>
                      <w:u w:val="single"/>
                      <w:lang w:val="en-US" w:eastAsia="zh-CN"/>
                    </w:rPr>
                    <w:t>经纬度</w:t>
                  </w:r>
                  <w:r>
                    <w:rPr>
                      <w:rFonts w:hint="default" w:ascii="Times New Roman" w:hAnsi="Times New Roman" w:cs="Times New Roman"/>
                      <w:b/>
                      <w:color w:val="auto"/>
                      <w:kern w:val="0"/>
                      <w:sz w:val="21"/>
                      <w:szCs w:val="21"/>
                      <w:u w:val="single"/>
                      <w:lang w:eastAsia="zh-CN"/>
                    </w:rPr>
                    <w:t>）</w:t>
                  </w:r>
                </w:p>
              </w:tc>
              <w:tc>
                <w:tcPr>
                  <w:tcW w:w="508" w:type="pct"/>
                  <w:tcBorders>
                    <w:tl2br w:val="nil"/>
                    <w:tr2bl w:val="nil"/>
                  </w:tcBorders>
                  <w:vAlign w:val="center"/>
                </w:tcPr>
                <w:p w14:paraId="3425B47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rPr>
                  </w:pPr>
                  <w:r>
                    <w:rPr>
                      <w:rFonts w:hint="default" w:ascii="Times New Roman" w:hAnsi="Times New Roman" w:cs="Times New Roman"/>
                      <w:b/>
                      <w:color w:val="auto"/>
                      <w:kern w:val="0"/>
                      <w:sz w:val="21"/>
                      <w:szCs w:val="21"/>
                      <w:u w:val="single"/>
                    </w:rPr>
                    <w:t>保护对象</w:t>
                  </w:r>
                </w:p>
              </w:tc>
              <w:tc>
                <w:tcPr>
                  <w:tcW w:w="678" w:type="pct"/>
                  <w:tcBorders>
                    <w:tl2br w:val="nil"/>
                    <w:tr2bl w:val="nil"/>
                  </w:tcBorders>
                  <w:vAlign w:val="center"/>
                </w:tcPr>
                <w:p w14:paraId="7B6C29E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rPr>
                  </w:pPr>
                  <w:r>
                    <w:rPr>
                      <w:rFonts w:hint="default" w:ascii="Times New Roman" w:hAnsi="Times New Roman" w:cs="Times New Roman"/>
                      <w:b/>
                      <w:color w:val="auto"/>
                      <w:kern w:val="0"/>
                      <w:sz w:val="21"/>
                      <w:szCs w:val="21"/>
                      <w:u w:val="single"/>
                    </w:rPr>
                    <w:t>保护内容</w:t>
                  </w:r>
                </w:p>
              </w:tc>
              <w:tc>
                <w:tcPr>
                  <w:tcW w:w="491" w:type="pct"/>
                  <w:tcBorders>
                    <w:tl2br w:val="nil"/>
                    <w:tr2bl w:val="nil"/>
                  </w:tcBorders>
                  <w:vAlign w:val="center"/>
                </w:tcPr>
                <w:p w14:paraId="465510D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kern w:val="0"/>
                      <w:sz w:val="21"/>
                      <w:szCs w:val="21"/>
                      <w:u w:val="single"/>
                    </w:rPr>
                  </w:pPr>
                  <w:r>
                    <w:rPr>
                      <w:rFonts w:hint="default" w:ascii="Times New Roman" w:hAnsi="Times New Roman" w:cs="Times New Roman"/>
                      <w:b/>
                      <w:color w:val="auto"/>
                      <w:kern w:val="0"/>
                      <w:sz w:val="21"/>
                      <w:szCs w:val="21"/>
                      <w:u w:val="single"/>
                    </w:rPr>
                    <w:t>环境功能区</w:t>
                  </w:r>
                </w:p>
              </w:tc>
            </w:tr>
            <w:tr w14:paraId="7DD3F826">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9" w:type="pct"/>
                  <w:vMerge w:val="restart"/>
                  <w:tcBorders>
                    <w:tl2br w:val="nil"/>
                    <w:tr2bl w:val="nil"/>
                  </w:tcBorders>
                  <w:vAlign w:val="center"/>
                </w:tcPr>
                <w:p w14:paraId="06D2777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cs="Times New Roman"/>
                      <w:b w:val="0"/>
                      <w:bCs w:val="0"/>
                      <w:color w:val="auto"/>
                      <w:sz w:val="21"/>
                      <w:szCs w:val="21"/>
                      <w:u w:val="single"/>
                      <w:vertAlign w:val="baseline"/>
                      <w:lang w:val="en-US" w:eastAsia="zh-CN"/>
                    </w:rPr>
                    <w:t>长安河上游</w:t>
                  </w:r>
                </w:p>
              </w:tc>
              <w:tc>
                <w:tcPr>
                  <w:tcW w:w="970" w:type="pct"/>
                  <w:tcBorders>
                    <w:tl2br w:val="nil"/>
                    <w:tr2bl w:val="nil"/>
                  </w:tcBorders>
                  <w:vAlign w:val="center"/>
                </w:tcPr>
                <w:p w14:paraId="261B799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大岭村居民点</w:t>
                  </w:r>
                </w:p>
              </w:tc>
              <w:tc>
                <w:tcPr>
                  <w:tcW w:w="911" w:type="pct"/>
                  <w:tcBorders>
                    <w:tl2br w:val="nil"/>
                    <w:tr2bl w:val="nil"/>
                  </w:tcBorders>
                  <w:vAlign w:val="center"/>
                </w:tcPr>
                <w:p w14:paraId="0BB0B6C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东侧24</w:t>
                  </w:r>
                  <w:r>
                    <w:rPr>
                      <w:rFonts w:hint="eastAsia" w:cs="Times New Roman"/>
                      <w:color w:val="auto"/>
                      <w:kern w:val="0"/>
                      <w:sz w:val="21"/>
                      <w:szCs w:val="21"/>
                      <w:u w:val="single"/>
                      <w:lang w:val="en-US" w:eastAsia="zh-CN"/>
                    </w:rPr>
                    <w:t>-50</w:t>
                  </w:r>
                  <w:r>
                    <w:rPr>
                      <w:rFonts w:hint="default" w:ascii="Times New Roman" w:hAnsi="Times New Roman" w:cs="Times New Roman"/>
                      <w:color w:val="auto"/>
                      <w:kern w:val="0"/>
                      <w:sz w:val="21"/>
                      <w:szCs w:val="21"/>
                      <w:u w:val="single"/>
                      <w:lang w:val="en-US" w:eastAsia="zh-CN"/>
                    </w:rPr>
                    <w:t>m</w:t>
                  </w:r>
                </w:p>
              </w:tc>
              <w:tc>
                <w:tcPr>
                  <w:tcW w:w="989" w:type="pct"/>
                  <w:tcBorders>
                    <w:tl2br w:val="nil"/>
                    <w:tr2bl w:val="nil"/>
                  </w:tcBorders>
                  <w:vAlign w:val="center"/>
                </w:tcPr>
                <w:p w14:paraId="659BEB6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113.442308237,</w:t>
                  </w:r>
                </w:p>
                <w:p w14:paraId="1C10B51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29.424325176</w:t>
                  </w:r>
                </w:p>
              </w:tc>
              <w:tc>
                <w:tcPr>
                  <w:tcW w:w="508" w:type="pct"/>
                  <w:tcBorders>
                    <w:tl2br w:val="nil"/>
                    <w:tr2bl w:val="nil"/>
                  </w:tcBorders>
                  <w:vAlign w:val="center"/>
                </w:tcPr>
                <w:p w14:paraId="7716249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78" w:type="pct"/>
                  <w:tcBorders>
                    <w:tl2br w:val="nil"/>
                    <w:tr2bl w:val="nil"/>
                  </w:tcBorders>
                  <w:vAlign w:val="center"/>
                </w:tcPr>
                <w:p w14:paraId="24C5589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约1</w:t>
                  </w:r>
                  <w:r>
                    <w:rPr>
                      <w:rFonts w:hint="eastAsia" w:ascii="Times New Roman" w:hAnsi="Times New Roman" w:cs="Times New Roman"/>
                      <w:color w:val="auto"/>
                      <w:kern w:val="0"/>
                      <w:sz w:val="21"/>
                      <w:szCs w:val="21"/>
                      <w:u w:val="single"/>
                      <w:lang w:val="en-US" w:eastAsia="zh-CN"/>
                    </w:rPr>
                    <w:t>20户</w:t>
                  </w:r>
                </w:p>
              </w:tc>
              <w:tc>
                <w:tcPr>
                  <w:tcW w:w="491" w:type="pct"/>
                  <w:tcBorders>
                    <w:tl2br w:val="nil"/>
                    <w:tr2bl w:val="nil"/>
                  </w:tcBorders>
                  <w:vAlign w:val="center"/>
                </w:tcPr>
                <w:p w14:paraId="2304341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60AF75D8">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9" w:type="pct"/>
                  <w:vMerge w:val="continue"/>
                  <w:tcBorders>
                    <w:tl2br w:val="nil"/>
                    <w:tr2bl w:val="nil"/>
                  </w:tcBorders>
                  <w:vAlign w:val="center"/>
                </w:tcPr>
                <w:p w14:paraId="48E238C3">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u w:val="single"/>
                      <w:vertAlign w:val="baseline"/>
                      <w:lang w:val="en-US" w:eastAsia="zh-CN"/>
                    </w:rPr>
                  </w:pPr>
                </w:p>
              </w:tc>
              <w:tc>
                <w:tcPr>
                  <w:tcW w:w="970" w:type="pct"/>
                  <w:tcBorders>
                    <w:tl2br w:val="nil"/>
                    <w:tr2bl w:val="nil"/>
                  </w:tcBorders>
                  <w:vAlign w:val="center"/>
                </w:tcPr>
                <w:p w14:paraId="33356A0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大岭口居民点</w:t>
                  </w:r>
                </w:p>
              </w:tc>
              <w:tc>
                <w:tcPr>
                  <w:tcW w:w="911" w:type="pct"/>
                  <w:tcBorders>
                    <w:tl2br w:val="nil"/>
                    <w:tr2bl w:val="nil"/>
                  </w:tcBorders>
                  <w:vAlign w:val="center"/>
                </w:tcPr>
                <w:p w14:paraId="06C753F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东侧20</w:t>
                  </w:r>
                  <w:r>
                    <w:rPr>
                      <w:rFonts w:hint="eastAsia" w:cs="Times New Roman"/>
                      <w:color w:val="auto"/>
                      <w:kern w:val="0"/>
                      <w:sz w:val="21"/>
                      <w:szCs w:val="21"/>
                      <w:u w:val="single"/>
                      <w:lang w:val="en-US" w:eastAsia="zh-CN"/>
                    </w:rPr>
                    <w:t>-50</w:t>
                  </w:r>
                  <w:r>
                    <w:rPr>
                      <w:rFonts w:hint="eastAsia" w:ascii="Times New Roman" w:hAnsi="Times New Roman" w:cs="Times New Roman"/>
                      <w:color w:val="auto"/>
                      <w:kern w:val="0"/>
                      <w:sz w:val="21"/>
                      <w:szCs w:val="21"/>
                      <w:u w:val="single"/>
                      <w:lang w:val="en-US" w:eastAsia="zh-CN"/>
                    </w:rPr>
                    <w:t>m</w:t>
                  </w:r>
                </w:p>
              </w:tc>
              <w:tc>
                <w:tcPr>
                  <w:tcW w:w="989" w:type="pct"/>
                  <w:tcBorders>
                    <w:tl2br w:val="nil"/>
                    <w:tr2bl w:val="nil"/>
                  </w:tcBorders>
                  <w:vAlign w:val="center"/>
                </w:tcPr>
                <w:p w14:paraId="6DC9DA9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113.442162057,</w:t>
                  </w:r>
                </w:p>
                <w:p w14:paraId="180A76B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lang w:val="en-US" w:eastAsia="zh-CN"/>
                    </w:rPr>
                    <w:t>29.432988712</w:t>
                  </w:r>
                </w:p>
              </w:tc>
              <w:tc>
                <w:tcPr>
                  <w:tcW w:w="508" w:type="pct"/>
                  <w:tcBorders>
                    <w:tl2br w:val="nil"/>
                    <w:tr2bl w:val="nil"/>
                  </w:tcBorders>
                  <w:vAlign w:val="center"/>
                </w:tcPr>
                <w:p w14:paraId="52BA9F0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78" w:type="pct"/>
                  <w:tcBorders>
                    <w:tl2br w:val="nil"/>
                    <w:tr2bl w:val="nil"/>
                  </w:tcBorders>
                  <w:vAlign w:val="center"/>
                </w:tcPr>
                <w:p w14:paraId="603C7FC4">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eastAsia="zh-CN"/>
                    </w:rPr>
                  </w:pPr>
                  <w:r>
                    <w:rPr>
                      <w:rFonts w:hint="default" w:ascii="Times New Roman" w:hAnsi="Times New Roman" w:cs="Times New Roman"/>
                      <w:color w:val="auto"/>
                      <w:kern w:val="0"/>
                      <w:sz w:val="21"/>
                      <w:szCs w:val="21"/>
                      <w:u w:val="single"/>
                    </w:rPr>
                    <w:t>约100</w:t>
                  </w:r>
                  <w:r>
                    <w:rPr>
                      <w:rFonts w:hint="eastAsia" w:cs="Times New Roman"/>
                      <w:color w:val="auto"/>
                      <w:kern w:val="0"/>
                      <w:sz w:val="21"/>
                      <w:szCs w:val="21"/>
                      <w:u w:val="single"/>
                      <w:lang w:val="en-US" w:eastAsia="zh-CN"/>
                    </w:rPr>
                    <w:t>户</w:t>
                  </w:r>
                </w:p>
              </w:tc>
              <w:tc>
                <w:tcPr>
                  <w:tcW w:w="491" w:type="pct"/>
                  <w:tcBorders>
                    <w:tl2br w:val="nil"/>
                    <w:tr2bl w:val="nil"/>
                  </w:tcBorders>
                  <w:vAlign w:val="center"/>
                </w:tcPr>
                <w:p w14:paraId="5921B0D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7A2B73BB">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tcBorders>
                    <w:tl2br w:val="nil"/>
                    <w:tr2bl w:val="nil"/>
                  </w:tcBorders>
                  <w:vAlign w:val="center"/>
                </w:tcPr>
                <w:p w14:paraId="11328510">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val="en-US" w:eastAsia="zh-CN"/>
                    </w:rPr>
                    <w:t>肖家堰</w:t>
                  </w:r>
                </w:p>
              </w:tc>
              <w:tc>
                <w:tcPr>
                  <w:tcW w:w="970" w:type="pct"/>
                  <w:tcBorders>
                    <w:tl2br w:val="nil"/>
                    <w:tr2bl w:val="nil"/>
                  </w:tcBorders>
                  <w:vAlign w:val="center"/>
                </w:tcPr>
                <w:p w14:paraId="7EF74E4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红石村居民点</w:t>
                  </w:r>
                </w:p>
              </w:tc>
              <w:tc>
                <w:tcPr>
                  <w:tcW w:w="911" w:type="pct"/>
                  <w:tcBorders>
                    <w:tl2br w:val="nil"/>
                    <w:tr2bl w:val="nil"/>
                  </w:tcBorders>
                  <w:vAlign w:val="center"/>
                </w:tcPr>
                <w:p w14:paraId="0FBDA6B5">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ascii="Times New Roman" w:hAnsi="Times New Roman" w:cs="Times New Roman"/>
                      <w:color w:val="auto"/>
                      <w:kern w:val="0"/>
                      <w:sz w:val="21"/>
                      <w:szCs w:val="21"/>
                      <w:u w:val="single"/>
                      <w:lang w:val="en-US" w:eastAsia="zh-CN" w:bidi="ar-SA"/>
                    </w:rPr>
                    <w:t>南侧33</w:t>
                  </w:r>
                  <w:r>
                    <w:rPr>
                      <w:rFonts w:hint="eastAsia" w:cs="Times New Roman"/>
                      <w:color w:val="auto"/>
                      <w:kern w:val="0"/>
                      <w:sz w:val="21"/>
                      <w:szCs w:val="21"/>
                      <w:u w:val="single"/>
                      <w:lang w:val="en-US" w:eastAsia="zh-CN" w:bidi="ar-SA"/>
                    </w:rPr>
                    <w:t>-50</w:t>
                  </w:r>
                  <w:r>
                    <w:rPr>
                      <w:rFonts w:hint="eastAsia" w:ascii="Times New Roman" w:hAnsi="Times New Roman" w:cs="Times New Roman"/>
                      <w:color w:val="auto"/>
                      <w:kern w:val="0"/>
                      <w:sz w:val="21"/>
                      <w:szCs w:val="21"/>
                      <w:u w:val="single"/>
                      <w:lang w:val="en-US" w:eastAsia="zh-CN" w:bidi="ar-SA"/>
                    </w:rPr>
                    <w:t>m</w:t>
                  </w:r>
                </w:p>
              </w:tc>
              <w:tc>
                <w:tcPr>
                  <w:tcW w:w="989" w:type="pct"/>
                  <w:tcBorders>
                    <w:tl2br w:val="nil"/>
                    <w:tr2bl w:val="nil"/>
                  </w:tcBorders>
                  <w:vAlign w:val="center"/>
                </w:tcPr>
                <w:p w14:paraId="70028D4A">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kern w:val="0"/>
                      <w:sz w:val="21"/>
                      <w:szCs w:val="21"/>
                      <w:u w:val="single"/>
                      <w:lang w:val="en-US" w:eastAsia="zh-CN" w:bidi="ar-SA"/>
                    </w:rPr>
                    <w:t>113.452536841,</w:t>
                  </w:r>
                </w:p>
                <w:p w14:paraId="4D37BE54">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kern w:val="0"/>
                      <w:sz w:val="21"/>
                      <w:szCs w:val="21"/>
                      <w:u w:val="single"/>
                      <w:lang w:val="en-US" w:eastAsia="zh-CN" w:bidi="ar-SA"/>
                    </w:rPr>
                    <w:t>29.494368383</w:t>
                  </w:r>
                </w:p>
              </w:tc>
              <w:tc>
                <w:tcPr>
                  <w:tcW w:w="508" w:type="pct"/>
                  <w:tcBorders>
                    <w:tl2br w:val="nil"/>
                    <w:tr2bl w:val="nil"/>
                  </w:tcBorders>
                  <w:vAlign w:val="center"/>
                </w:tcPr>
                <w:p w14:paraId="476D99A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78" w:type="pct"/>
                  <w:tcBorders>
                    <w:tl2br w:val="nil"/>
                    <w:tr2bl w:val="nil"/>
                  </w:tcBorders>
                  <w:vAlign w:val="center"/>
                </w:tcPr>
                <w:p w14:paraId="03D460C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50户</w:t>
                  </w:r>
                </w:p>
              </w:tc>
              <w:tc>
                <w:tcPr>
                  <w:tcW w:w="491" w:type="pct"/>
                  <w:tcBorders>
                    <w:tl2br w:val="nil"/>
                    <w:tr2bl w:val="nil"/>
                  </w:tcBorders>
                  <w:vAlign w:val="center"/>
                </w:tcPr>
                <w:p w14:paraId="7B31FB1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58CF1A40">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tcBorders>
                    <w:tl2br w:val="nil"/>
                    <w:tr2bl w:val="nil"/>
                  </w:tcBorders>
                  <w:vAlign w:val="center"/>
                </w:tcPr>
                <w:p w14:paraId="19CD7EBA">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970" w:type="pct"/>
                  <w:tcBorders>
                    <w:tl2br w:val="nil"/>
                    <w:tr2bl w:val="nil"/>
                  </w:tcBorders>
                  <w:vAlign w:val="center"/>
                </w:tcPr>
                <w:p w14:paraId="0FC4B7C7">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花田畈居民点</w:t>
                  </w:r>
                </w:p>
              </w:tc>
              <w:tc>
                <w:tcPr>
                  <w:tcW w:w="911" w:type="pct"/>
                  <w:tcBorders>
                    <w:tl2br w:val="nil"/>
                    <w:tr2bl w:val="nil"/>
                  </w:tcBorders>
                  <w:vAlign w:val="center"/>
                </w:tcPr>
                <w:p w14:paraId="73DED18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北侧17-</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w:t>
                  </w:r>
                  <w:r>
                    <w:rPr>
                      <w:rFonts w:hint="eastAsia" w:cs="Times New Roman"/>
                      <w:bCs/>
                      <w:color w:val="auto"/>
                      <w:sz w:val="21"/>
                      <w:szCs w:val="21"/>
                      <w:u w:val="single"/>
                      <w:lang w:val="en-US" w:eastAsia="zh-CN"/>
                    </w:rPr>
                    <w:t>m</w:t>
                  </w:r>
                </w:p>
              </w:tc>
              <w:tc>
                <w:tcPr>
                  <w:tcW w:w="989" w:type="pct"/>
                  <w:tcBorders>
                    <w:tl2br w:val="nil"/>
                    <w:tr2bl w:val="nil"/>
                  </w:tcBorders>
                  <w:vAlign w:val="center"/>
                </w:tcPr>
                <w:p w14:paraId="183433A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113.447494288,</w:t>
                  </w:r>
                </w:p>
                <w:p w14:paraId="525938D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29.497801610</w:t>
                  </w:r>
                </w:p>
              </w:tc>
              <w:tc>
                <w:tcPr>
                  <w:tcW w:w="508" w:type="pct"/>
                  <w:tcBorders>
                    <w:tl2br w:val="nil"/>
                    <w:tr2bl w:val="nil"/>
                  </w:tcBorders>
                  <w:vAlign w:val="center"/>
                </w:tcPr>
                <w:p w14:paraId="16FE6B2A">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tcBorders>
                    <w:tl2br w:val="nil"/>
                    <w:tr2bl w:val="nil"/>
                  </w:tcBorders>
                  <w:vAlign w:val="center"/>
                </w:tcPr>
                <w:p w14:paraId="6095E8A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10户</w:t>
                  </w:r>
                </w:p>
              </w:tc>
              <w:tc>
                <w:tcPr>
                  <w:tcW w:w="491" w:type="pct"/>
                  <w:tcBorders>
                    <w:tl2br w:val="nil"/>
                    <w:tr2bl w:val="nil"/>
                  </w:tcBorders>
                  <w:vAlign w:val="center"/>
                </w:tcPr>
                <w:p w14:paraId="4E699860">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70F49A67">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tcBorders>
                    <w:tl2br w:val="nil"/>
                    <w:tr2bl w:val="nil"/>
                  </w:tcBorders>
                  <w:vAlign w:val="center"/>
                </w:tcPr>
                <w:p w14:paraId="4AEE90E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eastAsia="zh-CN"/>
                    </w:rPr>
                  </w:pPr>
                  <w:r>
                    <w:rPr>
                      <w:rFonts w:hint="default" w:ascii="Times New Roman" w:hAnsi="Times New Roman" w:eastAsia="宋体" w:cs="Times New Roman"/>
                      <w:b w:val="0"/>
                      <w:bCs w:val="0"/>
                      <w:color w:val="auto"/>
                      <w:sz w:val="21"/>
                      <w:szCs w:val="21"/>
                      <w:u w:val="single"/>
                      <w:vertAlign w:val="baseline"/>
                      <w:lang w:val="en-US" w:eastAsia="zh-CN"/>
                    </w:rPr>
                    <w:t>师家河</w:t>
                  </w:r>
                </w:p>
              </w:tc>
              <w:tc>
                <w:tcPr>
                  <w:tcW w:w="970" w:type="pct"/>
                  <w:tcBorders>
                    <w:tl2br w:val="nil"/>
                    <w:tr2bl w:val="nil"/>
                  </w:tcBorders>
                  <w:vAlign w:val="center"/>
                </w:tcPr>
                <w:p w14:paraId="22514BC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周家居民点</w:t>
                  </w:r>
                </w:p>
              </w:tc>
              <w:tc>
                <w:tcPr>
                  <w:tcW w:w="911" w:type="pct"/>
                  <w:tcBorders>
                    <w:tl2br w:val="nil"/>
                    <w:tr2bl w:val="nil"/>
                  </w:tcBorders>
                  <w:vAlign w:val="center"/>
                </w:tcPr>
                <w:p w14:paraId="42AFF4D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北侧5-</w:t>
                  </w:r>
                  <w:r>
                    <w:rPr>
                      <w:rFonts w:hint="eastAsia" w:cs="Times New Roman"/>
                      <w:bCs/>
                      <w:color w:val="auto"/>
                      <w:sz w:val="21"/>
                      <w:szCs w:val="21"/>
                      <w:u w:val="single"/>
                      <w:lang w:val="en-US" w:eastAsia="zh-CN"/>
                    </w:rPr>
                    <w:t>50</w:t>
                  </w:r>
                  <w:r>
                    <w:rPr>
                      <w:rFonts w:hint="eastAsia" w:ascii="Times New Roman" w:hAnsi="Times New Roman" w:cs="Times New Roman"/>
                      <w:bCs/>
                      <w:color w:val="auto"/>
                      <w:sz w:val="21"/>
                      <w:szCs w:val="21"/>
                      <w:u w:val="single"/>
                      <w:lang w:val="en-US" w:eastAsia="zh-CN"/>
                    </w:rPr>
                    <w:t>m</w:t>
                  </w:r>
                </w:p>
              </w:tc>
              <w:tc>
                <w:tcPr>
                  <w:tcW w:w="989" w:type="pct"/>
                  <w:tcBorders>
                    <w:tl2br w:val="nil"/>
                    <w:tr2bl w:val="nil"/>
                  </w:tcBorders>
                  <w:vAlign w:val="center"/>
                </w:tcPr>
                <w:p w14:paraId="1EB01EB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113.422865618,</w:t>
                  </w:r>
                </w:p>
                <w:p w14:paraId="6A7E36C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29.494921355</w:t>
                  </w:r>
                </w:p>
              </w:tc>
              <w:tc>
                <w:tcPr>
                  <w:tcW w:w="508" w:type="pct"/>
                  <w:tcBorders>
                    <w:tl2br w:val="nil"/>
                    <w:tr2bl w:val="nil"/>
                  </w:tcBorders>
                  <w:vAlign w:val="center"/>
                </w:tcPr>
                <w:p w14:paraId="3F863F7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78" w:type="pct"/>
                  <w:tcBorders>
                    <w:tl2br w:val="nil"/>
                    <w:tr2bl w:val="nil"/>
                  </w:tcBorders>
                  <w:vAlign w:val="center"/>
                </w:tcPr>
                <w:p w14:paraId="33412C7C">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120户</w:t>
                  </w:r>
                </w:p>
              </w:tc>
              <w:tc>
                <w:tcPr>
                  <w:tcW w:w="491" w:type="pct"/>
                  <w:tcBorders>
                    <w:tl2br w:val="nil"/>
                    <w:tr2bl w:val="nil"/>
                  </w:tcBorders>
                  <w:vAlign w:val="center"/>
                </w:tcPr>
                <w:p w14:paraId="248F84C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31D3AEA4">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tcBorders>
                    <w:tl2br w:val="nil"/>
                    <w:tr2bl w:val="nil"/>
                  </w:tcBorders>
                  <w:vAlign w:val="center"/>
                </w:tcPr>
                <w:p w14:paraId="456B5071">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p>
              </w:tc>
              <w:tc>
                <w:tcPr>
                  <w:tcW w:w="970" w:type="pct"/>
                  <w:tcBorders>
                    <w:tl2br w:val="nil"/>
                    <w:tr2bl w:val="nil"/>
                  </w:tcBorders>
                  <w:vAlign w:val="center"/>
                </w:tcPr>
                <w:p w14:paraId="158E2E5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麻塘社区居民点</w:t>
                  </w:r>
                </w:p>
              </w:tc>
              <w:tc>
                <w:tcPr>
                  <w:tcW w:w="911" w:type="pct"/>
                  <w:tcBorders>
                    <w:tl2br w:val="nil"/>
                    <w:tr2bl w:val="nil"/>
                  </w:tcBorders>
                  <w:vAlign w:val="center"/>
                </w:tcPr>
                <w:p w14:paraId="280A40C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南侧15-</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tcBorders>
                    <w:tl2br w:val="nil"/>
                    <w:tr2bl w:val="nil"/>
                  </w:tcBorders>
                  <w:vAlign w:val="center"/>
                </w:tcPr>
                <w:p w14:paraId="7A9CC2A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113.417098345,</w:t>
                  </w:r>
                </w:p>
                <w:p w14:paraId="120CEC4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29.493061280</w:t>
                  </w:r>
                </w:p>
              </w:tc>
              <w:tc>
                <w:tcPr>
                  <w:tcW w:w="508" w:type="pct"/>
                  <w:tcBorders>
                    <w:tl2br w:val="nil"/>
                    <w:tr2bl w:val="nil"/>
                  </w:tcBorders>
                  <w:vAlign w:val="center"/>
                </w:tcPr>
                <w:p w14:paraId="153F1E3A">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tcBorders>
                    <w:tl2br w:val="nil"/>
                    <w:tr2bl w:val="nil"/>
                  </w:tcBorders>
                  <w:vAlign w:val="center"/>
                </w:tcPr>
                <w:p w14:paraId="66407EF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300户</w:t>
                  </w:r>
                </w:p>
              </w:tc>
              <w:tc>
                <w:tcPr>
                  <w:tcW w:w="491" w:type="pct"/>
                  <w:tcBorders>
                    <w:tl2br w:val="nil"/>
                    <w:tr2bl w:val="nil"/>
                  </w:tcBorders>
                  <w:vAlign w:val="center"/>
                </w:tcPr>
                <w:p w14:paraId="058AE4A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7339CFA1">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79F4331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eastAsia="zh-CN"/>
                    </w:rPr>
                  </w:pPr>
                </w:p>
              </w:tc>
              <w:tc>
                <w:tcPr>
                  <w:tcW w:w="970" w:type="pct"/>
                  <w:vAlign w:val="center"/>
                </w:tcPr>
                <w:p w14:paraId="4E92643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刘家居民点</w:t>
                  </w:r>
                </w:p>
              </w:tc>
              <w:tc>
                <w:tcPr>
                  <w:tcW w:w="911" w:type="pct"/>
                  <w:vAlign w:val="center"/>
                </w:tcPr>
                <w:p w14:paraId="2AAD708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西侧45m</w:t>
                  </w:r>
                </w:p>
              </w:tc>
              <w:tc>
                <w:tcPr>
                  <w:tcW w:w="989" w:type="pct"/>
                  <w:vAlign w:val="center"/>
                </w:tcPr>
                <w:p w14:paraId="5757F83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113.409293578,</w:t>
                  </w:r>
                </w:p>
                <w:p w14:paraId="0CAC91C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29.496369605</w:t>
                  </w:r>
                </w:p>
              </w:tc>
              <w:tc>
                <w:tcPr>
                  <w:tcW w:w="508" w:type="pct"/>
                  <w:vAlign w:val="center"/>
                </w:tcPr>
                <w:p w14:paraId="0B25655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78" w:type="pct"/>
                  <w:vAlign w:val="center"/>
                </w:tcPr>
                <w:p w14:paraId="400F8720">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80户</w:t>
                  </w:r>
                </w:p>
              </w:tc>
              <w:tc>
                <w:tcPr>
                  <w:tcW w:w="0" w:type="auto"/>
                </w:tcPr>
                <w:p w14:paraId="4812D46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49605F43">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Align w:val="center"/>
                </w:tcPr>
                <w:p w14:paraId="06450C3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eastAsia="zh-CN"/>
                    </w:rPr>
                  </w:pPr>
                  <w:r>
                    <w:rPr>
                      <w:rFonts w:hint="default" w:ascii="Times New Roman" w:hAnsi="Times New Roman" w:eastAsia="宋体" w:cs="Times New Roman"/>
                      <w:b w:val="0"/>
                      <w:bCs w:val="0"/>
                      <w:color w:val="auto"/>
                      <w:sz w:val="21"/>
                      <w:szCs w:val="21"/>
                      <w:u w:val="single"/>
                      <w:vertAlign w:val="baseline"/>
                      <w:lang w:val="en-US" w:eastAsia="zh-CN"/>
                    </w:rPr>
                    <w:t>上港溪支流</w:t>
                  </w:r>
                  <w:r>
                    <w:rPr>
                      <w:rFonts w:hint="default" w:ascii="Times New Roman" w:hAnsi="Times New Roman" w:cs="Times New Roman"/>
                      <w:b w:val="0"/>
                      <w:bCs w:val="0"/>
                      <w:color w:val="auto"/>
                      <w:sz w:val="21"/>
                      <w:szCs w:val="21"/>
                      <w:u w:val="single"/>
                      <w:vertAlign w:val="baseline"/>
                      <w:lang w:val="en-US" w:eastAsia="zh-CN"/>
                    </w:rPr>
                    <w:t>一</w:t>
                  </w:r>
                </w:p>
              </w:tc>
              <w:tc>
                <w:tcPr>
                  <w:tcW w:w="970" w:type="pct"/>
                  <w:vAlign w:val="center"/>
                </w:tcPr>
                <w:p w14:paraId="3F9C888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宋家山居民点</w:t>
                  </w:r>
                </w:p>
              </w:tc>
              <w:tc>
                <w:tcPr>
                  <w:tcW w:w="911" w:type="pct"/>
                  <w:vAlign w:val="center"/>
                </w:tcPr>
                <w:p w14:paraId="0736838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南侧38m</w:t>
                  </w:r>
                </w:p>
              </w:tc>
              <w:tc>
                <w:tcPr>
                  <w:tcW w:w="989" w:type="pct"/>
                  <w:vAlign w:val="center"/>
                </w:tcPr>
                <w:p w14:paraId="396C063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113.467995943,</w:t>
                  </w:r>
                </w:p>
                <w:p w14:paraId="511D00F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29.481490230</w:t>
                  </w:r>
                </w:p>
              </w:tc>
              <w:tc>
                <w:tcPr>
                  <w:tcW w:w="508" w:type="pct"/>
                  <w:vAlign w:val="center"/>
                </w:tcPr>
                <w:p w14:paraId="49B721A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78" w:type="pct"/>
                  <w:vAlign w:val="center"/>
                </w:tcPr>
                <w:p w14:paraId="120A8F70">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20户</w:t>
                  </w:r>
                </w:p>
              </w:tc>
              <w:tc>
                <w:tcPr>
                  <w:tcW w:w="0" w:type="auto"/>
                  <w:vAlign w:val="center"/>
                </w:tcPr>
                <w:p w14:paraId="754E7A8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2977E386">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vAlign w:val="center"/>
                </w:tcPr>
                <w:p w14:paraId="251F1153">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val="en-US" w:eastAsia="zh-CN"/>
                    </w:rPr>
                    <w:t>上港溪支流</w:t>
                  </w:r>
                  <w:r>
                    <w:rPr>
                      <w:rFonts w:hint="default" w:ascii="Times New Roman" w:hAnsi="Times New Roman" w:cs="Times New Roman"/>
                      <w:b w:val="0"/>
                      <w:bCs w:val="0"/>
                      <w:color w:val="auto"/>
                      <w:sz w:val="21"/>
                      <w:szCs w:val="21"/>
                      <w:u w:val="single"/>
                      <w:vertAlign w:val="baseline"/>
                      <w:lang w:val="en-US" w:eastAsia="zh-CN"/>
                    </w:rPr>
                    <w:t>二</w:t>
                  </w:r>
                </w:p>
              </w:tc>
              <w:tc>
                <w:tcPr>
                  <w:tcW w:w="970" w:type="pct"/>
                  <w:vAlign w:val="center"/>
                </w:tcPr>
                <w:p w14:paraId="4416D2B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新庄社区居民点1</w:t>
                  </w:r>
                </w:p>
              </w:tc>
              <w:tc>
                <w:tcPr>
                  <w:tcW w:w="911" w:type="pct"/>
                  <w:vAlign w:val="center"/>
                </w:tcPr>
                <w:p w14:paraId="6EF289A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西侧5-</w:t>
                  </w:r>
                  <w:r>
                    <w:rPr>
                      <w:rFonts w:hint="eastAsia" w:cs="Times New Roman"/>
                      <w:bCs/>
                      <w:color w:val="auto"/>
                      <w:sz w:val="21"/>
                      <w:szCs w:val="21"/>
                      <w:u w:val="single"/>
                      <w:lang w:val="en-US" w:eastAsia="zh-CN"/>
                    </w:rPr>
                    <w:t>20</w:t>
                  </w:r>
                  <w:r>
                    <w:rPr>
                      <w:rFonts w:hint="eastAsia" w:ascii="Times New Roman" w:hAnsi="Times New Roman" w:cs="Times New Roman"/>
                      <w:bCs/>
                      <w:color w:val="auto"/>
                      <w:sz w:val="21"/>
                      <w:szCs w:val="21"/>
                      <w:u w:val="single"/>
                      <w:lang w:val="en-US" w:eastAsia="zh-CN"/>
                    </w:rPr>
                    <w:t>0m</w:t>
                  </w:r>
                </w:p>
              </w:tc>
              <w:tc>
                <w:tcPr>
                  <w:tcW w:w="989" w:type="pct"/>
                  <w:vAlign w:val="center"/>
                </w:tcPr>
                <w:p w14:paraId="15A7533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113.472469919,</w:t>
                  </w:r>
                </w:p>
                <w:p w14:paraId="3F6C812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29.479154165</w:t>
                  </w:r>
                </w:p>
              </w:tc>
              <w:tc>
                <w:tcPr>
                  <w:tcW w:w="508" w:type="pct"/>
                  <w:vAlign w:val="center"/>
                </w:tcPr>
                <w:p w14:paraId="3A8FE14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78" w:type="pct"/>
                  <w:vAlign w:val="center"/>
                </w:tcPr>
                <w:p w14:paraId="7A76A37A">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30户</w:t>
                  </w:r>
                </w:p>
              </w:tc>
              <w:tc>
                <w:tcPr>
                  <w:tcW w:w="0" w:type="auto"/>
                  <w:vAlign w:val="center"/>
                </w:tcPr>
                <w:p w14:paraId="4AC720E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5B41699D">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4C2A8C27">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970" w:type="pct"/>
                  <w:vAlign w:val="center"/>
                </w:tcPr>
                <w:p w14:paraId="73BC61C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新庄社区居民点2</w:t>
                  </w:r>
                </w:p>
              </w:tc>
              <w:tc>
                <w:tcPr>
                  <w:tcW w:w="911" w:type="pct"/>
                  <w:vAlign w:val="center"/>
                </w:tcPr>
                <w:p w14:paraId="411AC9A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东侧5-</w:t>
                  </w:r>
                  <w:r>
                    <w:rPr>
                      <w:rFonts w:hint="eastAsia" w:cs="Times New Roman"/>
                      <w:bCs/>
                      <w:color w:val="auto"/>
                      <w:sz w:val="21"/>
                      <w:szCs w:val="21"/>
                      <w:u w:val="single"/>
                      <w:lang w:val="en-US" w:eastAsia="zh-CN"/>
                    </w:rPr>
                    <w:t>20</w:t>
                  </w:r>
                  <w:r>
                    <w:rPr>
                      <w:rFonts w:hint="eastAsia" w:ascii="Times New Roman" w:hAnsi="Times New Roman" w:cs="Times New Roman"/>
                      <w:bCs/>
                      <w:color w:val="auto"/>
                      <w:sz w:val="21"/>
                      <w:szCs w:val="21"/>
                      <w:u w:val="single"/>
                      <w:lang w:val="en-US" w:eastAsia="zh-CN"/>
                    </w:rPr>
                    <w:t>0m</w:t>
                  </w:r>
                </w:p>
              </w:tc>
              <w:tc>
                <w:tcPr>
                  <w:tcW w:w="989" w:type="pct"/>
                  <w:vAlign w:val="center"/>
                </w:tcPr>
                <w:p w14:paraId="0BB2A07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113.473253124,</w:t>
                  </w:r>
                </w:p>
                <w:p w14:paraId="67D21F0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29.478751834</w:t>
                  </w:r>
                </w:p>
              </w:tc>
              <w:tc>
                <w:tcPr>
                  <w:tcW w:w="508" w:type="pct"/>
                  <w:vAlign w:val="center"/>
                </w:tcPr>
                <w:p w14:paraId="18C48CF5">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65275596">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约30户</w:t>
                  </w:r>
                </w:p>
              </w:tc>
              <w:tc>
                <w:tcPr>
                  <w:tcW w:w="0" w:type="auto"/>
                  <w:vAlign w:val="center"/>
                </w:tcPr>
                <w:p w14:paraId="6FE7CF22">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57CE58E0">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28DB397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970" w:type="pct"/>
                  <w:vAlign w:val="center"/>
                </w:tcPr>
                <w:p w14:paraId="0BEECB0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临湘市第七中学</w:t>
                  </w:r>
                </w:p>
              </w:tc>
              <w:tc>
                <w:tcPr>
                  <w:tcW w:w="911" w:type="pct"/>
                  <w:vAlign w:val="center"/>
                </w:tcPr>
                <w:p w14:paraId="7399065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东侧36m</w:t>
                  </w:r>
                </w:p>
              </w:tc>
              <w:tc>
                <w:tcPr>
                  <w:tcW w:w="989" w:type="pct"/>
                  <w:vAlign w:val="center"/>
                </w:tcPr>
                <w:p w14:paraId="5D6009B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113.473285310,</w:t>
                  </w:r>
                </w:p>
                <w:p w14:paraId="5677107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29.480184133</w:t>
                  </w:r>
                </w:p>
              </w:tc>
              <w:tc>
                <w:tcPr>
                  <w:tcW w:w="508" w:type="pct"/>
                  <w:vAlign w:val="center"/>
                </w:tcPr>
                <w:p w14:paraId="6364B0CA">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师生</w:t>
                  </w:r>
                </w:p>
              </w:tc>
              <w:tc>
                <w:tcPr>
                  <w:tcW w:w="678" w:type="pct"/>
                  <w:vAlign w:val="center"/>
                </w:tcPr>
                <w:p w14:paraId="66816CE3">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1500人</w:t>
                  </w:r>
                </w:p>
              </w:tc>
              <w:tc>
                <w:tcPr>
                  <w:tcW w:w="0" w:type="auto"/>
                  <w:vAlign w:val="center"/>
                </w:tcPr>
                <w:p w14:paraId="5B1092C7">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2848EE10">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6A3AF06F">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val="en-US" w:eastAsia="zh-CN"/>
                    </w:rPr>
                  </w:pPr>
                </w:p>
              </w:tc>
              <w:tc>
                <w:tcPr>
                  <w:tcW w:w="970" w:type="pct"/>
                  <w:vAlign w:val="center"/>
                </w:tcPr>
                <w:p w14:paraId="0DD64E74">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盛家山居民点</w:t>
                  </w:r>
                </w:p>
              </w:tc>
              <w:tc>
                <w:tcPr>
                  <w:tcW w:w="911" w:type="pct"/>
                  <w:vAlign w:val="center"/>
                </w:tcPr>
                <w:p w14:paraId="5E030DF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西侧、东侧10-</w:t>
                  </w:r>
                  <w:r>
                    <w:rPr>
                      <w:rFonts w:hint="eastAsia" w:cs="Times New Roman"/>
                      <w:bCs/>
                      <w:color w:val="auto"/>
                      <w:sz w:val="21"/>
                      <w:szCs w:val="21"/>
                      <w:u w:val="single"/>
                      <w:lang w:val="en-US" w:eastAsia="zh-CN"/>
                    </w:rPr>
                    <w:t>50</w:t>
                  </w:r>
                  <w:r>
                    <w:rPr>
                      <w:rFonts w:hint="eastAsia" w:ascii="Times New Roman" w:hAnsi="Times New Roman" w:cs="Times New Roman"/>
                      <w:bCs/>
                      <w:color w:val="auto"/>
                      <w:sz w:val="21"/>
                      <w:szCs w:val="21"/>
                      <w:u w:val="single"/>
                      <w:lang w:val="en-US" w:eastAsia="zh-CN"/>
                    </w:rPr>
                    <w:t>m</w:t>
                  </w:r>
                </w:p>
              </w:tc>
              <w:tc>
                <w:tcPr>
                  <w:tcW w:w="989" w:type="pct"/>
                  <w:vAlign w:val="center"/>
                </w:tcPr>
                <w:p w14:paraId="3BA0566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113.471861057,</w:t>
                  </w:r>
                </w:p>
                <w:p w14:paraId="02769C7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29.483492638,</w:t>
                  </w:r>
                </w:p>
              </w:tc>
              <w:tc>
                <w:tcPr>
                  <w:tcW w:w="508" w:type="pct"/>
                  <w:vAlign w:val="center"/>
                </w:tcPr>
                <w:p w14:paraId="7F6473F2">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58DFC65D">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约10户</w:t>
                  </w:r>
                </w:p>
              </w:tc>
              <w:tc>
                <w:tcPr>
                  <w:tcW w:w="0" w:type="auto"/>
                  <w:vAlign w:val="center"/>
                </w:tcPr>
                <w:p w14:paraId="255A500C">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7D6C8B0B">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Align w:val="center"/>
                </w:tcPr>
                <w:p w14:paraId="4B86DE11">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val="en-US" w:eastAsia="zh-CN"/>
                    </w:rPr>
                    <w:t>铁路沿线明渠</w:t>
                  </w:r>
                </w:p>
              </w:tc>
              <w:tc>
                <w:tcPr>
                  <w:tcW w:w="970" w:type="pct"/>
                  <w:vAlign w:val="center"/>
                </w:tcPr>
                <w:p w14:paraId="23B8ABE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集家庄居民点</w:t>
                  </w:r>
                </w:p>
              </w:tc>
              <w:tc>
                <w:tcPr>
                  <w:tcW w:w="911" w:type="pct"/>
                  <w:vAlign w:val="center"/>
                </w:tcPr>
                <w:p w14:paraId="453469D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北侧6-</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4C07C11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113.449754290,</w:t>
                  </w:r>
                </w:p>
                <w:p w14:paraId="1CAACAB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29.488358165</w:t>
                  </w:r>
                </w:p>
              </w:tc>
              <w:tc>
                <w:tcPr>
                  <w:tcW w:w="508" w:type="pct"/>
                  <w:vAlign w:val="center"/>
                </w:tcPr>
                <w:p w14:paraId="54095140">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居民</w:t>
                  </w:r>
                </w:p>
              </w:tc>
              <w:tc>
                <w:tcPr>
                  <w:tcW w:w="678" w:type="pct"/>
                  <w:vAlign w:val="center"/>
                </w:tcPr>
                <w:p w14:paraId="37CC953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约</w:t>
                  </w:r>
                  <w:r>
                    <w:rPr>
                      <w:rFonts w:hint="eastAsia" w:cs="Times New Roman"/>
                      <w:color w:val="auto"/>
                      <w:kern w:val="0"/>
                      <w:sz w:val="21"/>
                      <w:szCs w:val="21"/>
                      <w:u w:val="single"/>
                      <w:lang w:val="en-US" w:eastAsia="zh-CN"/>
                    </w:rPr>
                    <w:t>80户</w:t>
                  </w:r>
                </w:p>
              </w:tc>
              <w:tc>
                <w:tcPr>
                  <w:tcW w:w="0" w:type="auto"/>
                  <w:vAlign w:val="center"/>
                </w:tcPr>
                <w:p w14:paraId="748B8A4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519320B6">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vAlign w:val="center"/>
                </w:tcPr>
                <w:p w14:paraId="213B6A88">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color w:val="auto"/>
                      <w:sz w:val="21"/>
                      <w:szCs w:val="21"/>
                      <w:u w:val="single"/>
                    </w:rPr>
                    <w:t>水产巷</w:t>
                  </w:r>
                </w:p>
              </w:tc>
              <w:tc>
                <w:tcPr>
                  <w:tcW w:w="970" w:type="pct"/>
                  <w:vAlign w:val="center"/>
                </w:tcPr>
                <w:p w14:paraId="2875DDA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大塘巷居民点</w:t>
                  </w:r>
                </w:p>
              </w:tc>
              <w:tc>
                <w:tcPr>
                  <w:tcW w:w="911" w:type="pct"/>
                  <w:vAlign w:val="center"/>
                </w:tcPr>
                <w:p w14:paraId="0E7D6E0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东侧5-45m</w:t>
                  </w:r>
                </w:p>
              </w:tc>
              <w:tc>
                <w:tcPr>
                  <w:tcW w:w="989" w:type="pct"/>
                  <w:vAlign w:val="center"/>
                </w:tcPr>
                <w:p w14:paraId="42A1397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113.448852131,</w:t>
                  </w:r>
                </w:p>
                <w:p w14:paraId="7CAABBC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29.479658299</w:t>
                  </w:r>
                </w:p>
              </w:tc>
              <w:tc>
                <w:tcPr>
                  <w:tcW w:w="508" w:type="pct"/>
                  <w:vAlign w:val="center"/>
                </w:tcPr>
                <w:p w14:paraId="16376143">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74F6249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约50户</w:t>
                  </w:r>
                </w:p>
              </w:tc>
              <w:tc>
                <w:tcPr>
                  <w:tcW w:w="0" w:type="auto"/>
                  <w:vAlign w:val="center"/>
                </w:tcPr>
                <w:p w14:paraId="5F6EE0E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6AE44D5B">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4FDA4BC3">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970" w:type="pct"/>
                  <w:vAlign w:val="center"/>
                </w:tcPr>
                <w:p w14:paraId="79F1CBD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同德巷居民点</w:t>
                  </w:r>
                </w:p>
              </w:tc>
              <w:tc>
                <w:tcPr>
                  <w:tcW w:w="911" w:type="pct"/>
                  <w:vAlign w:val="center"/>
                </w:tcPr>
                <w:p w14:paraId="56791ED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西北侧5-</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0348299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113.448558429,</w:t>
                  </w:r>
                </w:p>
                <w:p w14:paraId="5A83B78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29.480045878</w:t>
                  </w:r>
                </w:p>
              </w:tc>
              <w:tc>
                <w:tcPr>
                  <w:tcW w:w="508" w:type="pct"/>
                  <w:vAlign w:val="center"/>
                </w:tcPr>
                <w:p w14:paraId="199B9957">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336FF9CE">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约50户</w:t>
                  </w:r>
                </w:p>
              </w:tc>
              <w:tc>
                <w:tcPr>
                  <w:tcW w:w="0" w:type="auto"/>
                  <w:vAlign w:val="center"/>
                </w:tcPr>
                <w:p w14:paraId="158749B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7D0D6429">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vAlign w:val="center"/>
                </w:tcPr>
                <w:p w14:paraId="56CA748F">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color w:val="auto"/>
                      <w:sz w:val="21"/>
                      <w:szCs w:val="21"/>
                      <w:u w:val="single"/>
                    </w:rPr>
                    <w:t>西正街</w:t>
                  </w:r>
                </w:p>
              </w:tc>
              <w:tc>
                <w:tcPr>
                  <w:tcW w:w="970" w:type="pct"/>
                  <w:vAlign w:val="center"/>
                </w:tcPr>
                <w:p w14:paraId="7DE96238">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长安社区</w:t>
                  </w:r>
                </w:p>
                <w:p w14:paraId="1EA1E52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居民点1</w:t>
                  </w:r>
                </w:p>
              </w:tc>
              <w:tc>
                <w:tcPr>
                  <w:tcW w:w="911" w:type="pct"/>
                  <w:vAlign w:val="center"/>
                </w:tcPr>
                <w:p w14:paraId="000EF49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南侧5-</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45BE9E7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113.447308519,</w:t>
                  </w:r>
                </w:p>
                <w:p w14:paraId="114709A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29.477326119</w:t>
                  </w:r>
                </w:p>
              </w:tc>
              <w:tc>
                <w:tcPr>
                  <w:tcW w:w="508" w:type="pct"/>
                  <w:vAlign w:val="center"/>
                </w:tcPr>
                <w:p w14:paraId="619E146B">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56DA2E8C">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约50户</w:t>
                  </w:r>
                </w:p>
              </w:tc>
              <w:tc>
                <w:tcPr>
                  <w:tcW w:w="0" w:type="auto"/>
                  <w:vAlign w:val="center"/>
                </w:tcPr>
                <w:p w14:paraId="0404BE5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1FC87BA3">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1A81CC03">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970" w:type="pct"/>
                  <w:vAlign w:val="center"/>
                </w:tcPr>
                <w:p w14:paraId="55C28AE4">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长安社区</w:t>
                  </w:r>
                </w:p>
                <w:p w14:paraId="1F144BF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居民点2</w:t>
                  </w:r>
                </w:p>
              </w:tc>
              <w:tc>
                <w:tcPr>
                  <w:tcW w:w="911" w:type="pct"/>
                  <w:vAlign w:val="center"/>
                </w:tcPr>
                <w:p w14:paraId="5E33D4E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北侧5-</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06ABA9F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113.445264676,</w:t>
                  </w:r>
                </w:p>
                <w:p w14:paraId="3ED0D86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29.479493343</w:t>
                  </w:r>
                </w:p>
              </w:tc>
              <w:tc>
                <w:tcPr>
                  <w:tcW w:w="508" w:type="pct"/>
                  <w:vAlign w:val="center"/>
                </w:tcPr>
                <w:p w14:paraId="4E4844ED">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09A2966B">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约50户</w:t>
                  </w:r>
                </w:p>
              </w:tc>
              <w:tc>
                <w:tcPr>
                  <w:tcW w:w="0" w:type="auto"/>
                  <w:vAlign w:val="center"/>
                </w:tcPr>
                <w:p w14:paraId="66221E8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47C04610">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vAlign w:val="center"/>
                </w:tcPr>
                <w:p w14:paraId="14C33EC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color w:val="auto"/>
                      <w:sz w:val="21"/>
                      <w:szCs w:val="21"/>
                      <w:u w:val="single"/>
                    </w:rPr>
                    <w:t>长安一品</w:t>
                  </w:r>
                </w:p>
              </w:tc>
              <w:tc>
                <w:tcPr>
                  <w:tcW w:w="970" w:type="pct"/>
                  <w:vAlign w:val="center"/>
                </w:tcPr>
                <w:p w14:paraId="5B3A7D0C">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临湘市第九完全小学</w:t>
                  </w:r>
                </w:p>
              </w:tc>
              <w:tc>
                <w:tcPr>
                  <w:tcW w:w="911" w:type="pct"/>
                  <w:vAlign w:val="center"/>
                </w:tcPr>
                <w:p w14:paraId="4C7B9E7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西侧19m</w:t>
                  </w:r>
                </w:p>
              </w:tc>
              <w:tc>
                <w:tcPr>
                  <w:tcW w:w="989" w:type="pct"/>
                  <w:vAlign w:val="center"/>
                </w:tcPr>
                <w:p w14:paraId="6EEB85C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113.436762074,</w:t>
                  </w:r>
                </w:p>
                <w:p w14:paraId="5FB6E5A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29.48778673</w:t>
                  </w:r>
                </w:p>
              </w:tc>
              <w:tc>
                <w:tcPr>
                  <w:tcW w:w="508" w:type="pct"/>
                  <w:vAlign w:val="center"/>
                </w:tcPr>
                <w:p w14:paraId="66808C13">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师生</w:t>
                  </w:r>
                </w:p>
              </w:tc>
              <w:tc>
                <w:tcPr>
                  <w:tcW w:w="678" w:type="pct"/>
                  <w:vAlign w:val="center"/>
                </w:tcPr>
                <w:p w14:paraId="44A40230">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约800人</w:t>
                  </w:r>
                </w:p>
              </w:tc>
              <w:tc>
                <w:tcPr>
                  <w:tcW w:w="0" w:type="auto"/>
                  <w:vAlign w:val="center"/>
                </w:tcPr>
                <w:p w14:paraId="099F1EBF">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1BBE2908">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55D627BA">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970" w:type="pct"/>
                  <w:vAlign w:val="center"/>
                </w:tcPr>
                <w:p w14:paraId="621D70A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莲花塘居民点</w:t>
                  </w:r>
                </w:p>
              </w:tc>
              <w:tc>
                <w:tcPr>
                  <w:tcW w:w="911" w:type="pct"/>
                  <w:vAlign w:val="center"/>
                </w:tcPr>
                <w:p w14:paraId="417A8B3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西侧5-</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6D51F33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113.436360136,</w:t>
                  </w:r>
                </w:p>
                <w:p w14:paraId="1F6A7CF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29.486528543</w:t>
                  </w:r>
                </w:p>
              </w:tc>
              <w:tc>
                <w:tcPr>
                  <w:tcW w:w="508" w:type="pct"/>
                  <w:vAlign w:val="center"/>
                </w:tcPr>
                <w:p w14:paraId="4C3F8AB3">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3DF0F011">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eastAsia" w:cs="Times New Roman"/>
                      <w:color w:val="auto"/>
                      <w:kern w:val="0"/>
                      <w:sz w:val="21"/>
                      <w:szCs w:val="21"/>
                      <w:u w:val="single"/>
                      <w:lang w:val="en-US" w:eastAsia="zh-CN"/>
                    </w:rPr>
                    <w:t>约5户</w:t>
                  </w:r>
                </w:p>
              </w:tc>
              <w:tc>
                <w:tcPr>
                  <w:tcW w:w="491" w:type="pct"/>
                  <w:vAlign w:val="center"/>
                </w:tcPr>
                <w:p w14:paraId="7EE6B3D5">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rPr>
                    <w:t>二类</w:t>
                  </w:r>
                </w:p>
              </w:tc>
            </w:tr>
            <w:tr w14:paraId="5D966F4C">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0E719D2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970" w:type="pct"/>
                  <w:vAlign w:val="center"/>
                </w:tcPr>
                <w:p w14:paraId="360CB282">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长安一品</w:t>
                  </w:r>
                </w:p>
                <w:p w14:paraId="1A5756B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居民点</w:t>
                  </w:r>
                </w:p>
              </w:tc>
              <w:tc>
                <w:tcPr>
                  <w:tcW w:w="911" w:type="pct"/>
                  <w:vAlign w:val="center"/>
                </w:tcPr>
                <w:p w14:paraId="0CBA404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东侧10-</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1C957A3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113.438012377,</w:t>
                  </w:r>
                </w:p>
                <w:p w14:paraId="17155B4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29.487376121</w:t>
                  </w:r>
                </w:p>
              </w:tc>
              <w:tc>
                <w:tcPr>
                  <w:tcW w:w="508" w:type="pct"/>
                  <w:vAlign w:val="center"/>
                </w:tcPr>
                <w:p w14:paraId="39149F7E">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27FC9BD9">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eastAsia" w:cs="Times New Roman"/>
                      <w:color w:val="auto"/>
                      <w:kern w:val="0"/>
                      <w:sz w:val="21"/>
                      <w:szCs w:val="21"/>
                      <w:u w:val="single"/>
                      <w:lang w:val="en-US" w:eastAsia="zh-CN"/>
                    </w:rPr>
                    <w:t>约20户</w:t>
                  </w:r>
                </w:p>
              </w:tc>
              <w:tc>
                <w:tcPr>
                  <w:tcW w:w="491" w:type="pct"/>
                  <w:vAlign w:val="center"/>
                </w:tcPr>
                <w:p w14:paraId="2F2EEFAB">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u w:val="single"/>
                      <w:lang w:val="en-US" w:eastAsia="zh-CN"/>
                    </w:rPr>
                  </w:pPr>
                  <w:r>
                    <w:rPr>
                      <w:rFonts w:hint="default" w:ascii="Times New Roman" w:hAnsi="Times New Roman" w:cs="Times New Roman"/>
                      <w:color w:val="auto"/>
                      <w:kern w:val="0"/>
                      <w:sz w:val="21"/>
                      <w:szCs w:val="21"/>
                      <w:u w:val="single"/>
                    </w:rPr>
                    <w:t>二类</w:t>
                  </w:r>
                </w:p>
              </w:tc>
            </w:tr>
            <w:tr w14:paraId="24D9B22B">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Align w:val="center"/>
                </w:tcPr>
                <w:p w14:paraId="39C2CCC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color w:val="auto"/>
                      <w:sz w:val="21"/>
                      <w:szCs w:val="21"/>
                      <w:u w:val="single"/>
                    </w:rPr>
                    <w:t>杨田涵洞内涝点</w:t>
                  </w:r>
                </w:p>
              </w:tc>
              <w:tc>
                <w:tcPr>
                  <w:tcW w:w="970" w:type="pct"/>
                  <w:vAlign w:val="center"/>
                </w:tcPr>
                <w:p w14:paraId="23F9F6C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陡山畈居民点</w:t>
                  </w:r>
                </w:p>
              </w:tc>
              <w:tc>
                <w:tcPr>
                  <w:tcW w:w="911" w:type="pct"/>
                  <w:vAlign w:val="center"/>
                </w:tcPr>
                <w:p w14:paraId="5DD419F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北侧40-</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0B50A36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113.453955427,</w:t>
                  </w:r>
                </w:p>
                <w:p w14:paraId="340C791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29.486887959</w:t>
                  </w:r>
                </w:p>
              </w:tc>
              <w:tc>
                <w:tcPr>
                  <w:tcW w:w="508" w:type="pct"/>
                  <w:vAlign w:val="center"/>
                </w:tcPr>
                <w:p w14:paraId="670A6D49">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4B43781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约5户</w:t>
                  </w:r>
                </w:p>
              </w:tc>
              <w:tc>
                <w:tcPr>
                  <w:tcW w:w="0" w:type="auto"/>
                  <w:vAlign w:val="center"/>
                </w:tcPr>
                <w:p w14:paraId="5F50AC90">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7FE0FF22">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vAlign w:val="center"/>
                </w:tcPr>
                <w:p w14:paraId="4837E5B3">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color w:val="auto"/>
                      <w:sz w:val="21"/>
                      <w:szCs w:val="21"/>
                      <w:u w:val="single"/>
                    </w:rPr>
                    <w:t>南正街华天宾馆</w:t>
                  </w:r>
                </w:p>
              </w:tc>
              <w:tc>
                <w:tcPr>
                  <w:tcW w:w="970" w:type="pct"/>
                  <w:vAlign w:val="center"/>
                </w:tcPr>
                <w:p w14:paraId="27AADEE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周家巷居民点</w:t>
                  </w:r>
                </w:p>
              </w:tc>
              <w:tc>
                <w:tcPr>
                  <w:tcW w:w="911" w:type="pct"/>
                  <w:vAlign w:val="center"/>
                </w:tcPr>
                <w:p w14:paraId="6D97E065">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东侧29-</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5EE41DE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113.445761279,</w:t>
                  </w:r>
                </w:p>
                <w:p w14:paraId="64DA53C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29.473358897</w:t>
                  </w:r>
                </w:p>
              </w:tc>
              <w:tc>
                <w:tcPr>
                  <w:tcW w:w="508" w:type="pct"/>
                  <w:vAlign w:val="center"/>
                </w:tcPr>
                <w:p w14:paraId="3BDDF4EA">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5BE50151">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约30户</w:t>
                  </w:r>
                </w:p>
              </w:tc>
              <w:tc>
                <w:tcPr>
                  <w:tcW w:w="0" w:type="auto"/>
                  <w:vAlign w:val="center"/>
                </w:tcPr>
                <w:p w14:paraId="28EDB4F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08D28F14">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10D7340F">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u w:val="single"/>
                    </w:rPr>
                  </w:pPr>
                </w:p>
              </w:tc>
              <w:tc>
                <w:tcPr>
                  <w:tcW w:w="970" w:type="pct"/>
                  <w:vAlign w:val="center"/>
                </w:tcPr>
                <w:p w14:paraId="220A62EE">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彭家巷居民点</w:t>
                  </w:r>
                </w:p>
              </w:tc>
              <w:tc>
                <w:tcPr>
                  <w:tcW w:w="911" w:type="pct"/>
                  <w:vAlign w:val="center"/>
                </w:tcPr>
                <w:p w14:paraId="5990DCF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西侧5-</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127729F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113.444918961,</w:t>
                  </w:r>
                </w:p>
                <w:p w14:paraId="1F74D3B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29.473941050</w:t>
                  </w:r>
                </w:p>
              </w:tc>
              <w:tc>
                <w:tcPr>
                  <w:tcW w:w="508" w:type="pct"/>
                  <w:vAlign w:val="center"/>
                </w:tcPr>
                <w:p w14:paraId="0FE5425A">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36FF838F">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kern w:val="0"/>
                      <w:sz w:val="21"/>
                      <w:szCs w:val="21"/>
                      <w:u w:val="single"/>
                      <w:lang w:val="en-US" w:eastAsia="zh-CN"/>
                    </w:rPr>
                  </w:pPr>
                  <w:r>
                    <w:rPr>
                      <w:rFonts w:hint="eastAsia" w:cs="Times New Roman"/>
                      <w:color w:val="auto"/>
                      <w:kern w:val="0"/>
                      <w:sz w:val="21"/>
                      <w:szCs w:val="21"/>
                      <w:u w:val="single"/>
                      <w:lang w:val="en-US" w:eastAsia="zh-CN"/>
                    </w:rPr>
                    <w:t>约30户</w:t>
                  </w:r>
                </w:p>
              </w:tc>
              <w:tc>
                <w:tcPr>
                  <w:tcW w:w="0" w:type="auto"/>
                  <w:vAlign w:val="center"/>
                </w:tcPr>
                <w:p w14:paraId="163588F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453B9BDF">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vAlign w:val="center"/>
                </w:tcPr>
                <w:p w14:paraId="2766E7C2">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城中南路夏家巷</w:t>
                  </w:r>
                </w:p>
              </w:tc>
              <w:tc>
                <w:tcPr>
                  <w:tcW w:w="970" w:type="pct"/>
                  <w:vAlign w:val="center"/>
                </w:tcPr>
                <w:p w14:paraId="1A6B2E5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夏家巷南侧居民点</w:t>
                  </w:r>
                </w:p>
              </w:tc>
              <w:tc>
                <w:tcPr>
                  <w:tcW w:w="911" w:type="pct"/>
                  <w:vAlign w:val="center"/>
                </w:tcPr>
                <w:p w14:paraId="79D4F06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南侧5-</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162CF8D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113.458686740,</w:t>
                  </w:r>
                </w:p>
                <w:p w14:paraId="118E167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29.474823497</w:t>
                  </w:r>
                </w:p>
              </w:tc>
              <w:tc>
                <w:tcPr>
                  <w:tcW w:w="508" w:type="pct"/>
                  <w:vAlign w:val="center"/>
                </w:tcPr>
                <w:p w14:paraId="3489883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78" w:type="pct"/>
                  <w:vAlign w:val="center"/>
                </w:tcPr>
                <w:p w14:paraId="38B9B0ED">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约20户</w:t>
                  </w:r>
                </w:p>
              </w:tc>
              <w:tc>
                <w:tcPr>
                  <w:tcW w:w="0" w:type="auto"/>
                  <w:vAlign w:val="center"/>
                </w:tcPr>
                <w:p w14:paraId="241E81A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77441176">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12A4354D">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970" w:type="pct"/>
                  <w:vAlign w:val="center"/>
                </w:tcPr>
                <w:p w14:paraId="03AA61C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夏家巷北侧居民点</w:t>
                  </w:r>
                </w:p>
              </w:tc>
              <w:tc>
                <w:tcPr>
                  <w:tcW w:w="911" w:type="pct"/>
                  <w:vAlign w:val="center"/>
                </w:tcPr>
                <w:p w14:paraId="532720D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北侧5--</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62A0981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113.458740384,</w:t>
                  </w:r>
                </w:p>
                <w:p w14:paraId="5CAC406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29.475306294</w:t>
                  </w:r>
                </w:p>
              </w:tc>
              <w:tc>
                <w:tcPr>
                  <w:tcW w:w="508" w:type="pct"/>
                  <w:vAlign w:val="center"/>
                </w:tcPr>
                <w:p w14:paraId="02AB563E">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78" w:type="pct"/>
                  <w:vAlign w:val="center"/>
                </w:tcPr>
                <w:p w14:paraId="05937753">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约30户</w:t>
                  </w:r>
                </w:p>
              </w:tc>
              <w:tc>
                <w:tcPr>
                  <w:tcW w:w="0" w:type="auto"/>
                  <w:vAlign w:val="center"/>
                </w:tcPr>
                <w:p w14:paraId="50182B9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051036C1">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77A071C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970" w:type="pct"/>
                  <w:vAlign w:val="center"/>
                </w:tcPr>
                <w:p w14:paraId="089D960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时代名郡居民点</w:t>
                  </w:r>
                </w:p>
              </w:tc>
              <w:tc>
                <w:tcPr>
                  <w:tcW w:w="911" w:type="pct"/>
                  <w:vAlign w:val="center"/>
                </w:tcPr>
                <w:p w14:paraId="7E7AB50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东侧13-</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69321A5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113.460794956,</w:t>
                  </w:r>
                </w:p>
                <w:p w14:paraId="043C453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29.475048803</w:t>
                  </w:r>
                </w:p>
              </w:tc>
              <w:tc>
                <w:tcPr>
                  <w:tcW w:w="508" w:type="pct"/>
                  <w:vAlign w:val="center"/>
                </w:tcPr>
                <w:p w14:paraId="53F9CEA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78" w:type="pct"/>
                  <w:vAlign w:val="center"/>
                </w:tcPr>
                <w:p w14:paraId="77750815">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约40户</w:t>
                  </w:r>
                </w:p>
              </w:tc>
              <w:tc>
                <w:tcPr>
                  <w:tcW w:w="0" w:type="auto"/>
                  <w:vAlign w:val="center"/>
                </w:tcPr>
                <w:p w14:paraId="5C780CC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5C8CC49E">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35ACE085">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970" w:type="pct"/>
                  <w:vAlign w:val="center"/>
                </w:tcPr>
                <w:p w14:paraId="6828BA3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城中南路西侧居民点</w:t>
                  </w:r>
                </w:p>
              </w:tc>
              <w:tc>
                <w:tcPr>
                  <w:tcW w:w="911" w:type="pct"/>
                  <w:vAlign w:val="center"/>
                </w:tcPr>
                <w:p w14:paraId="2662FEA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西侧24-</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18D60B4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113.456197650,</w:t>
                  </w:r>
                </w:p>
                <w:p w14:paraId="0C14BAF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29.474807404</w:t>
                  </w:r>
                </w:p>
              </w:tc>
              <w:tc>
                <w:tcPr>
                  <w:tcW w:w="508" w:type="pct"/>
                  <w:vAlign w:val="center"/>
                </w:tcPr>
                <w:p w14:paraId="33FFDB5E">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78" w:type="pct"/>
                  <w:vAlign w:val="center"/>
                </w:tcPr>
                <w:p w14:paraId="72D9AE65">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约30户</w:t>
                  </w:r>
                </w:p>
              </w:tc>
              <w:tc>
                <w:tcPr>
                  <w:tcW w:w="0" w:type="auto"/>
                  <w:vAlign w:val="center"/>
                </w:tcPr>
                <w:p w14:paraId="652CA02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7AF69941">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9" w:type="pct"/>
                  <w:vMerge w:val="restart"/>
                  <w:vAlign w:val="center"/>
                </w:tcPr>
                <w:p w14:paraId="7484D8BD">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学院路</w:t>
                  </w:r>
                </w:p>
              </w:tc>
              <w:tc>
                <w:tcPr>
                  <w:tcW w:w="970" w:type="pct"/>
                  <w:vAlign w:val="center"/>
                </w:tcPr>
                <w:p w14:paraId="0A082D1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王家塝居民点</w:t>
                  </w:r>
                </w:p>
              </w:tc>
              <w:tc>
                <w:tcPr>
                  <w:tcW w:w="911" w:type="pct"/>
                  <w:vAlign w:val="center"/>
                </w:tcPr>
                <w:p w14:paraId="395232D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北侧5-</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10FFC50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113.461873204,</w:t>
                  </w:r>
                </w:p>
                <w:p w14:paraId="4ED3F07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29.472259305</w:t>
                  </w:r>
                </w:p>
              </w:tc>
              <w:tc>
                <w:tcPr>
                  <w:tcW w:w="508" w:type="pct"/>
                  <w:vAlign w:val="center"/>
                </w:tcPr>
                <w:p w14:paraId="13E44F8A">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居民</w:t>
                  </w:r>
                </w:p>
              </w:tc>
              <w:tc>
                <w:tcPr>
                  <w:tcW w:w="678" w:type="pct"/>
                  <w:vAlign w:val="center"/>
                </w:tcPr>
                <w:p w14:paraId="6264C72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约15户</w:t>
                  </w:r>
                </w:p>
              </w:tc>
              <w:tc>
                <w:tcPr>
                  <w:tcW w:w="0" w:type="auto"/>
                  <w:vAlign w:val="center"/>
                </w:tcPr>
                <w:p w14:paraId="5E97109C">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67C0FC8E">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49" w:type="pct"/>
                  <w:vMerge w:val="continue"/>
                  <w:vAlign w:val="center"/>
                </w:tcPr>
                <w:p w14:paraId="1D773F61">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970" w:type="pct"/>
                  <w:vAlign w:val="center"/>
                </w:tcPr>
                <w:p w14:paraId="300D30E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新一中</w:t>
                  </w:r>
                </w:p>
              </w:tc>
              <w:tc>
                <w:tcPr>
                  <w:tcW w:w="911" w:type="pct"/>
                  <w:vAlign w:val="center"/>
                </w:tcPr>
                <w:p w14:paraId="462EC393">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东侧25m</w:t>
                  </w:r>
                </w:p>
              </w:tc>
              <w:tc>
                <w:tcPr>
                  <w:tcW w:w="989" w:type="pct"/>
                  <w:vAlign w:val="center"/>
                </w:tcPr>
                <w:p w14:paraId="60C7CC09">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113.462001950,</w:t>
                  </w:r>
                </w:p>
                <w:p w14:paraId="488CD42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29.470269106</w:t>
                  </w:r>
                </w:p>
              </w:tc>
              <w:tc>
                <w:tcPr>
                  <w:tcW w:w="508" w:type="pct"/>
                  <w:vAlign w:val="center"/>
                </w:tcPr>
                <w:p w14:paraId="2B2BC034">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师生</w:t>
                  </w:r>
                </w:p>
              </w:tc>
              <w:tc>
                <w:tcPr>
                  <w:tcW w:w="678" w:type="pct"/>
                  <w:vAlign w:val="center"/>
                </w:tcPr>
                <w:p w14:paraId="4137216C">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约1500人</w:t>
                  </w:r>
                </w:p>
              </w:tc>
              <w:tc>
                <w:tcPr>
                  <w:tcW w:w="0" w:type="auto"/>
                  <w:vAlign w:val="center"/>
                </w:tcPr>
                <w:p w14:paraId="25EA6120">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421CC8E3">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49" w:type="pct"/>
                  <w:vMerge w:val="continue"/>
                  <w:vAlign w:val="center"/>
                </w:tcPr>
                <w:p w14:paraId="2EE8E47B">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970" w:type="pct"/>
                  <w:vAlign w:val="center"/>
                </w:tcPr>
                <w:p w14:paraId="3947F2F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康桥郡居民点</w:t>
                  </w:r>
                </w:p>
              </w:tc>
              <w:tc>
                <w:tcPr>
                  <w:tcW w:w="911" w:type="pct"/>
                  <w:vAlign w:val="center"/>
                </w:tcPr>
                <w:p w14:paraId="2A869B5D">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西侧40-</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757656F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113.459883005,</w:t>
                  </w:r>
                </w:p>
                <w:p w14:paraId="788247E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29.471293710</w:t>
                  </w:r>
                </w:p>
              </w:tc>
              <w:tc>
                <w:tcPr>
                  <w:tcW w:w="508" w:type="pct"/>
                  <w:vAlign w:val="center"/>
                </w:tcPr>
                <w:p w14:paraId="1F42A951">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居民</w:t>
                  </w:r>
                </w:p>
              </w:tc>
              <w:tc>
                <w:tcPr>
                  <w:tcW w:w="678" w:type="pct"/>
                  <w:vAlign w:val="center"/>
                </w:tcPr>
                <w:p w14:paraId="48427B8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约30户</w:t>
                  </w:r>
                </w:p>
              </w:tc>
              <w:tc>
                <w:tcPr>
                  <w:tcW w:w="0" w:type="auto"/>
                  <w:vAlign w:val="center"/>
                </w:tcPr>
                <w:p w14:paraId="6EF341A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0CF4C6C6">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vAlign w:val="center"/>
                </w:tcPr>
                <w:p w14:paraId="13B88C07">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荷花路</w:t>
                  </w:r>
                </w:p>
              </w:tc>
              <w:tc>
                <w:tcPr>
                  <w:tcW w:w="970" w:type="pct"/>
                  <w:vAlign w:val="center"/>
                </w:tcPr>
                <w:p w14:paraId="40339B4E">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荷花路西侧居民点</w:t>
                  </w:r>
                </w:p>
              </w:tc>
              <w:tc>
                <w:tcPr>
                  <w:tcW w:w="911" w:type="pct"/>
                  <w:vAlign w:val="center"/>
                </w:tcPr>
                <w:p w14:paraId="1600B864">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西侧</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214F28F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113.474436723,</w:t>
                  </w:r>
                </w:p>
                <w:p w14:paraId="49A76E7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29.472140007</w:t>
                  </w:r>
                </w:p>
              </w:tc>
              <w:tc>
                <w:tcPr>
                  <w:tcW w:w="508" w:type="pct"/>
                  <w:vAlign w:val="center"/>
                </w:tcPr>
                <w:p w14:paraId="5E05DEE4">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居民</w:t>
                  </w:r>
                </w:p>
              </w:tc>
              <w:tc>
                <w:tcPr>
                  <w:tcW w:w="678" w:type="pct"/>
                  <w:vAlign w:val="center"/>
                </w:tcPr>
                <w:p w14:paraId="518876EE">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约50户</w:t>
                  </w:r>
                </w:p>
              </w:tc>
              <w:tc>
                <w:tcPr>
                  <w:tcW w:w="0" w:type="auto"/>
                  <w:vAlign w:val="center"/>
                </w:tcPr>
                <w:p w14:paraId="26A5576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00931A92">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5991669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970" w:type="pct"/>
                  <w:vAlign w:val="center"/>
                </w:tcPr>
                <w:p w14:paraId="7BC12D7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荷花路东侧居民点</w:t>
                  </w:r>
                </w:p>
              </w:tc>
              <w:tc>
                <w:tcPr>
                  <w:tcW w:w="911" w:type="pct"/>
                  <w:vAlign w:val="center"/>
                </w:tcPr>
                <w:p w14:paraId="3795B7E3">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bCs/>
                      <w:color w:val="auto"/>
                      <w:sz w:val="21"/>
                      <w:szCs w:val="21"/>
                      <w:u w:val="single"/>
                      <w:lang w:val="en-US" w:eastAsia="zh-CN"/>
                    </w:rPr>
                  </w:pPr>
                  <w:r>
                    <w:rPr>
                      <w:rFonts w:hint="eastAsia" w:cs="Times New Roman"/>
                      <w:bCs/>
                      <w:color w:val="auto"/>
                      <w:sz w:val="21"/>
                      <w:szCs w:val="21"/>
                      <w:u w:val="single"/>
                      <w:lang w:val="en-US" w:eastAsia="zh-CN"/>
                    </w:rPr>
                    <w:t>东</w:t>
                  </w:r>
                  <w:r>
                    <w:rPr>
                      <w:rFonts w:hint="eastAsia" w:ascii="Times New Roman" w:hAnsi="Times New Roman" w:cs="Times New Roman"/>
                      <w:bCs/>
                      <w:color w:val="auto"/>
                      <w:sz w:val="21"/>
                      <w:szCs w:val="21"/>
                      <w:u w:val="single"/>
                      <w:lang w:val="en-US" w:eastAsia="zh-CN"/>
                    </w:rPr>
                    <w:t>侧</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331812D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113.475638353,</w:t>
                  </w:r>
                </w:p>
                <w:p w14:paraId="06A3BA1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29.472172194</w:t>
                  </w:r>
                </w:p>
              </w:tc>
              <w:tc>
                <w:tcPr>
                  <w:tcW w:w="508" w:type="pct"/>
                  <w:vAlign w:val="center"/>
                </w:tcPr>
                <w:p w14:paraId="66C7C240">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居民</w:t>
                  </w:r>
                </w:p>
              </w:tc>
              <w:tc>
                <w:tcPr>
                  <w:tcW w:w="678" w:type="pct"/>
                  <w:vAlign w:val="center"/>
                </w:tcPr>
                <w:p w14:paraId="2F3DDD0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约50户</w:t>
                  </w:r>
                </w:p>
              </w:tc>
              <w:tc>
                <w:tcPr>
                  <w:tcW w:w="0" w:type="auto"/>
                  <w:vAlign w:val="center"/>
                </w:tcPr>
                <w:p w14:paraId="5A4F298C">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1B2EA356">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vAlign w:val="center"/>
                </w:tcPr>
                <w:p w14:paraId="49BE9B6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金桥路</w:t>
                  </w:r>
                </w:p>
              </w:tc>
              <w:tc>
                <w:tcPr>
                  <w:tcW w:w="970" w:type="pct"/>
                  <w:vAlign w:val="center"/>
                </w:tcPr>
                <w:p w14:paraId="0F9D4DFA">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荷花路东侧居民点</w:t>
                  </w:r>
                </w:p>
              </w:tc>
              <w:tc>
                <w:tcPr>
                  <w:tcW w:w="911" w:type="pct"/>
                  <w:vAlign w:val="center"/>
                </w:tcPr>
                <w:p w14:paraId="43FBD401">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bCs/>
                      <w:color w:val="auto"/>
                      <w:sz w:val="21"/>
                      <w:szCs w:val="21"/>
                      <w:u w:val="single"/>
                      <w:lang w:val="en-US" w:eastAsia="zh-CN"/>
                    </w:rPr>
                  </w:pPr>
                  <w:r>
                    <w:rPr>
                      <w:rFonts w:hint="eastAsia" w:cs="Times New Roman"/>
                      <w:bCs/>
                      <w:color w:val="auto"/>
                      <w:sz w:val="21"/>
                      <w:szCs w:val="21"/>
                      <w:u w:val="single"/>
                      <w:lang w:val="en-US" w:eastAsia="zh-CN"/>
                    </w:rPr>
                    <w:t>东</w:t>
                  </w:r>
                  <w:r>
                    <w:rPr>
                      <w:rFonts w:hint="eastAsia" w:ascii="Times New Roman" w:hAnsi="Times New Roman" w:cs="Times New Roman"/>
                      <w:bCs/>
                      <w:color w:val="auto"/>
                      <w:sz w:val="21"/>
                      <w:szCs w:val="21"/>
                      <w:u w:val="single"/>
                      <w:lang w:val="en-US" w:eastAsia="zh-CN"/>
                    </w:rPr>
                    <w:t>侧</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44C343D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113.486571037,</w:t>
                  </w:r>
                </w:p>
                <w:p w14:paraId="72C86C5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29.475626879</w:t>
                  </w:r>
                </w:p>
              </w:tc>
              <w:tc>
                <w:tcPr>
                  <w:tcW w:w="508" w:type="pct"/>
                  <w:vAlign w:val="center"/>
                </w:tcPr>
                <w:p w14:paraId="5C16330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78" w:type="pct"/>
                  <w:vAlign w:val="center"/>
                </w:tcPr>
                <w:p w14:paraId="06530FE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约20户</w:t>
                  </w:r>
                </w:p>
              </w:tc>
              <w:tc>
                <w:tcPr>
                  <w:tcW w:w="491" w:type="pct"/>
                  <w:vAlign w:val="center"/>
                </w:tcPr>
                <w:p w14:paraId="4E9C722E">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3D54BEE1">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711E070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970" w:type="pct"/>
                  <w:vAlign w:val="center"/>
                </w:tcPr>
                <w:p w14:paraId="16F1282E">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荷花路</w:t>
                  </w:r>
                  <w:r>
                    <w:rPr>
                      <w:rFonts w:hint="eastAsia" w:cs="Times New Roman"/>
                      <w:color w:val="auto"/>
                      <w:kern w:val="0"/>
                      <w:sz w:val="21"/>
                      <w:szCs w:val="21"/>
                      <w:u w:val="single"/>
                      <w:lang w:val="en-US" w:eastAsia="zh-CN"/>
                    </w:rPr>
                    <w:t>西</w:t>
                  </w:r>
                  <w:r>
                    <w:rPr>
                      <w:rFonts w:hint="eastAsia" w:ascii="Times New Roman" w:hAnsi="Times New Roman" w:cs="Times New Roman"/>
                      <w:color w:val="auto"/>
                      <w:kern w:val="0"/>
                      <w:sz w:val="21"/>
                      <w:szCs w:val="21"/>
                      <w:u w:val="single"/>
                      <w:lang w:val="en-US" w:eastAsia="zh-CN"/>
                    </w:rPr>
                    <w:t>侧居民点</w:t>
                  </w:r>
                </w:p>
              </w:tc>
              <w:tc>
                <w:tcPr>
                  <w:tcW w:w="911" w:type="pct"/>
                  <w:vAlign w:val="center"/>
                </w:tcPr>
                <w:p w14:paraId="6D5041E2">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cs="Times New Roman"/>
                      <w:bCs/>
                      <w:color w:val="auto"/>
                      <w:sz w:val="21"/>
                      <w:szCs w:val="21"/>
                      <w:u w:val="single"/>
                      <w:lang w:val="en-US" w:eastAsia="zh-CN"/>
                    </w:rPr>
                  </w:pPr>
                  <w:r>
                    <w:rPr>
                      <w:rFonts w:hint="eastAsia" w:cs="Times New Roman"/>
                      <w:bCs/>
                      <w:color w:val="auto"/>
                      <w:sz w:val="21"/>
                      <w:szCs w:val="21"/>
                      <w:u w:val="single"/>
                      <w:lang w:val="en-US" w:eastAsia="zh-CN"/>
                    </w:rPr>
                    <w:t>西</w:t>
                  </w:r>
                  <w:r>
                    <w:rPr>
                      <w:rFonts w:hint="eastAsia" w:ascii="Times New Roman" w:hAnsi="Times New Roman" w:cs="Times New Roman"/>
                      <w:bCs/>
                      <w:color w:val="auto"/>
                      <w:sz w:val="21"/>
                      <w:szCs w:val="21"/>
                      <w:u w:val="single"/>
                      <w:lang w:val="en-US" w:eastAsia="zh-CN"/>
                    </w:rPr>
                    <w:t>侧</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7A75C78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113.485605442,</w:t>
                  </w:r>
                </w:p>
                <w:p w14:paraId="64BEDCF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29.475219183</w:t>
                  </w:r>
                </w:p>
              </w:tc>
              <w:tc>
                <w:tcPr>
                  <w:tcW w:w="508" w:type="pct"/>
                  <w:vAlign w:val="center"/>
                </w:tcPr>
                <w:p w14:paraId="0CCC3A22">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居民</w:t>
                  </w:r>
                </w:p>
              </w:tc>
              <w:tc>
                <w:tcPr>
                  <w:tcW w:w="678" w:type="pct"/>
                  <w:vAlign w:val="center"/>
                </w:tcPr>
                <w:p w14:paraId="6BFFB138">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eastAsia" w:cs="Times New Roman"/>
                      <w:color w:val="auto"/>
                      <w:kern w:val="0"/>
                      <w:sz w:val="21"/>
                      <w:szCs w:val="21"/>
                      <w:u w:val="single"/>
                      <w:lang w:val="en-US" w:eastAsia="zh-CN"/>
                    </w:rPr>
                    <w:t>约10户</w:t>
                  </w:r>
                </w:p>
              </w:tc>
              <w:tc>
                <w:tcPr>
                  <w:tcW w:w="491" w:type="pct"/>
                  <w:vAlign w:val="center"/>
                </w:tcPr>
                <w:p w14:paraId="37710E1A">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auto"/>
                      <w:kern w:val="0"/>
                      <w:sz w:val="21"/>
                      <w:szCs w:val="21"/>
                      <w:u w:val="single"/>
                    </w:rPr>
                  </w:pPr>
                  <w:r>
                    <w:rPr>
                      <w:rFonts w:hint="default" w:ascii="Times New Roman" w:hAnsi="Times New Roman" w:cs="Times New Roman"/>
                      <w:color w:val="auto"/>
                      <w:kern w:val="0"/>
                      <w:sz w:val="21"/>
                      <w:szCs w:val="21"/>
                      <w:u w:val="single"/>
                    </w:rPr>
                    <w:t>二类</w:t>
                  </w:r>
                </w:p>
              </w:tc>
            </w:tr>
            <w:tr w14:paraId="0AFF0A32">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Align w:val="center"/>
                </w:tcPr>
                <w:p w14:paraId="40BD701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新一中</w:t>
                  </w:r>
                </w:p>
              </w:tc>
              <w:tc>
                <w:tcPr>
                  <w:tcW w:w="970" w:type="pct"/>
                  <w:vAlign w:val="center"/>
                </w:tcPr>
                <w:p w14:paraId="3B9B202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东侧居民点</w:t>
                  </w:r>
                </w:p>
              </w:tc>
              <w:tc>
                <w:tcPr>
                  <w:tcW w:w="911" w:type="pct"/>
                  <w:vAlign w:val="center"/>
                </w:tcPr>
                <w:p w14:paraId="410E03B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东侧10-</w:t>
                  </w:r>
                  <w:r>
                    <w:rPr>
                      <w:rFonts w:hint="eastAsia" w:cs="Times New Roman"/>
                      <w:bCs/>
                      <w:color w:val="auto"/>
                      <w:sz w:val="21"/>
                      <w:szCs w:val="21"/>
                      <w:u w:val="single"/>
                      <w:lang w:val="en-US" w:eastAsia="zh-CN"/>
                    </w:rPr>
                    <w:t>5</w:t>
                  </w:r>
                  <w:r>
                    <w:rPr>
                      <w:rFonts w:hint="eastAsia" w:ascii="Times New Roman" w:hAnsi="Times New Roman" w:cs="Times New Roman"/>
                      <w:bCs/>
                      <w:color w:val="auto"/>
                      <w:sz w:val="21"/>
                      <w:szCs w:val="21"/>
                      <w:u w:val="single"/>
                      <w:lang w:val="en-US" w:eastAsia="zh-CN"/>
                    </w:rPr>
                    <w:t>0m</w:t>
                  </w:r>
                </w:p>
              </w:tc>
              <w:tc>
                <w:tcPr>
                  <w:tcW w:w="989" w:type="pct"/>
                  <w:vAlign w:val="center"/>
                </w:tcPr>
                <w:p w14:paraId="13C851C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113.464405262,</w:t>
                  </w:r>
                </w:p>
                <w:p w14:paraId="4D62A13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29.470160537</w:t>
                  </w:r>
                </w:p>
              </w:tc>
              <w:tc>
                <w:tcPr>
                  <w:tcW w:w="508" w:type="pct"/>
                  <w:vAlign w:val="center"/>
                </w:tcPr>
                <w:p w14:paraId="6FC3629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居民</w:t>
                  </w:r>
                </w:p>
              </w:tc>
              <w:tc>
                <w:tcPr>
                  <w:tcW w:w="678" w:type="pct"/>
                  <w:vAlign w:val="center"/>
                </w:tcPr>
                <w:p w14:paraId="2F68891A">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rPr>
                    <w:t>约10户</w:t>
                  </w:r>
                </w:p>
              </w:tc>
              <w:tc>
                <w:tcPr>
                  <w:tcW w:w="0" w:type="auto"/>
                  <w:vAlign w:val="center"/>
                </w:tcPr>
                <w:p w14:paraId="2632C3EF">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cs="Times New Roman"/>
                      <w:color w:val="auto"/>
                      <w:kern w:val="0"/>
                      <w:sz w:val="21"/>
                      <w:szCs w:val="21"/>
                      <w:u w:val="single"/>
                    </w:rPr>
                    <w:t>二类</w:t>
                  </w:r>
                </w:p>
              </w:tc>
            </w:tr>
            <w:tr w14:paraId="72339754">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restart"/>
                  <w:vAlign w:val="center"/>
                </w:tcPr>
                <w:p w14:paraId="12D22B77">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三完小</w:t>
                  </w:r>
                </w:p>
              </w:tc>
              <w:tc>
                <w:tcPr>
                  <w:tcW w:w="970" w:type="pct"/>
                  <w:vAlign w:val="center"/>
                </w:tcPr>
                <w:p w14:paraId="3F139D66">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何家巷居民点</w:t>
                  </w:r>
                </w:p>
              </w:tc>
              <w:tc>
                <w:tcPr>
                  <w:tcW w:w="911" w:type="pct"/>
                  <w:vAlign w:val="center"/>
                </w:tcPr>
                <w:p w14:paraId="62E19BBC">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color w:val="auto"/>
                      <w:kern w:val="0"/>
                      <w:sz w:val="21"/>
                      <w:szCs w:val="21"/>
                      <w:u w:val="single"/>
                      <w:lang w:val="en-US" w:eastAsia="zh-CN"/>
                    </w:rPr>
                    <w:t>北侧</w:t>
                  </w:r>
                  <w:r>
                    <w:rPr>
                      <w:rFonts w:hint="eastAsia" w:cs="Times New Roman"/>
                      <w:color w:val="auto"/>
                      <w:kern w:val="0"/>
                      <w:sz w:val="21"/>
                      <w:szCs w:val="21"/>
                      <w:u w:val="single"/>
                      <w:lang w:val="en-US" w:eastAsia="zh-CN"/>
                    </w:rPr>
                    <w:t>5-50m</w:t>
                  </w:r>
                </w:p>
              </w:tc>
              <w:tc>
                <w:tcPr>
                  <w:tcW w:w="989" w:type="pct"/>
                  <w:vAlign w:val="center"/>
                </w:tcPr>
                <w:p w14:paraId="2A31331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113.458769940,</w:t>
                  </w:r>
                </w:p>
                <w:p w14:paraId="7EEB60A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29.479435616</w:t>
                  </w:r>
                </w:p>
              </w:tc>
              <w:tc>
                <w:tcPr>
                  <w:tcW w:w="508" w:type="pct"/>
                  <w:vAlign w:val="center"/>
                </w:tcPr>
                <w:p w14:paraId="2496E9D4">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318032DB">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约15户</w:t>
                  </w:r>
                </w:p>
              </w:tc>
              <w:tc>
                <w:tcPr>
                  <w:tcW w:w="0" w:type="auto"/>
                  <w:vAlign w:val="center"/>
                </w:tcPr>
                <w:p w14:paraId="56FED847">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7B07FABE">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Merge w:val="continue"/>
                  <w:vAlign w:val="center"/>
                </w:tcPr>
                <w:p w14:paraId="50EB765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u w:val="single"/>
                      <w:vertAlign w:val="baseline"/>
                      <w:lang w:eastAsia="zh-CN"/>
                    </w:rPr>
                  </w:pPr>
                </w:p>
              </w:tc>
              <w:tc>
                <w:tcPr>
                  <w:tcW w:w="970" w:type="pct"/>
                  <w:vAlign w:val="center"/>
                </w:tcPr>
                <w:p w14:paraId="472358EF">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三完小</w:t>
                  </w:r>
                </w:p>
              </w:tc>
              <w:tc>
                <w:tcPr>
                  <w:tcW w:w="911" w:type="pct"/>
                  <w:vAlign w:val="center"/>
                </w:tcPr>
                <w:p w14:paraId="3384F8B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南侧15m</w:t>
                  </w:r>
                </w:p>
              </w:tc>
              <w:tc>
                <w:tcPr>
                  <w:tcW w:w="989" w:type="pct"/>
                  <w:vAlign w:val="center"/>
                </w:tcPr>
                <w:p w14:paraId="4FD97BF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113.458348834,</w:t>
                  </w:r>
                </w:p>
                <w:p w14:paraId="03BD8B9A">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29.479052060</w:t>
                  </w:r>
                </w:p>
              </w:tc>
              <w:tc>
                <w:tcPr>
                  <w:tcW w:w="508" w:type="pct"/>
                  <w:vAlign w:val="center"/>
                </w:tcPr>
                <w:p w14:paraId="013D04FA">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师生</w:t>
                  </w:r>
                </w:p>
              </w:tc>
              <w:tc>
                <w:tcPr>
                  <w:tcW w:w="678" w:type="pct"/>
                  <w:vAlign w:val="center"/>
                </w:tcPr>
                <w:p w14:paraId="03B8F679">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约800人</w:t>
                  </w:r>
                </w:p>
              </w:tc>
              <w:tc>
                <w:tcPr>
                  <w:tcW w:w="0" w:type="auto"/>
                  <w:vAlign w:val="center"/>
                </w:tcPr>
                <w:p w14:paraId="75518DE7">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r w14:paraId="0BA30D89">
              <w:tblPrEx>
                <w:tblBorders>
                  <w:top w:val="single" w:color="auto" w:sz="4" w:space="0"/>
                  <w:left w:val="single" w:color="auto" w:sz="4" w:space="0"/>
                  <w:bottom w:val="single" w:color="auto" w:sz="6"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pct"/>
                  <w:vAlign w:val="center"/>
                </w:tcPr>
                <w:p w14:paraId="209EDDF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single"/>
                      <w:vertAlign w:val="baseline"/>
                      <w:lang w:val="en-US" w:eastAsia="zh-CN" w:bidi="ar-SA"/>
                    </w:rPr>
                  </w:pPr>
                  <w:r>
                    <w:rPr>
                      <w:rFonts w:hint="default" w:ascii="Times New Roman" w:hAnsi="Times New Roman" w:eastAsia="宋体" w:cs="Times New Roman"/>
                      <w:b w:val="0"/>
                      <w:bCs w:val="0"/>
                      <w:color w:val="auto"/>
                      <w:sz w:val="21"/>
                      <w:szCs w:val="21"/>
                      <w:u w:val="single"/>
                      <w:vertAlign w:val="baseline"/>
                      <w:lang w:eastAsia="zh-CN"/>
                    </w:rPr>
                    <w:t>南太路肖家畈</w:t>
                  </w:r>
                </w:p>
              </w:tc>
              <w:tc>
                <w:tcPr>
                  <w:tcW w:w="970" w:type="pct"/>
                  <w:vAlign w:val="center"/>
                </w:tcPr>
                <w:p w14:paraId="2FE95F52">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color w:val="auto"/>
                      <w:kern w:val="0"/>
                      <w:sz w:val="21"/>
                      <w:szCs w:val="21"/>
                      <w:u w:val="single"/>
                      <w:lang w:val="en-US" w:eastAsia="zh-CN"/>
                    </w:rPr>
                  </w:pPr>
                  <w:r>
                    <w:rPr>
                      <w:rFonts w:hint="eastAsia" w:ascii="Times New Roman" w:hAnsi="Times New Roman" w:cs="Times New Roman"/>
                      <w:color w:val="auto"/>
                      <w:kern w:val="0"/>
                      <w:sz w:val="21"/>
                      <w:szCs w:val="21"/>
                      <w:u w:val="single"/>
                      <w:lang w:val="en-US" w:eastAsia="zh-CN"/>
                    </w:rPr>
                    <w:t>肖家畈居民点</w:t>
                  </w:r>
                </w:p>
              </w:tc>
              <w:tc>
                <w:tcPr>
                  <w:tcW w:w="911" w:type="pct"/>
                  <w:vAlign w:val="center"/>
                </w:tcPr>
                <w:p w14:paraId="4E51B6B1">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lang w:val="en-US" w:eastAsia="zh-CN"/>
                    </w:rPr>
                  </w:pPr>
                  <w:r>
                    <w:rPr>
                      <w:rFonts w:hint="eastAsia" w:ascii="Times New Roman" w:hAnsi="Times New Roman" w:cs="Times New Roman"/>
                      <w:bCs/>
                      <w:color w:val="auto"/>
                      <w:sz w:val="21"/>
                      <w:szCs w:val="21"/>
                      <w:u w:val="single"/>
                      <w:lang w:val="en-US" w:eastAsia="zh-CN"/>
                    </w:rPr>
                    <w:t>四周紧邻</w:t>
                  </w:r>
                </w:p>
              </w:tc>
              <w:tc>
                <w:tcPr>
                  <w:tcW w:w="989" w:type="pct"/>
                  <w:vAlign w:val="center"/>
                </w:tcPr>
                <w:p w14:paraId="6D33BB48">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113.435523235,</w:t>
                  </w:r>
                </w:p>
                <w:p w14:paraId="709D00F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Cs/>
                      <w:color w:val="auto"/>
                      <w:sz w:val="21"/>
                      <w:szCs w:val="21"/>
                      <w:u w:val="single"/>
                    </w:rPr>
                  </w:pPr>
                  <w:r>
                    <w:rPr>
                      <w:rFonts w:hint="default" w:ascii="Times New Roman" w:hAnsi="Times New Roman" w:cs="Times New Roman"/>
                      <w:bCs/>
                      <w:color w:val="auto"/>
                      <w:sz w:val="21"/>
                      <w:szCs w:val="21"/>
                      <w:u w:val="single"/>
                    </w:rPr>
                    <w:t>29.462706678</w:t>
                  </w:r>
                </w:p>
              </w:tc>
              <w:tc>
                <w:tcPr>
                  <w:tcW w:w="508" w:type="pct"/>
                  <w:vAlign w:val="center"/>
                </w:tcPr>
                <w:p w14:paraId="56D9D1E1">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居民</w:t>
                  </w:r>
                </w:p>
              </w:tc>
              <w:tc>
                <w:tcPr>
                  <w:tcW w:w="678" w:type="pct"/>
                  <w:vAlign w:val="center"/>
                </w:tcPr>
                <w:p w14:paraId="68BEF96A">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约20户</w:t>
                  </w:r>
                </w:p>
              </w:tc>
              <w:tc>
                <w:tcPr>
                  <w:tcW w:w="0" w:type="auto"/>
                  <w:vAlign w:val="center"/>
                </w:tcPr>
                <w:p w14:paraId="3045A9AC">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kern w:val="0"/>
                      <w:sz w:val="21"/>
                      <w:szCs w:val="21"/>
                      <w:u w:val="single"/>
                      <w:lang w:val="en-US" w:eastAsia="zh-CN"/>
                    </w:rPr>
                  </w:pPr>
                  <w:r>
                    <w:rPr>
                      <w:rFonts w:hint="eastAsia" w:cs="Times New Roman"/>
                      <w:color w:val="auto"/>
                      <w:kern w:val="0"/>
                      <w:sz w:val="21"/>
                      <w:szCs w:val="21"/>
                      <w:u w:val="single"/>
                      <w:lang w:val="en-US" w:eastAsia="zh-CN"/>
                    </w:rPr>
                    <w:t>二类</w:t>
                  </w:r>
                </w:p>
              </w:tc>
            </w:tr>
          </w:tbl>
          <w:p w14:paraId="145CAD77">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auto"/>
                <w:kern w:val="0"/>
                <w:sz w:val="24"/>
                <w:u w:val="none"/>
              </w:rPr>
            </w:pPr>
            <w:r>
              <w:rPr>
                <w:rFonts w:hint="eastAsia"/>
                <w:b/>
                <w:bCs/>
                <w:color w:val="auto"/>
                <w:kern w:val="0"/>
                <w:sz w:val="24"/>
                <w:u w:val="none"/>
              </w:rPr>
              <w:t>4、地下水环境保护目标</w:t>
            </w:r>
          </w:p>
          <w:p w14:paraId="7C854AE3">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kern w:val="0"/>
                <w:sz w:val="24"/>
                <w:u w:val="none"/>
              </w:rPr>
            </w:pPr>
            <w:r>
              <w:rPr>
                <w:rFonts w:hint="eastAsia"/>
                <w:color w:val="auto"/>
                <w:kern w:val="0"/>
                <w:sz w:val="24"/>
                <w:u w:val="none"/>
              </w:rPr>
              <w:t>项目</w:t>
            </w:r>
            <w:r>
              <w:rPr>
                <w:rFonts w:hint="eastAsia"/>
                <w:color w:val="auto"/>
                <w:kern w:val="0"/>
                <w:sz w:val="24"/>
                <w:u w:val="none"/>
                <w:lang w:val="en-US" w:eastAsia="zh-CN"/>
              </w:rPr>
              <w:t>红线</w:t>
            </w:r>
            <w:r>
              <w:rPr>
                <w:rFonts w:hint="eastAsia"/>
                <w:color w:val="auto"/>
                <w:kern w:val="0"/>
                <w:sz w:val="24"/>
                <w:u w:val="none"/>
              </w:rPr>
              <w:t>外500m范围内无地下水集中式使用水水源和热水、矿泉水、温泉等特殊地下水资源。</w:t>
            </w:r>
          </w:p>
          <w:p w14:paraId="25DA225F">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color w:val="auto"/>
                <w:kern w:val="0"/>
                <w:sz w:val="24"/>
                <w:u w:val="single"/>
              </w:rPr>
            </w:pPr>
            <w:r>
              <w:rPr>
                <w:rFonts w:hint="eastAsia"/>
                <w:b/>
                <w:bCs/>
                <w:color w:val="auto"/>
                <w:kern w:val="0"/>
                <w:sz w:val="24"/>
                <w:u w:val="single"/>
              </w:rPr>
              <w:t>5、生态环境保护目标</w:t>
            </w:r>
          </w:p>
          <w:p w14:paraId="14521564">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default"/>
                <w:color w:val="auto"/>
                <w:sz w:val="24"/>
                <w:u w:val="single"/>
                <w:lang w:val="en-US" w:eastAsia="zh-CN"/>
              </w:rPr>
            </w:pPr>
            <w:r>
              <w:rPr>
                <w:rFonts w:hint="eastAsia" w:ascii="Times New Roman" w:hAnsi="Times New Roman"/>
                <w:color w:val="auto"/>
                <w:sz w:val="24"/>
                <w:u w:val="single"/>
              </w:rPr>
              <w:t>根据《建设项目环境影响报告表编制技术指南》</w:t>
            </w:r>
            <w:r>
              <w:rPr>
                <w:rFonts w:hint="eastAsia"/>
                <w:color w:val="auto"/>
                <w:sz w:val="24"/>
                <w:u w:val="single"/>
                <w:lang w:eastAsia="zh-CN"/>
              </w:rPr>
              <w:t>（</w:t>
            </w:r>
            <w:r>
              <w:rPr>
                <w:rFonts w:hint="eastAsia"/>
                <w:color w:val="auto"/>
                <w:sz w:val="24"/>
                <w:u w:val="single"/>
                <w:lang w:val="en-US" w:eastAsia="zh-CN"/>
              </w:rPr>
              <w:t>生态影响类</w:t>
            </w:r>
            <w:r>
              <w:rPr>
                <w:rFonts w:hint="eastAsia"/>
                <w:color w:val="auto"/>
                <w:sz w:val="24"/>
                <w:u w:val="single"/>
                <w:lang w:eastAsia="zh-CN"/>
              </w:rPr>
              <w:t>）（</w:t>
            </w:r>
            <w:r>
              <w:rPr>
                <w:rFonts w:hint="eastAsia" w:ascii="Times New Roman" w:hAnsi="Times New Roman"/>
                <w:color w:val="auto"/>
                <w:sz w:val="24"/>
                <w:u w:val="single"/>
              </w:rPr>
              <w:t>试行</w:t>
            </w:r>
            <w:r>
              <w:rPr>
                <w:rFonts w:hint="eastAsia"/>
                <w:color w:val="auto"/>
                <w:sz w:val="24"/>
                <w:u w:val="single"/>
                <w:lang w:eastAsia="zh-CN"/>
              </w:rPr>
              <w:t>）</w:t>
            </w:r>
            <w:r>
              <w:rPr>
                <w:rFonts w:hint="eastAsia"/>
                <w:color w:val="auto"/>
                <w:sz w:val="24"/>
                <w:u w:val="single"/>
                <w:lang w:val="en-US" w:eastAsia="zh-CN"/>
              </w:rPr>
              <w:t>需要</w:t>
            </w:r>
            <w:r>
              <w:rPr>
                <w:rFonts w:hint="default" w:ascii="宋体" w:hAnsi="宋体" w:eastAsia="宋体" w:cs="宋体"/>
                <w:sz w:val="24"/>
                <w:szCs w:val="24"/>
                <w:u w:val="single"/>
              </w:rPr>
              <w:t>按照环境影响评价相关技术导则要求确定评价范围并识别环境保护目标。填写环境保护目标的名称、与建设项目的位置关系、规模、主要保护对象和涉及的功能分区等。</w:t>
            </w:r>
          </w:p>
          <w:p w14:paraId="395700D8">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color w:val="FF0000"/>
                <w:kern w:val="0"/>
                <w:sz w:val="24"/>
                <w:u w:val="single"/>
              </w:rPr>
            </w:pPr>
            <w:r>
              <w:rPr>
                <w:rFonts w:hint="default" w:ascii="Times New Roman" w:hAnsi="Times New Roman" w:eastAsia="宋体" w:cs="Times New Roman"/>
                <w:color w:val="auto"/>
                <w:kern w:val="0"/>
                <w:sz w:val="24"/>
                <w:u w:val="single"/>
              </w:rPr>
              <w:t>经现状调查，本项目不涉及国家公园、自然保护区、世界自然遗产、重要生境、基本农田、公益林、风景名胜区等生态环境保护目标，根据《环境影响评价技术导则 生态影响》（HJ19-2022），本项目生态影响评价等级为三级，生态环境保护目标情况详见下表</w:t>
            </w:r>
            <w:r>
              <w:rPr>
                <w:rFonts w:hint="eastAsia" w:cs="Times New Roman"/>
                <w:color w:val="auto"/>
                <w:kern w:val="0"/>
                <w:sz w:val="24"/>
                <w:u w:val="single"/>
                <w:lang w:eastAsia="zh-CN"/>
              </w:rPr>
              <w:t>。</w:t>
            </w:r>
          </w:p>
          <w:p w14:paraId="523428E7">
            <w:pPr>
              <w:keepNext w:val="0"/>
              <w:keepLines w:val="0"/>
              <w:suppressLineNumbers w:val="0"/>
              <w:autoSpaceDE w:val="0"/>
              <w:autoSpaceDN w:val="0"/>
              <w:adjustRightInd w:val="0"/>
              <w:spacing w:before="0" w:beforeAutospacing="0" w:after="0" w:afterAutospacing="0" w:line="360" w:lineRule="exact"/>
              <w:ind w:left="0" w:right="0"/>
              <w:jc w:val="center"/>
              <w:rPr>
                <w:rFonts w:hint="default"/>
                <w:b/>
                <w:color w:val="auto"/>
                <w:kern w:val="0"/>
                <w:u w:val="single"/>
              </w:rPr>
            </w:pPr>
            <w:r>
              <w:rPr>
                <w:rFonts w:hint="default"/>
                <w:b/>
                <w:color w:val="auto"/>
                <w:kern w:val="0"/>
                <w:u w:val="single"/>
              </w:rPr>
              <w:t>表3-</w:t>
            </w:r>
            <w:r>
              <w:rPr>
                <w:rFonts w:hint="eastAsia"/>
                <w:b/>
                <w:color w:val="auto"/>
                <w:kern w:val="0"/>
                <w:u w:val="single"/>
                <w:lang w:val="en-US" w:eastAsia="zh-CN"/>
              </w:rPr>
              <w:t>8</w:t>
            </w:r>
            <w:r>
              <w:rPr>
                <w:rFonts w:hint="default"/>
                <w:b/>
                <w:color w:val="auto"/>
                <w:kern w:val="0"/>
                <w:u w:val="single"/>
              </w:rPr>
              <w:t xml:space="preserve">  项目</w:t>
            </w:r>
            <w:r>
              <w:rPr>
                <w:rFonts w:hint="eastAsia"/>
                <w:b/>
                <w:color w:val="auto"/>
                <w:kern w:val="0"/>
                <w:u w:val="single"/>
                <w:lang w:eastAsia="zh-CN"/>
              </w:rPr>
              <w:t>生态</w:t>
            </w:r>
            <w:r>
              <w:rPr>
                <w:rFonts w:hint="default"/>
                <w:b/>
                <w:color w:val="auto"/>
                <w:kern w:val="0"/>
                <w:u w:val="single"/>
              </w:rPr>
              <w:t>环境保护目标一览表</w:t>
            </w:r>
          </w:p>
          <w:tbl>
            <w:tblPr>
              <w:tblStyle w:val="27"/>
              <w:tblW w:w="4999"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288"/>
              <w:gridCol w:w="1639"/>
              <w:gridCol w:w="2588"/>
              <w:gridCol w:w="2588"/>
            </w:tblGrid>
            <w:tr w14:paraId="67196AC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94" w:type="pct"/>
                  <w:tcBorders>
                    <w:tl2br w:val="nil"/>
                    <w:tr2bl w:val="nil"/>
                  </w:tcBorders>
                  <w:vAlign w:val="center"/>
                </w:tcPr>
                <w:p w14:paraId="64BFA224">
                  <w:pPr>
                    <w:keepNext w:val="0"/>
                    <w:keepLines w:val="0"/>
                    <w:suppressLineNumbers w:val="0"/>
                    <w:spacing w:before="0" w:beforeAutospacing="0" w:after="0" w:afterAutospacing="0" w:line="0" w:lineRule="atLeast"/>
                    <w:ind w:left="0" w:right="0"/>
                    <w:jc w:val="center"/>
                    <w:rPr>
                      <w:rFonts w:hint="default" w:ascii="宋体" w:hAnsi="宋体" w:cs="宋体"/>
                      <w:b/>
                      <w:color w:val="auto"/>
                      <w:szCs w:val="21"/>
                      <w:u w:val="single"/>
                    </w:rPr>
                  </w:pPr>
                  <w:r>
                    <w:rPr>
                      <w:rFonts w:hint="default"/>
                      <w:b/>
                      <w:color w:val="auto"/>
                      <w:u w:val="single"/>
                    </w:rPr>
                    <w:t>类别</w:t>
                  </w:r>
                </w:p>
              </w:tc>
              <w:tc>
                <w:tcPr>
                  <w:tcW w:w="1011" w:type="pct"/>
                  <w:tcBorders>
                    <w:tl2br w:val="nil"/>
                    <w:tr2bl w:val="nil"/>
                  </w:tcBorders>
                  <w:vAlign w:val="center"/>
                </w:tcPr>
                <w:p w14:paraId="7740B003">
                  <w:pPr>
                    <w:keepNext w:val="0"/>
                    <w:keepLines w:val="0"/>
                    <w:suppressLineNumbers w:val="0"/>
                    <w:spacing w:before="0" w:beforeAutospacing="0" w:after="0" w:afterAutospacing="0" w:line="0" w:lineRule="atLeast"/>
                    <w:ind w:left="0" w:right="0"/>
                    <w:jc w:val="center"/>
                    <w:rPr>
                      <w:rFonts w:hint="default" w:ascii="宋体" w:hAnsi="宋体" w:cs="宋体"/>
                      <w:b/>
                      <w:color w:val="auto"/>
                      <w:szCs w:val="21"/>
                      <w:u w:val="single"/>
                    </w:rPr>
                  </w:pPr>
                  <w:r>
                    <w:rPr>
                      <w:rFonts w:hint="default"/>
                      <w:b/>
                      <w:color w:val="auto"/>
                      <w:u w:val="single"/>
                    </w:rPr>
                    <w:t>保护目标</w:t>
                  </w:r>
                </w:p>
              </w:tc>
              <w:tc>
                <w:tcPr>
                  <w:tcW w:w="1596" w:type="pct"/>
                  <w:tcBorders>
                    <w:tl2br w:val="nil"/>
                    <w:tr2bl w:val="nil"/>
                  </w:tcBorders>
                  <w:vAlign w:val="center"/>
                </w:tcPr>
                <w:p w14:paraId="088E4FD4">
                  <w:pPr>
                    <w:keepNext w:val="0"/>
                    <w:keepLines w:val="0"/>
                    <w:suppressLineNumbers w:val="0"/>
                    <w:spacing w:before="0" w:beforeAutospacing="0" w:after="0" w:afterAutospacing="0" w:line="0" w:lineRule="atLeast"/>
                    <w:ind w:left="0" w:right="0"/>
                    <w:jc w:val="center"/>
                    <w:rPr>
                      <w:rFonts w:hint="eastAsia" w:ascii="宋体" w:hAnsi="宋体" w:eastAsia="宋体" w:cs="宋体"/>
                      <w:b/>
                      <w:color w:val="auto"/>
                      <w:szCs w:val="21"/>
                      <w:u w:val="single"/>
                      <w:lang w:eastAsia="zh-CN"/>
                    </w:rPr>
                  </w:pPr>
                  <w:r>
                    <w:rPr>
                      <w:rFonts w:hint="eastAsia"/>
                      <w:b/>
                      <w:color w:val="auto"/>
                      <w:u w:val="single"/>
                      <w:lang w:eastAsia="zh-CN"/>
                    </w:rPr>
                    <w:t>保护内容</w:t>
                  </w:r>
                </w:p>
              </w:tc>
              <w:tc>
                <w:tcPr>
                  <w:tcW w:w="1596" w:type="pct"/>
                  <w:tcBorders>
                    <w:tl2br w:val="nil"/>
                    <w:tr2bl w:val="nil"/>
                  </w:tcBorders>
                  <w:vAlign w:val="center"/>
                </w:tcPr>
                <w:p w14:paraId="694C84EA">
                  <w:pPr>
                    <w:keepNext w:val="0"/>
                    <w:keepLines w:val="0"/>
                    <w:suppressLineNumbers w:val="0"/>
                    <w:spacing w:before="0" w:beforeAutospacing="0" w:after="0" w:afterAutospacing="0" w:line="0" w:lineRule="atLeast"/>
                    <w:ind w:left="0" w:right="0"/>
                    <w:jc w:val="center"/>
                    <w:rPr>
                      <w:rFonts w:hint="default"/>
                      <w:b/>
                      <w:color w:val="auto"/>
                      <w:u w:val="single"/>
                      <w:lang w:val="en-US" w:eastAsia="zh-CN"/>
                    </w:rPr>
                  </w:pPr>
                  <w:r>
                    <w:rPr>
                      <w:rFonts w:hint="eastAsia"/>
                      <w:b/>
                      <w:color w:val="auto"/>
                      <w:u w:val="single"/>
                      <w:lang w:val="en-US" w:eastAsia="zh-CN"/>
                    </w:rPr>
                    <w:t>相对位置及最近距离</w:t>
                  </w:r>
                </w:p>
              </w:tc>
            </w:tr>
            <w:tr w14:paraId="75D5FA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94" w:type="pct"/>
                  <w:tcBorders>
                    <w:tl2br w:val="nil"/>
                    <w:tr2bl w:val="nil"/>
                  </w:tcBorders>
                  <w:vAlign w:val="center"/>
                </w:tcPr>
                <w:p w14:paraId="33CF3F8B">
                  <w:pPr>
                    <w:keepNext w:val="0"/>
                    <w:keepLines w:val="0"/>
                    <w:suppressLineNumbers w:val="0"/>
                    <w:spacing w:before="0" w:beforeAutospacing="0" w:after="0" w:afterAutospacing="0" w:line="0" w:lineRule="atLeast"/>
                    <w:ind w:left="-78" w:leftChars="-37" w:right="-86" w:rightChars="-41"/>
                    <w:jc w:val="center"/>
                    <w:rPr>
                      <w:rFonts w:hint="default" w:ascii="宋体" w:hAnsi="宋体" w:cs="宋体"/>
                      <w:color w:val="auto"/>
                      <w:szCs w:val="21"/>
                      <w:u w:val="single"/>
                    </w:rPr>
                  </w:pPr>
                  <w:r>
                    <w:rPr>
                      <w:rFonts w:hint="eastAsia"/>
                      <w:color w:val="auto"/>
                      <w:u w:val="single"/>
                      <w:lang w:eastAsia="zh-CN"/>
                    </w:rPr>
                    <w:t>生态</w:t>
                  </w:r>
                  <w:r>
                    <w:rPr>
                      <w:rFonts w:hint="default"/>
                      <w:color w:val="auto"/>
                      <w:u w:val="single"/>
                    </w:rPr>
                    <w:t>环境</w:t>
                  </w:r>
                </w:p>
              </w:tc>
              <w:tc>
                <w:tcPr>
                  <w:tcW w:w="1011" w:type="pct"/>
                  <w:tcBorders>
                    <w:tl2br w:val="nil"/>
                    <w:tr2bl w:val="nil"/>
                  </w:tcBorders>
                  <w:vAlign w:val="center"/>
                </w:tcPr>
                <w:p w14:paraId="332830BE">
                  <w:pPr>
                    <w:keepNext w:val="0"/>
                    <w:keepLines w:val="0"/>
                    <w:suppressLineNumbers w:val="0"/>
                    <w:spacing w:before="0" w:beforeAutospacing="0" w:after="0" w:afterAutospacing="0"/>
                    <w:ind w:left="0" w:right="0"/>
                    <w:jc w:val="center"/>
                    <w:rPr>
                      <w:rFonts w:hint="default" w:ascii="宋体" w:hAnsi="宋体" w:eastAsia="宋体" w:cs="宋体"/>
                      <w:color w:val="auto"/>
                      <w:szCs w:val="21"/>
                      <w:u w:val="single"/>
                      <w:lang w:val="en-US" w:eastAsia="zh-CN"/>
                    </w:rPr>
                  </w:pPr>
                  <w:r>
                    <w:rPr>
                      <w:rFonts w:hint="default" w:ascii="宋体" w:hAnsi="宋体" w:eastAsia="宋体" w:cs="宋体"/>
                      <w:color w:val="auto"/>
                      <w:szCs w:val="21"/>
                      <w:u w:val="single"/>
                      <w:lang w:val="en-US" w:eastAsia="zh-CN"/>
                    </w:rPr>
                    <w:t>项目施工河段中的水生</w:t>
                  </w:r>
                  <w:r>
                    <w:rPr>
                      <w:rFonts w:hint="eastAsia" w:ascii="宋体" w:hAnsi="宋体" w:cs="宋体"/>
                      <w:color w:val="auto"/>
                      <w:szCs w:val="21"/>
                      <w:u w:val="single"/>
                      <w:lang w:val="en-US" w:eastAsia="zh-CN"/>
                    </w:rPr>
                    <w:t>陆生</w:t>
                  </w:r>
                  <w:r>
                    <w:rPr>
                      <w:rFonts w:hint="default" w:ascii="宋体" w:hAnsi="宋体" w:eastAsia="宋体" w:cs="宋体"/>
                      <w:color w:val="auto"/>
                      <w:szCs w:val="21"/>
                      <w:u w:val="single"/>
                      <w:lang w:val="en-US" w:eastAsia="zh-CN"/>
                    </w:rPr>
                    <w:t>动、植物资源</w:t>
                  </w:r>
                </w:p>
              </w:tc>
              <w:tc>
                <w:tcPr>
                  <w:tcW w:w="1596" w:type="pct"/>
                  <w:tcBorders>
                    <w:tl2br w:val="nil"/>
                    <w:tr2bl w:val="nil"/>
                  </w:tcBorders>
                  <w:vAlign w:val="center"/>
                </w:tcPr>
                <w:p w14:paraId="69A41E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color w:val="auto"/>
                      <w:szCs w:val="21"/>
                      <w:u w:val="single"/>
                      <w:lang w:eastAsia="zh-CN"/>
                    </w:rPr>
                  </w:pPr>
                  <w:r>
                    <w:rPr>
                      <w:rFonts w:hint="eastAsia"/>
                      <w:color w:val="auto"/>
                      <w:u w:val="single"/>
                      <w:lang w:eastAsia="zh-CN"/>
                    </w:rPr>
                    <w:t>保护项目所在区的生态环境，尽量减少其造成的植被破坏和降低水土流失，避免因本项目的建设造成不可逆转的生态破坏</w:t>
                  </w:r>
                </w:p>
              </w:tc>
              <w:tc>
                <w:tcPr>
                  <w:tcW w:w="1596" w:type="pct"/>
                  <w:tcBorders>
                    <w:tl2br w:val="nil"/>
                    <w:tr2bl w:val="nil"/>
                  </w:tcBorders>
                  <w:vAlign w:val="center"/>
                </w:tcPr>
                <w:p w14:paraId="1759E458">
                  <w:pPr>
                    <w:keepNext w:val="0"/>
                    <w:keepLines w:val="0"/>
                    <w:widowControl/>
                    <w:suppressLineNumbers w:val="0"/>
                    <w:spacing w:before="0" w:beforeAutospacing="0" w:after="0" w:afterAutospacing="0"/>
                    <w:ind w:left="0" w:right="0"/>
                    <w:jc w:val="center"/>
                    <w:rPr>
                      <w:rFonts w:hint="eastAsia"/>
                      <w:color w:val="auto"/>
                      <w:u w:val="single"/>
                      <w:lang w:eastAsia="zh-CN"/>
                    </w:rPr>
                  </w:pPr>
                  <w:r>
                    <w:rPr>
                      <w:rFonts w:hint="eastAsia"/>
                      <w:color w:val="auto"/>
                      <w:u w:val="single"/>
                      <w:lang w:eastAsia="zh-CN"/>
                    </w:rPr>
                    <w:t>河道内及其两岸分布500m范围内</w:t>
                  </w:r>
                </w:p>
              </w:tc>
            </w:tr>
          </w:tbl>
          <w:p w14:paraId="431DF042">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FF0000"/>
                <w:u w:val="none"/>
              </w:rPr>
            </w:pPr>
          </w:p>
        </w:tc>
      </w:tr>
      <w:tr w14:paraId="7D4C6B7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491" w:type="pct"/>
            <w:vAlign w:val="center"/>
          </w:tcPr>
          <w:p w14:paraId="5D436829">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auto"/>
                <w:kern w:val="0"/>
                <w:sz w:val="24"/>
                <w:u w:val="none"/>
              </w:rPr>
            </w:pPr>
            <w:r>
              <w:rPr>
                <w:rFonts w:hint="eastAsia" w:ascii="宋体" w:hAnsi="宋体" w:cs="宋体"/>
                <w:b/>
                <w:bCs/>
                <w:color w:val="auto"/>
                <w:kern w:val="0"/>
                <w:sz w:val="24"/>
                <w:u w:val="none"/>
              </w:rPr>
              <w:t>评价</w:t>
            </w:r>
          </w:p>
          <w:p w14:paraId="439A1C33">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auto"/>
                <w:kern w:val="0"/>
                <w:sz w:val="24"/>
                <w:u w:val="none"/>
              </w:rPr>
            </w:pPr>
            <w:r>
              <w:rPr>
                <w:rFonts w:hint="eastAsia" w:ascii="宋体" w:hAnsi="宋体" w:cs="宋体"/>
                <w:b/>
                <w:bCs/>
                <w:color w:val="auto"/>
                <w:kern w:val="0"/>
                <w:sz w:val="24"/>
                <w:u w:val="none"/>
              </w:rPr>
              <w:t>标准</w:t>
            </w:r>
          </w:p>
        </w:tc>
        <w:tc>
          <w:tcPr>
            <w:tcW w:w="4509" w:type="pct"/>
            <w:vAlign w:val="center"/>
          </w:tcPr>
          <w:p w14:paraId="0B83AF52">
            <w:pPr>
              <w:keepNext w:val="0"/>
              <w:keepLines w:val="0"/>
              <w:suppressLineNumbers w:val="0"/>
              <w:adjustRightInd w:val="0"/>
              <w:snapToGrid w:val="0"/>
              <w:spacing w:before="0" w:beforeAutospacing="0" w:after="0" w:afterAutospacing="0" w:line="360" w:lineRule="auto"/>
              <w:ind w:left="0" w:right="0" w:firstLine="482" w:firstLineChars="200"/>
              <w:rPr>
                <w:rFonts w:hint="default"/>
                <w:b/>
                <w:color w:val="auto"/>
                <w:sz w:val="24"/>
                <w:u w:val="none"/>
              </w:rPr>
            </w:pPr>
            <w:r>
              <w:rPr>
                <w:rFonts w:hint="eastAsia"/>
                <w:b/>
                <w:color w:val="auto"/>
                <w:sz w:val="24"/>
                <w:u w:val="none"/>
              </w:rPr>
              <w:t>1、环境质量标准</w:t>
            </w:r>
          </w:p>
          <w:p w14:paraId="49EC078E">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b/>
                <w:bCs/>
                <w:color w:val="auto"/>
                <w:spacing w:val="-2"/>
                <w:sz w:val="24"/>
                <w:u w:val="none"/>
              </w:rPr>
            </w:pPr>
            <w:r>
              <w:rPr>
                <w:rFonts w:hint="eastAsia"/>
                <w:b/>
                <w:bCs/>
                <w:color w:val="auto"/>
                <w:spacing w:val="-2"/>
                <w:sz w:val="24"/>
                <w:u w:val="none"/>
                <w:lang w:val="en-US" w:eastAsia="zh-CN"/>
              </w:rPr>
              <w:t>1.1</w:t>
            </w:r>
            <w:r>
              <w:rPr>
                <w:rFonts w:hint="eastAsia"/>
                <w:b/>
                <w:bCs/>
                <w:color w:val="auto"/>
                <w:spacing w:val="-2"/>
                <w:sz w:val="24"/>
                <w:u w:val="none"/>
              </w:rPr>
              <w:t>环境空气质量标准</w:t>
            </w:r>
          </w:p>
          <w:p w14:paraId="5EF32697">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color w:val="auto"/>
                <w:spacing w:val="-2"/>
                <w:sz w:val="24"/>
                <w:u w:val="none"/>
              </w:rPr>
            </w:pPr>
            <w:r>
              <w:rPr>
                <w:rFonts w:hint="eastAsia"/>
                <w:color w:val="auto"/>
                <w:spacing w:val="-2"/>
                <w:sz w:val="24"/>
                <w:u w:val="none"/>
              </w:rPr>
              <w:t>项目所在区域属二类功能区，环境空气质量执行《环境空气质量标准》（GB3095-2012）</w:t>
            </w:r>
            <w:r>
              <w:rPr>
                <w:rFonts w:hint="eastAsia"/>
                <w:color w:val="auto"/>
                <w:spacing w:val="-2"/>
                <w:sz w:val="24"/>
                <w:u w:val="none"/>
                <w:lang w:eastAsia="zh-CN"/>
              </w:rPr>
              <w:t>及修改单</w:t>
            </w:r>
            <w:r>
              <w:rPr>
                <w:rFonts w:hint="eastAsia"/>
                <w:color w:val="auto"/>
                <w:spacing w:val="-2"/>
                <w:sz w:val="24"/>
                <w:u w:val="none"/>
              </w:rPr>
              <w:t>二级标准</w:t>
            </w:r>
            <w:r>
              <w:rPr>
                <w:rFonts w:hint="eastAsia"/>
                <w:color w:val="auto"/>
                <w:spacing w:val="-2"/>
                <w:sz w:val="24"/>
                <w:u w:val="none"/>
                <w:lang w:eastAsia="zh-CN"/>
              </w:rPr>
              <w:t>，硫化氢、氨气参照《环境影响评价技术导则 大气环境》（HJ2.2-2018）附录D标准限值，</w:t>
            </w:r>
            <w:r>
              <w:rPr>
                <w:rFonts w:hint="eastAsia"/>
                <w:color w:val="auto"/>
                <w:spacing w:val="-2"/>
                <w:sz w:val="24"/>
                <w:u w:val="none"/>
              </w:rPr>
              <w:t>相关标准值见</w:t>
            </w:r>
            <w:r>
              <w:rPr>
                <w:rFonts w:hint="eastAsia"/>
                <w:color w:val="auto"/>
                <w:spacing w:val="-2"/>
                <w:sz w:val="24"/>
                <w:u w:val="none"/>
                <w:lang w:eastAsia="zh-CN"/>
              </w:rPr>
              <w:t>下表</w:t>
            </w:r>
            <w:r>
              <w:rPr>
                <w:rFonts w:hint="eastAsia"/>
                <w:color w:val="auto"/>
                <w:spacing w:val="-2"/>
                <w:sz w:val="24"/>
                <w:u w:val="none"/>
              </w:rPr>
              <w:t>。</w:t>
            </w:r>
          </w:p>
          <w:p w14:paraId="576129A3">
            <w:pPr>
              <w:pStyle w:val="7"/>
              <w:keepNext w:val="0"/>
              <w:keepLines w:val="0"/>
              <w:suppressLineNumbers w:val="0"/>
              <w:spacing w:before="0" w:beforeAutospacing="0" w:after="0" w:afterAutospacing="0" w:line="360" w:lineRule="exact"/>
              <w:ind w:left="0" w:right="0"/>
              <w:rPr>
                <w:rFonts w:hint="default" w:ascii="Times New Roman" w:hAnsi="Times New Roman"/>
                <w:color w:val="auto"/>
                <w:sz w:val="21"/>
                <w:u w:val="none"/>
              </w:rPr>
            </w:pPr>
            <w:r>
              <w:rPr>
                <w:rFonts w:hint="default" w:ascii="Times New Roman" w:hAnsi="Times New Roman"/>
                <w:color w:val="auto"/>
                <w:sz w:val="21"/>
                <w:u w:val="none"/>
              </w:rPr>
              <w:t>表</w:t>
            </w:r>
            <w:r>
              <w:rPr>
                <w:rFonts w:hint="eastAsia" w:ascii="Times New Roman" w:hAnsi="Times New Roman"/>
                <w:color w:val="auto"/>
                <w:sz w:val="21"/>
                <w:u w:val="none"/>
              </w:rPr>
              <w:t>3-</w:t>
            </w:r>
            <w:r>
              <w:rPr>
                <w:rFonts w:hint="eastAsia" w:ascii="Times New Roman" w:hAnsi="Times New Roman"/>
                <w:color w:val="auto"/>
                <w:sz w:val="21"/>
                <w:u w:val="none"/>
                <w:lang w:val="en-US" w:eastAsia="zh-CN"/>
              </w:rPr>
              <w:t xml:space="preserve">9  </w:t>
            </w:r>
            <w:r>
              <w:rPr>
                <w:rFonts w:hint="default" w:ascii="Times New Roman" w:hAnsi="Times New Roman"/>
                <w:color w:val="auto"/>
                <w:sz w:val="21"/>
                <w:u w:val="none"/>
              </w:rPr>
              <w:t>环境空气质量标准限值</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5"/>
              <w:gridCol w:w="2025"/>
              <w:gridCol w:w="1796"/>
              <w:gridCol w:w="2256"/>
            </w:tblGrid>
            <w:tr w14:paraId="3504A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Align w:val="center"/>
                </w:tcPr>
                <w:p w14:paraId="7A1C170F">
                  <w:pPr>
                    <w:keepNext w:val="0"/>
                    <w:keepLines w:val="0"/>
                    <w:suppressLineNumbers w:val="0"/>
                    <w:adjustRightInd w:val="0"/>
                    <w:snapToGrid w:val="0"/>
                    <w:spacing w:before="0" w:beforeAutospacing="0" w:after="0" w:afterAutospacing="0" w:line="320" w:lineRule="exact"/>
                    <w:ind w:left="0" w:right="0"/>
                    <w:jc w:val="center"/>
                    <w:rPr>
                      <w:rFonts w:hint="default"/>
                      <w:b/>
                      <w:bCs/>
                      <w:color w:val="auto"/>
                      <w:kern w:val="0"/>
                      <w:szCs w:val="21"/>
                      <w:u w:val="none"/>
                    </w:rPr>
                  </w:pPr>
                  <w:r>
                    <w:rPr>
                      <w:rFonts w:hint="eastAsia"/>
                      <w:b/>
                      <w:bCs/>
                      <w:color w:val="auto"/>
                      <w:kern w:val="0"/>
                      <w:szCs w:val="21"/>
                      <w:u w:val="none"/>
                    </w:rPr>
                    <w:t>评价因子</w:t>
                  </w:r>
                </w:p>
              </w:tc>
              <w:tc>
                <w:tcPr>
                  <w:tcW w:w="1249" w:type="pct"/>
                  <w:vAlign w:val="center"/>
                </w:tcPr>
                <w:p w14:paraId="0A5C4B14">
                  <w:pPr>
                    <w:keepNext w:val="0"/>
                    <w:keepLines w:val="0"/>
                    <w:suppressLineNumbers w:val="0"/>
                    <w:adjustRightInd w:val="0"/>
                    <w:snapToGrid w:val="0"/>
                    <w:spacing w:before="0" w:beforeAutospacing="0" w:after="0" w:afterAutospacing="0" w:line="320" w:lineRule="exact"/>
                    <w:ind w:left="0" w:right="0"/>
                    <w:jc w:val="center"/>
                    <w:rPr>
                      <w:rFonts w:hint="default"/>
                      <w:b/>
                      <w:bCs/>
                      <w:color w:val="auto"/>
                      <w:kern w:val="0"/>
                      <w:szCs w:val="21"/>
                      <w:u w:val="none"/>
                    </w:rPr>
                  </w:pPr>
                  <w:r>
                    <w:rPr>
                      <w:rFonts w:hint="eastAsia"/>
                      <w:b/>
                      <w:bCs/>
                      <w:color w:val="auto"/>
                      <w:kern w:val="0"/>
                      <w:szCs w:val="21"/>
                      <w:u w:val="none"/>
                    </w:rPr>
                    <w:t>评价时段</w:t>
                  </w:r>
                </w:p>
              </w:tc>
              <w:tc>
                <w:tcPr>
                  <w:tcW w:w="1108" w:type="pct"/>
                  <w:vAlign w:val="center"/>
                </w:tcPr>
                <w:p w14:paraId="246E7BD0">
                  <w:pPr>
                    <w:keepNext w:val="0"/>
                    <w:keepLines w:val="0"/>
                    <w:suppressLineNumbers w:val="0"/>
                    <w:adjustRightInd w:val="0"/>
                    <w:snapToGrid w:val="0"/>
                    <w:spacing w:before="0" w:beforeAutospacing="0" w:after="0" w:afterAutospacing="0" w:line="320" w:lineRule="exact"/>
                    <w:ind w:left="0" w:right="0"/>
                    <w:jc w:val="center"/>
                    <w:rPr>
                      <w:rFonts w:hint="default"/>
                      <w:b/>
                      <w:bCs/>
                      <w:color w:val="auto"/>
                      <w:kern w:val="0"/>
                      <w:szCs w:val="21"/>
                      <w:u w:val="none"/>
                    </w:rPr>
                  </w:pPr>
                  <w:r>
                    <w:rPr>
                      <w:rFonts w:hint="eastAsia"/>
                      <w:b/>
                      <w:bCs/>
                      <w:color w:val="auto"/>
                      <w:kern w:val="0"/>
                      <w:szCs w:val="21"/>
                      <w:u w:val="none"/>
                    </w:rPr>
                    <w:t>标准值</w:t>
                  </w:r>
                </w:p>
              </w:tc>
              <w:tc>
                <w:tcPr>
                  <w:tcW w:w="1392" w:type="pct"/>
                  <w:vAlign w:val="center"/>
                </w:tcPr>
                <w:p w14:paraId="4BC41FC6">
                  <w:pPr>
                    <w:keepNext w:val="0"/>
                    <w:keepLines w:val="0"/>
                    <w:suppressLineNumbers w:val="0"/>
                    <w:adjustRightInd w:val="0"/>
                    <w:snapToGrid w:val="0"/>
                    <w:spacing w:before="0" w:beforeAutospacing="0" w:after="0" w:afterAutospacing="0" w:line="320" w:lineRule="exact"/>
                    <w:ind w:left="0" w:right="0"/>
                    <w:jc w:val="center"/>
                    <w:rPr>
                      <w:rFonts w:hint="default"/>
                      <w:b/>
                      <w:bCs/>
                      <w:color w:val="auto"/>
                      <w:kern w:val="0"/>
                      <w:szCs w:val="21"/>
                      <w:u w:val="none"/>
                    </w:rPr>
                  </w:pPr>
                  <w:r>
                    <w:rPr>
                      <w:rFonts w:hint="default"/>
                      <w:b/>
                      <w:bCs/>
                      <w:color w:val="auto"/>
                      <w:kern w:val="0"/>
                      <w:szCs w:val="21"/>
                      <w:u w:val="none"/>
                    </w:rPr>
                    <w:t>执行标准</w:t>
                  </w:r>
                </w:p>
              </w:tc>
            </w:tr>
            <w:tr w14:paraId="5F64F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vAlign w:val="center"/>
                </w:tcPr>
                <w:p w14:paraId="45DB781B">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SO</w:t>
                  </w:r>
                  <w:r>
                    <w:rPr>
                      <w:rFonts w:hint="default"/>
                      <w:color w:val="auto"/>
                      <w:kern w:val="0"/>
                      <w:szCs w:val="21"/>
                      <w:u w:val="none"/>
                      <w:vertAlign w:val="subscript"/>
                    </w:rPr>
                    <w:t>2</w:t>
                  </w:r>
                </w:p>
              </w:tc>
              <w:tc>
                <w:tcPr>
                  <w:tcW w:w="1249" w:type="pct"/>
                  <w:vAlign w:val="center"/>
                </w:tcPr>
                <w:p w14:paraId="747C14F5">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年平均</w:t>
                  </w:r>
                </w:p>
              </w:tc>
              <w:tc>
                <w:tcPr>
                  <w:tcW w:w="1108" w:type="pct"/>
                  <w:vAlign w:val="center"/>
                </w:tcPr>
                <w:p w14:paraId="7A75E565">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60μg/m</w:t>
                  </w:r>
                  <w:r>
                    <w:rPr>
                      <w:rFonts w:hint="default"/>
                      <w:color w:val="auto"/>
                      <w:kern w:val="0"/>
                      <w:szCs w:val="21"/>
                      <w:u w:val="none"/>
                      <w:vertAlign w:val="superscript"/>
                    </w:rPr>
                    <w:t>3</w:t>
                  </w:r>
                </w:p>
              </w:tc>
              <w:tc>
                <w:tcPr>
                  <w:tcW w:w="1392" w:type="pct"/>
                  <w:vMerge w:val="restart"/>
                  <w:vAlign w:val="center"/>
                </w:tcPr>
                <w:p w14:paraId="33E5BA51">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w:t>
                  </w:r>
                  <w:r>
                    <w:rPr>
                      <w:rFonts w:hint="eastAsia"/>
                      <w:color w:val="auto"/>
                      <w:kern w:val="0"/>
                      <w:szCs w:val="21"/>
                      <w:u w:val="none"/>
                    </w:rPr>
                    <w:t>环境</w:t>
                  </w:r>
                  <w:r>
                    <w:rPr>
                      <w:rFonts w:hint="default"/>
                      <w:color w:val="auto"/>
                      <w:kern w:val="0"/>
                      <w:szCs w:val="21"/>
                      <w:u w:val="none"/>
                    </w:rPr>
                    <w:t>空气质量标准》（GB3095-2012）及其</w:t>
                  </w:r>
                  <w:r>
                    <w:rPr>
                      <w:rFonts w:hint="eastAsia"/>
                      <w:color w:val="auto"/>
                      <w:kern w:val="0"/>
                      <w:szCs w:val="21"/>
                      <w:u w:val="none"/>
                    </w:rPr>
                    <w:t>修改单</w:t>
                  </w:r>
                  <w:r>
                    <w:rPr>
                      <w:rFonts w:hint="default"/>
                      <w:color w:val="auto"/>
                      <w:kern w:val="0"/>
                      <w:szCs w:val="21"/>
                      <w:u w:val="none"/>
                    </w:rPr>
                    <w:t>二级标准</w:t>
                  </w:r>
                </w:p>
              </w:tc>
            </w:tr>
            <w:tr w14:paraId="132DA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0022A853">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c>
                <w:tcPr>
                  <w:tcW w:w="1249" w:type="pct"/>
                  <w:vAlign w:val="center"/>
                </w:tcPr>
                <w:p w14:paraId="2B2B7136">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24小时平均</w:t>
                  </w:r>
                </w:p>
              </w:tc>
              <w:tc>
                <w:tcPr>
                  <w:tcW w:w="1108" w:type="pct"/>
                  <w:vAlign w:val="center"/>
                </w:tcPr>
                <w:p w14:paraId="5EC3395D">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150μg/m</w:t>
                  </w:r>
                  <w:r>
                    <w:rPr>
                      <w:rFonts w:hint="default"/>
                      <w:color w:val="auto"/>
                      <w:kern w:val="0"/>
                      <w:szCs w:val="21"/>
                      <w:u w:val="none"/>
                      <w:vertAlign w:val="superscript"/>
                    </w:rPr>
                    <w:t>3</w:t>
                  </w:r>
                </w:p>
              </w:tc>
              <w:tc>
                <w:tcPr>
                  <w:tcW w:w="1392" w:type="pct"/>
                  <w:vMerge w:val="continue"/>
                  <w:vAlign w:val="center"/>
                </w:tcPr>
                <w:p w14:paraId="4966C167">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29A9E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4BE63E61">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c>
                <w:tcPr>
                  <w:tcW w:w="1249" w:type="pct"/>
                  <w:vAlign w:val="center"/>
                </w:tcPr>
                <w:p w14:paraId="77925961">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1小时平均</w:t>
                  </w:r>
                </w:p>
              </w:tc>
              <w:tc>
                <w:tcPr>
                  <w:tcW w:w="1108" w:type="pct"/>
                  <w:vAlign w:val="center"/>
                </w:tcPr>
                <w:p w14:paraId="672F6F67">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500μg/m</w:t>
                  </w:r>
                  <w:r>
                    <w:rPr>
                      <w:rFonts w:hint="default"/>
                      <w:color w:val="auto"/>
                      <w:kern w:val="0"/>
                      <w:szCs w:val="21"/>
                      <w:u w:val="none"/>
                      <w:vertAlign w:val="superscript"/>
                    </w:rPr>
                    <w:t>3</w:t>
                  </w:r>
                </w:p>
              </w:tc>
              <w:tc>
                <w:tcPr>
                  <w:tcW w:w="1392" w:type="pct"/>
                  <w:vMerge w:val="continue"/>
                  <w:vAlign w:val="center"/>
                </w:tcPr>
                <w:p w14:paraId="21A4A417">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16638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vAlign w:val="center"/>
                </w:tcPr>
                <w:p w14:paraId="1B5342EA">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NO</w:t>
                  </w:r>
                  <w:r>
                    <w:rPr>
                      <w:rFonts w:hint="default"/>
                      <w:color w:val="auto"/>
                      <w:kern w:val="0"/>
                      <w:szCs w:val="21"/>
                      <w:u w:val="none"/>
                      <w:vertAlign w:val="subscript"/>
                    </w:rPr>
                    <w:t>2</w:t>
                  </w:r>
                </w:p>
              </w:tc>
              <w:tc>
                <w:tcPr>
                  <w:tcW w:w="1249" w:type="pct"/>
                  <w:vAlign w:val="center"/>
                </w:tcPr>
                <w:p w14:paraId="38543867">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年平均</w:t>
                  </w:r>
                </w:p>
              </w:tc>
              <w:tc>
                <w:tcPr>
                  <w:tcW w:w="1108" w:type="pct"/>
                  <w:vAlign w:val="center"/>
                </w:tcPr>
                <w:p w14:paraId="02368FE4">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40μg/m</w:t>
                  </w:r>
                  <w:r>
                    <w:rPr>
                      <w:rFonts w:hint="default"/>
                      <w:color w:val="auto"/>
                      <w:kern w:val="0"/>
                      <w:szCs w:val="21"/>
                      <w:u w:val="none"/>
                      <w:vertAlign w:val="superscript"/>
                    </w:rPr>
                    <w:t>3</w:t>
                  </w:r>
                </w:p>
              </w:tc>
              <w:tc>
                <w:tcPr>
                  <w:tcW w:w="1392" w:type="pct"/>
                  <w:vMerge w:val="continue"/>
                  <w:vAlign w:val="center"/>
                </w:tcPr>
                <w:p w14:paraId="00C4915A">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17EC4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1C2C021F">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c>
                <w:tcPr>
                  <w:tcW w:w="1249" w:type="pct"/>
                  <w:vAlign w:val="center"/>
                </w:tcPr>
                <w:p w14:paraId="65AF3D5D">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24小时平均</w:t>
                  </w:r>
                </w:p>
              </w:tc>
              <w:tc>
                <w:tcPr>
                  <w:tcW w:w="1108" w:type="pct"/>
                  <w:vAlign w:val="center"/>
                </w:tcPr>
                <w:p w14:paraId="08297C49">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80μg/m</w:t>
                  </w:r>
                  <w:r>
                    <w:rPr>
                      <w:rFonts w:hint="default"/>
                      <w:color w:val="auto"/>
                      <w:kern w:val="0"/>
                      <w:szCs w:val="21"/>
                      <w:u w:val="none"/>
                      <w:vertAlign w:val="superscript"/>
                    </w:rPr>
                    <w:t>3</w:t>
                  </w:r>
                </w:p>
              </w:tc>
              <w:tc>
                <w:tcPr>
                  <w:tcW w:w="1392" w:type="pct"/>
                  <w:vMerge w:val="continue"/>
                  <w:vAlign w:val="center"/>
                </w:tcPr>
                <w:p w14:paraId="362A619D">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3E8C5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6E4E9E73">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c>
                <w:tcPr>
                  <w:tcW w:w="1249" w:type="pct"/>
                  <w:vAlign w:val="center"/>
                </w:tcPr>
                <w:p w14:paraId="409222DB">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1小时平均</w:t>
                  </w:r>
                </w:p>
              </w:tc>
              <w:tc>
                <w:tcPr>
                  <w:tcW w:w="1108" w:type="pct"/>
                  <w:vAlign w:val="center"/>
                </w:tcPr>
                <w:p w14:paraId="16EEA79F">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200μg/m</w:t>
                  </w:r>
                  <w:r>
                    <w:rPr>
                      <w:rFonts w:hint="default"/>
                      <w:color w:val="auto"/>
                      <w:kern w:val="0"/>
                      <w:szCs w:val="21"/>
                      <w:u w:val="none"/>
                      <w:vertAlign w:val="superscript"/>
                    </w:rPr>
                    <w:t>3</w:t>
                  </w:r>
                </w:p>
              </w:tc>
              <w:tc>
                <w:tcPr>
                  <w:tcW w:w="1392" w:type="pct"/>
                  <w:vMerge w:val="continue"/>
                  <w:vAlign w:val="center"/>
                </w:tcPr>
                <w:p w14:paraId="757B5D54">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07B26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vAlign w:val="center"/>
                </w:tcPr>
                <w:p w14:paraId="3BEA22D1">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PM</w:t>
                  </w:r>
                  <w:r>
                    <w:rPr>
                      <w:rFonts w:hint="default"/>
                      <w:color w:val="auto"/>
                      <w:kern w:val="0"/>
                      <w:szCs w:val="21"/>
                      <w:u w:val="none"/>
                      <w:vertAlign w:val="subscript"/>
                    </w:rPr>
                    <w:t>10</w:t>
                  </w:r>
                </w:p>
              </w:tc>
              <w:tc>
                <w:tcPr>
                  <w:tcW w:w="1249" w:type="pct"/>
                  <w:vAlign w:val="center"/>
                </w:tcPr>
                <w:p w14:paraId="05A3BF99">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年平均</w:t>
                  </w:r>
                </w:p>
              </w:tc>
              <w:tc>
                <w:tcPr>
                  <w:tcW w:w="1108" w:type="pct"/>
                  <w:vAlign w:val="center"/>
                </w:tcPr>
                <w:p w14:paraId="7FC64844">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70μg/m</w:t>
                  </w:r>
                  <w:r>
                    <w:rPr>
                      <w:rFonts w:hint="default"/>
                      <w:color w:val="auto"/>
                      <w:kern w:val="0"/>
                      <w:szCs w:val="21"/>
                      <w:u w:val="none"/>
                      <w:vertAlign w:val="superscript"/>
                    </w:rPr>
                    <w:t>3</w:t>
                  </w:r>
                </w:p>
              </w:tc>
              <w:tc>
                <w:tcPr>
                  <w:tcW w:w="1392" w:type="pct"/>
                  <w:vMerge w:val="continue"/>
                  <w:vAlign w:val="center"/>
                </w:tcPr>
                <w:p w14:paraId="6E3B063B">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77FE6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63FCEB15">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c>
                <w:tcPr>
                  <w:tcW w:w="1249" w:type="pct"/>
                  <w:vAlign w:val="center"/>
                </w:tcPr>
                <w:p w14:paraId="736D8FE3">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24小时平均</w:t>
                  </w:r>
                </w:p>
              </w:tc>
              <w:tc>
                <w:tcPr>
                  <w:tcW w:w="1108" w:type="pct"/>
                  <w:vAlign w:val="center"/>
                </w:tcPr>
                <w:p w14:paraId="0A79120E">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150μg/m</w:t>
                  </w:r>
                  <w:r>
                    <w:rPr>
                      <w:rFonts w:hint="default"/>
                      <w:color w:val="auto"/>
                      <w:kern w:val="0"/>
                      <w:szCs w:val="21"/>
                      <w:u w:val="none"/>
                      <w:vertAlign w:val="superscript"/>
                    </w:rPr>
                    <w:t>3</w:t>
                  </w:r>
                </w:p>
              </w:tc>
              <w:tc>
                <w:tcPr>
                  <w:tcW w:w="1392" w:type="pct"/>
                  <w:vMerge w:val="continue"/>
                  <w:vAlign w:val="center"/>
                </w:tcPr>
                <w:p w14:paraId="55AD29BC">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1539A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vAlign w:val="center"/>
                </w:tcPr>
                <w:p w14:paraId="526A4985">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PM</w:t>
                  </w:r>
                  <w:r>
                    <w:rPr>
                      <w:rFonts w:hint="default"/>
                      <w:color w:val="auto"/>
                      <w:kern w:val="0"/>
                      <w:szCs w:val="21"/>
                      <w:u w:val="none"/>
                      <w:vertAlign w:val="subscript"/>
                    </w:rPr>
                    <w:t>2.5</w:t>
                  </w:r>
                </w:p>
              </w:tc>
              <w:tc>
                <w:tcPr>
                  <w:tcW w:w="1249" w:type="pct"/>
                  <w:vAlign w:val="center"/>
                </w:tcPr>
                <w:p w14:paraId="1077A24E">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年平均</w:t>
                  </w:r>
                </w:p>
              </w:tc>
              <w:tc>
                <w:tcPr>
                  <w:tcW w:w="1108" w:type="pct"/>
                  <w:vAlign w:val="center"/>
                </w:tcPr>
                <w:p w14:paraId="5F91E774">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35μg/m</w:t>
                  </w:r>
                  <w:r>
                    <w:rPr>
                      <w:rFonts w:hint="default"/>
                      <w:color w:val="auto"/>
                      <w:kern w:val="0"/>
                      <w:szCs w:val="21"/>
                      <w:u w:val="none"/>
                      <w:vertAlign w:val="superscript"/>
                    </w:rPr>
                    <w:t>3</w:t>
                  </w:r>
                </w:p>
              </w:tc>
              <w:tc>
                <w:tcPr>
                  <w:tcW w:w="1392" w:type="pct"/>
                  <w:vMerge w:val="continue"/>
                  <w:vAlign w:val="center"/>
                </w:tcPr>
                <w:p w14:paraId="13C9B23F">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7D809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1F58F62D">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c>
                <w:tcPr>
                  <w:tcW w:w="1249" w:type="pct"/>
                  <w:vAlign w:val="center"/>
                </w:tcPr>
                <w:p w14:paraId="50CACE5B">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24小时平均</w:t>
                  </w:r>
                </w:p>
              </w:tc>
              <w:tc>
                <w:tcPr>
                  <w:tcW w:w="1108" w:type="pct"/>
                  <w:vAlign w:val="center"/>
                </w:tcPr>
                <w:p w14:paraId="4242ED4E">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75μg/m</w:t>
                  </w:r>
                  <w:r>
                    <w:rPr>
                      <w:rFonts w:hint="default"/>
                      <w:color w:val="auto"/>
                      <w:kern w:val="0"/>
                      <w:szCs w:val="21"/>
                      <w:u w:val="none"/>
                      <w:vertAlign w:val="superscript"/>
                    </w:rPr>
                    <w:t>3</w:t>
                  </w:r>
                </w:p>
              </w:tc>
              <w:tc>
                <w:tcPr>
                  <w:tcW w:w="1392" w:type="pct"/>
                  <w:vMerge w:val="continue"/>
                  <w:vAlign w:val="center"/>
                </w:tcPr>
                <w:p w14:paraId="100DE3D4">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7DB46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vAlign w:val="center"/>
                </w:tcPr>
                <w:p w14:paraId="34F34901">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CO</w:t>
                  </w:r>
                </w:p>
              </w:tc>
              <w:tc>
                <w:tcPr>
                  <w:tcW w:w="1249" w:type="pct"/>
                  <w:vAlign w:val="center"/>
                </w:tcPr>
                <w:p w14:paraId="4800A363">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24小时平均</w:t>
                  </w:r>
                </w:p>
              </w:tc>
              <w:tc>
                <w:tcPr>
                  <w:tcW w:w="1108" w:type="pct"/>
                  <w:vAlign w:val="center"/>
                </w:tcPr>
                <w:p w14:paraId="5160D1C0">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4mg/m</w:t>
                  </w:r>
                  <w:r>
                    <w:rPr>
                      <w:rFonts w:hint="default"/>
                      <w:color w:val="auto"/>
                      <w:kern w:val="0"/>
                      <w:szCs w:val="21"/>
                      <w:u w:val="none"/>
                      <w:vertAlign w:val="superscript"/>
                    </w:rPr>
                    <w:t>3</w:t>
                  </w:r>
                </w:p>
              </w:tc>
              <w:tc>
                <w:tcPr>
                  <w:tcW w:w="1392" w:type="pct"/>
                  <w:vMerge w:val="continue"/>
                  <w:vAlign w:val="center"/>
                </w:tcPr>
                <w:p w14:paraId="3E0D4EE8">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057C7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29184CB0">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c>
                <w:tcPr>
                  <w:tcW w:w="1249" w:type="pct"/>
                  <w:vAlign w:val="center"/>
                </w:tcPr>
                <w:p w14:paraId="3CBEC3EE">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1小时平均</w:t>
                  </w:r>
                </w:p>
              </w:tc>
              <w:tc>
                <w:tcPr>
                  <w:tcW w:w="1108" w:type="pct"/>
                  <w:vAlign w:val="center"/>
                </w:tcPr>
                <w:p w14:paraId="75A074A6">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10mg/m</w:t>
                  </w:r>
                  <w:r>
                    <w:rPr>
                      <w:rFonts w:hint="default"/>
                      <w:color w:val="auto"/>
                      <w:kern w:val="0"/>
                      <w:szCs w:val="21"/>
                      <w:u w:val="none"/>
                      <w:vertAlign w:val="superscript"/>
                    </w:rPr>
                    <w:t>3</w:t>
                  </w:r>
                </w:p>
              </w:tc>
              <w:tc>
                <w:tcPr>
                  <w:tcW w:w="1392" w:type="pct"/>
                  <w:vMerge w:val="continue"/>
                  <w:vAlign w:val="center"/>
                </w:tcPr>
                <w:p w14:paraId="68CF7D5A">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3F439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vAlign w:val="center"/>
                </w:tcPr>
                <w:p w14:paraId="4ABB2798">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O</w:t>
                  </w:r>
                  <w:r>
                    <w:rPr>
                      <w:rFonts w:hint="default"/>
                      <w:color w:val="auto"/>
                      <w:kern w:val="0"/>
                      <w:szCs w:val="21"/>
                      <w:u w:val="none"/>
                      <w:vertAlign w:val="subscript"/>
                    </w:rPr>
                    <w:t>3</w:t>
                  </w:r>
                </w:p>
              </w:tc>
              <w:tc>
                <w:tcPr>
                  <w:tcW w:w="1249" w:type="pct"/>
                  <w:vAlign w:val="center"/>
                </w:tcPr>
                <w:p w14:paraId="400ED50D">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日最大8小时平均</w:t>
                  </w:r>
                </w:p>
              </w:tc>
              <w:tc>
                <w:tcPr>
                  <w:tcW w:w="1108" w:type="pct"/>
                  <w:vAlign w:val="center"/>
                </w:tcPr>
                <w:p w14:paraId="147BC42F">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160µg/m</w:t>
                  </w:r>
                  <w:r>
                    <w:rPr>
                      <w:rFonts w:hint="default"/>
                      <w:color w:val="auto"/>
                      <w:kern w:val="0"/>
                      <w:szCs w:val="21"/>
                      <w:u w:val="none"/>
                      <w:vertAlign w:val="superscript"/>
                    </w:rPr>
                    <w:t>3</w:t>
                  </w:r>
                </w:p>
              </w:tc>
              <w:tc>
                <w:tcPr>
                  <w:tcW w:w="1392" w:type="pct"/>
                  <w:vMerge w:val="continue"/>
                  <w:vAlign w:val="center"/>
                </w:tcPr>
                <w:p w14:paraId="4D595477">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14360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2D529CB2">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c>
                <w:tcPr>
                  <w:tcW w:w="1249" w:type="pct"/>
                  <w:vAlign w:val="center"/>
                </w:tcPr>
                <w:p w14:paraId="32762010">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1小时平均</w:t>
                  </w:r>
                </w:p>
              </w:tc>
              <w:tc>
                <w:tcPr>
                  <w:tcW w:w="1108" w:type="pct"/>
                  <w:vAlign w:val="center"/>
                </w:tcPr>
                <w:p w14:paraId="027FCA2C">
                  <w:pPr>
                    <w:keepNext w:val="0"/>
                    <w:keepLines w:val="0"/>
                    <w:suppressLineNumbers w:val="0"/>
                    <w:adjustRightInd w:val="0"/>
                    <w:snapToGrid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200μg/m</w:t>
                  </w:r>
                  <w:r>
                    <w:rPr>
                      <w:rFonts w:hint="default"/>
                      <w:color w:val="auto"/>
                      <w:kern w:val="0"/>
                      <w:szCs w:val="21"/>
                      <w:u w:val="none"/>
                      <w:vertAlign w:val="superscript"/>
                    </w:rPr>
                    <w:t>3</w:t>
                  </w:r>
                </w:p>
              </w:tc>
              <w:tc>
                <w:tcPr>
                  <w:tcW w:w="1392" w:type="pct"/>
                  <w:vMerge w:val="continue"/>
                  <w:vAlign w:val="center"/>
                </w:tcPr>
                <w:p w14:paraId="2A09443D">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73011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vAlign w:val="center"/>
                </w:tcPr>
                <w:p w14:paraId="5D119F71">
                  <w:pPr>
                    <w:keepNext w:val="0"/>
                    <w:keepLines w:val="0"/>
                    <w:suppressLineNumbers w:val="0"/>
                    <w:spacing w:before="0" w:beforeAutospacing="0" w:after="0" w:afterAutospacing="0" w:line="320" w:lineRule="exact"/>
                    <w:ind w:left="0" w:right="0"/>
                    <w:jc w:val="center"/>
                    <w:rPr>
                      <w:rFonts w:hint="default" w:eastAsia="宋体"/>
                      <w:color w:val="auto"/>
                      <w:kern w:val="0"/>
                      <w:szCs w:val="21"/>
                      <w:u w:val="none"/>
                      <w:lang w:val="en-US" w:eastAsia="zh-CN"/>
                    </w:rPr>
                  </w:pPr>
                  <w:r>
                    <w:rPr>
                      <w:rFonts w:hint="eastAsia"/>
                      <w:color w:val="auto"/>
                      <w:kern w:val="0"/>
                      <w:szCs w:val="21"/>
                      <w:u w:val="none"/>
                      <w:lang w:val="en-US" w:eastAsia="zh-CN"/>
                    </w:rPr>
                    <w:t>TSP</w:t>
                  </w:r>
                </w:p>
              </w:tc>
              <w:tc>
                <w:tcPr>
                  <w:tcW w:w="1249" w:type="pct"/>
                  <w:vAlign w:val="center"/>
                </w:tcPr>
                <w:p w14:paraId="18D54DE6">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u w:val="none"/>
                      <w:lang w:val="en-US" w:eastAsia="zh-CN" w:bidi="ar-SA"/>
                    </w:rPr>
                  </w:pPr>
                  <w:r>
                    <w:rPr>
                      <w:rFonts w:hint="default"/>
                      <w:color w:val="auto"/>
                      <w:kern w:val="0"/>
                      <w:szCs w:val="21"/>
                      <w:u w:val="none"/>
                    </w:rPr>
                    <w:t>年平均</w:t>
                  </w:r>
                </w:p>
              </w:tc>
              <w:tc>
                <w:tcPr>
                  <w:tcW w:w="1108" w:type="pct"/>
                  <w:vAlign w:val="center"/>
                </w:tcPr>
                <w:p w14:paraId="33A60749">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u w:val="none"/>
                      <w:lang w:val="en-US" w:eastAsia="zh-CN" w:bidi="ar-SA"/>
                    </w:rPr>
                  </w:pPr>
                  <w:r>
                    <w:rPr>
                      <w:rFonts w:hint="eastAsia"/>
                      <w:color w:val="auto"/>
                      <w:kern w:val="0"/>
                      <w:szCs w:val="21"/>
                      <w:u w:val="none"/>
                      <w:lang w:val="en-US" w:eastAsia="zh-CN"/>
                    </w:rPr>
                    <w:t>200</w:t>
                  </w:r>
                  <w:r>
                    <w:rPr>
                      <w:rFonts w:hint="default"/>
                      <w:color w:val="auto"/>
                      <w:kern w:val="0"/>
                      <w:szCs w:val="21"/>
                      <w:u w:val="none"/>
                    </w:rPr>
                    <w:t>μg/m</w:t>
                  </w:r>
                  <w:r>
                    <w:rPr>
                      <w:rFonts w:hint="default"/>
                      <w:color w:val="auto"/>
                      <w:kern w:val="0"/>
                      <w:szCs w:val="21"/>
                      <w:u w:val="none"/>
                      <w:vertAlign w:val="superscript"/>
                    </w:rPr>
                    <w:t>3</w:t>
                  </w:r>
                </w:p>
              </w:tc>
              <w:tc>
                <w:tcPr>
                  <w:tcW w:w="1392" w:type="pct"/>
                  <w:vMerge w:val="continue"/>
                  <w:vAlign w:val="center"/>
                </w:tcPr>
                <w:p w14:paraId="1CDE95AA">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25069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vAlign w:val="center"/>
                </w:tcPr>
                <w:p w14:paraId="51D47282">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c>
                <w:tcPr>
                  <w:tcW w:w="1249" w:type="pct"/>
                  <w:vAlign w:val="center"/>
                </w:tcPr>
                <w:p w14:paraId="4D79EB2E">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u w:val="none"/>
                      <w:lang w:val="en-US" w:eastAsia="zh-CN" w:bidi="ar-SA"/>
                    </w:rPr>
                  </w:pPr>
                  <w:r>
                    <w:rPr>
                      <w:rFonts w:hint="default"/>
                      <w:color w:val="auto"/>
                      <w:kern w:val="0"/>
                      <w:szCs w:val="21"/>
                      <w:u w:val="none"/>
                    </w:rPr>
                    <w:t>24小时平均</w:t>
                  </w:r>
                </w:p>
              </w:tc>
              <w:tc>
                <w:tcPr>
                  <w:tcW w:w="1108" w:type="pct"/>
                  <w:vAlign w:val="center"/>
                </w:tcPr>
                <w:p w14:paraId="23950E7D">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u w:val="none"/>
                      <w:lang w:val="en-US" w:eastAsia="zh-CN" w:bidi="ar-SA"/>
                    </w:rPr>
                  </w:pPr>
                  <w:r>
                    <w:rPr>
                      <w:rFonts w:hint="eastAsia"/>
                      <w:color w:val="auto"/>
                      <w:kern w:val="0"/>
                      <w:szCs w:val="21"/>
                      <w:u w:val="none"/>
                      <w:lang w:val="en-US" w:eastAsia="zh-CN"/>
                    </w:rPr>
                    <w:t>30</w:t>
                  </w:r>
                  <w:r>
                    <w:rPr>
                      <w:rFonts w:hint="default"/>
                      <w:color w:val="auto"/>
                      <w:kern w:val="0"/>
                      <w:szCs w:val="21"/>
                      <w:u w:val="none"/>
                    </w:rPr>
                    <w:t>0μg/m</w:t>
                  </w:r>
                  <w:r>
                    <w:rPr>
                      <w:rFonts w:hint="default"/>
                      <w:color w:val="auto"/>
                      <w:kern w:val="0"/>
                      <w:szCs w:val="21"/>
                      <w:u w:val="none"/>
                      <w:vertAlign w:val="superscript"/>
                    </w:rPr>
                    <w:t>3</w:t>
                  </w:r>
                </w:p>
              </w:tc>
              <w:tc>
                <w:tcPr>
                  <w:tcW w:w="1392" w:type="pct"/>
                  <w:vMerge w:val="continue"/>
                  <w:vAlign w:val="center"/>
                </w:tcPr>
                <w:p w14:paraId="054BC43B">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r w14:paraId="6367C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Align w:val="center"/>
                </w:tcPr>
                <w:p w14:paraId="466D68B9">
                  <w:pPr>
                    <w:keepNext w:val="0"/>
                    <w:keepLines w:val="0"/>
                    <w:suppressLineNumbers w:val="0"/>
                    <w:spacing w:before="0" w:beforeAutospacing="0" w:after="0" w:afterAutospacing="0" w:line="320" w:lineRule="exact"/>
                    <w:ind w:left="0" w:right="0"/>
                    <w:jc w:val="center"/>
                    <w:rPr>
                      <w:rFonts w:hint="eastAsia" w:eastAsia="宋体"/>
                      <w:color w:val="auto"/>
                      <w:kern w:val="0"/>
                      <w:szCs w:val="21"/>
                      <w:u w:val="none"/>
                      <w:lang w:val="en-US" w:eastAsia="zh-CN"/>
                    </w:rPr>
                  </w:pPr>
                  <w:r>
                    <w:rPr>
                      <w:rFonts w:hint="eastAsia"/>
                      <w:color w:val="auto"/>
                      <w:kern w:val="0"/>
                      <w:szCs w:val="21"/>
                      <w:u w:val="none"/>
                      <w:lang w:val="en-US" w:eastAsia="zh-CN"/>
                    </w:rPr>
                    <w:t>氨</w:t>
                  </w:r>
                </w:p>
              </w:tc>
              <w:tc>
                <w:tcPr>
                  <w:tcW w:w="1249" w:type="pct"/>
                  <w:vAlign w:val="center"/>
                </w:tcPr>
                <w:p w14:paraId="08EEBB4A">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color w:val="auto"/>
                      <w:kern w:val="0"/>
                      <w:szCs w:val="21"/>
                      <w:u w:val="none"/>
                    </w:rPr>
                  </w:pPr>
                  <w:r>
                    <w:rPr>
                      <w:rFonts w:hint="default"/>
                      <w:color w:val="auto"/>
                      <w:kern w:val="0"/>
                      <w:szCs w:val="21"/>
                      <w:u w:val="none"/>
                    </w:rPr>
                    <w:t>1小时平均</w:t>
                  </w:r>
                </w:p>
              </w:tc>
              <w:tc>
                <w:tcPr>
                  <w:tcW w:w="1108" w:type="pct"/>
                  <w:vAlign w:val="center"/>
                </w:tcPr>
                <w:p w14:paraId="25E8EB80">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color w:val="auto"/>
                      <w:kern w:val="0"/>
                      <w:szCs w:val="21"/>
                      <w:u w:val="none"/>
                      <w:lang w:val="en-US" w:eastAsia="zh-CN"/>
                    </w:rPr>
                  </w:pPr>
                  <w:r>
                    <w:rPr>
                      <w:rFonts w:hint="eastAsia"/>
                      <w:color w:val="auto"/>
                      <w:kern w:val="0"/>
                      <w:szCs w:val="21"/>
                      <w:u w:val="none"/>
                      <w:lang w:val="en-US" w:eastAsia="zh-CN"/>
                    </w:rPr>
                    <w:t>200</w:t>
                  </w:r>
                </w:p>
              </w:tc>
              <w:tc>
                <w:tcPr>
                  <w:tcW w:w="1392" w:type="pct"/>
                  <w:vMerge w:val="restart"/>
                  <w:vAlign w:val="center"/>
                </w:tcPr>
                <w:p w14:paraId="229BA23D">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r>
                    <w:rPr>
                      <w:rFonts w:hint="default"/>
                      <w:color w:val="auto"/>
                      <w:kern w:val="0"/>
                      <w:szCs w:val="21"/>
                      <w:u w:val="none"/>
                    </w:rPr>
                    <w:t>《环境影响评价技术导则 大气环境》</w:t>
                  </w:r>
                  <w:r>
                    <w:rPr>
                      <w:rFonts w:hint="eastAsia"/>
                      <w:color w:val="auto"/>
                      <w:kern w:val="0"/>
                      <w:szCs w:val="21"/>
                      <w:u w:val="none"/>
                      <w:lang w:eastAsia="zh-CN"/>
                    </w:rPr>
                    <w:t>（</w:t>
                  </w:r>
                  <w:r>
                    <w:rPr>
                      <w:rFonts w:hint="default"/>
                      <w:color w:val="auto"/>
                      <w:kern w:val="0"/>
                      <w:szCs w:val="21"/>
                      <w:u w:val="none"/>
                    </w:rPr>
                    <w:t>HJ2.2-2018</w:t>
                  </w:r>
                  <w:r>
                    <w:rPr>
                      <w:rFonts w:hint="eastAsia"/>
                      <w:color w:val="auto"/>
                      <w:kern w:val="0"/>
                      <w:szCs w:val="21"/>
                      <w:u w:val="none"/>
                      <w:lang w:eastAsia="zh-CN"/>
                    </w:rPr>
                    <w:t>）</w:t>
                  </w:r>
                  <w:r>
                    <w:rPr>
                      <w:rFonts w:hint="default"/>
                      <w:color w:val="auto"/>
                      <w:kern w:val="0"/>
                      <w:szCs w:val="21"/>
                      <w:u w:val="none"/>
                    </w:rPr>
                    <w:t>附录D</w:t>
                  </w:r>
                </w:p>
              </w:tc>
            </w:tr>
            <w:tr w14:paraId="4E417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9" w:type="pct"/>
                  <w:vAlign w:val="center"/>
                </w:tcPr>
                <w:p w14:paraId="11283642">
                  <w:pPr>
                    <w:keepNext w:val="0"/>
                    <w:keepLines w:val="0"/>
                    <w:suppressLineNumbers w:val="0"/>
                    <w:spacing w:before="0" w:beforeAutospacing="0" w:after="0" w:afterAutospacing="0" w:line="320" w:lineRule="exact"/>
                    <w:ind w:left="0" w:right="0"/>
                    <w:jc w:val="center"/>
                    <w:rPr>
                      <w:rFonts w:hint="eastAsia" w:eastAsia="宋体"/>
                      <w:color w:val="auto"/>
                      <w:kern w:val="0"/>
                      <w:szCs w:val="21"/>
                      <w:u w:val="none"/>
                      <w:lang w:val="en-US" w:eastAsia="zh-CN"/>
                    </w:rPr>
                  </w:pPr>
                  <w:r>
                    <w:rPr>
                      <w:rFonts w:hint="eastAsia"/>
                      <w:color w:val="auto"/>
                      <w:kern w:val="0"/>
                      <w:szCs w:val="21"/>
                      <w:u w:val="none"/>
                      <w:lang w:val="en-US" w:eastAsia="zh-CN"/>
                    </w:rPr>
                    <w:t>硫化氢</w:t>
                  </w:r>
                </w:p>
              </w:tc>
              <w:tc>
                <w:tcPr>
                  <w:tcW w:w="1249" w:type="pct"/>
                  <w:vAlign w:val="center"/>
                </w:tcPr>
                <w:p w14:paraId="381BE19C">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color w:val="auto"/>
                      <w:kern w:val="0"/>
                      <w:szCs w:val="21"/>
                      <w:u w:val="none"/>
                    </w:rPr>
                  </w:pPr>
                  <w:r>
                    <w:rPr>
                      <w:rFonts w:hint="default"/>
                      <w:color w:val="auto"/>
                      <w:kern w:val="0"/>
                      <w:szCs w:val="21"/>
                      <w:u w:val="none"/>
                    </w:rPr>
                    <w:t>1小时平均</w:t>
                  </w:r>
                </w:p>
              </w:tc>
              <w:tc>
                <w:tcPr>
                  <w:tcW w:w="1108" w:type="pct"/>
                  <w:vAlign w:val="center"/>
                </w:tcPr>
                <w:p w14:paraId="3BC0C73A">
                  <w:pPr>
                    <w:keepNext w:val="0"/>
                    <w:keepLines w:val="0"/>
                    <w:suppressLineNumbers w:val="0"/>
                    <w:adjustRightInd w:val="0"/>
                    <w:snapToGrid w:val="0"/>
                    <w:spacing w:before="0" w:beforeAutospacing="0" w:after="0" w:afterAutospacing="0" w:line="320" w:lineRule="exact"/>
                    <w:ind w:left="0" w:leftChars="0" w:right="0" w:rightChars="0"/>
                    <w:jc w:val="center"/>
                    <w:rPr>
                      <w:rFonts w:hint="default"/>
                      <w:color w:val="auto"/>
                      <w:kern w:val="0"/>
                      <w:szCs w:val="21"/>
                      <w:u w:val="none"/>
                      <w:lang w:val="en-US" w:eastAsia="zh-CN"/>
                    </w:rPr>
                  </w:pPr>
                  <w:r>
                    <w:rPr>
                      <w:rFonts w:hint="eastAsia"/>
                      <w:color w:val="auto"/>
                      <w:kern w:val="0"/>
                      <w:szCs w:val="21"/>
                      <w:u w:val="none"/>
                      <w:lang w:val="en-US" w:eastAsia="zh-CN"/>
                    </w:rPr>
                    <w:t>10</w:t>
                  </w:r>
                </w:p>
              </w:tc>
              <w:tc>
                <w:tcPr>
                  <w:tcW w:w="1392" w:type="pct"/>
                  <w:vMerge w:val="continue"/>
                  <w:vAlign w:val="center"/>
                </w:tcPr>
                <w:p w14:paraId="2A9DEB9A">
                  <w:pPr>
                    <w:keepNext w:val="0"/>
                    <w:keepLines w:val="0"/>
                    <w:suppressLineNumbers w:val="0"/>
                    <w:spacing w:before="0" w:beforeAutospacing="0" w:after="0" w:afterAutospacing="0" w:line="320" w:lineRule="exact"/>
                    <w:ind w:left="0" w:right="0"/>
                    <w:jc w:val="center"/>
                    <w:rPr>
                      <w:rFonts w:hint="default"/>
                      <w:color w:val="auto"/>
                      <w:kern w:val="0"/>
                      <w:szCs w:val="21"/>
                      <w:u w:val="none"/>
                    </w:rPr>
                  </w:pPr>
                </w:p>
              </w:tc>
            </w:tr>
          </w:tbl>
          <w:p w14:paraId="616FC5FD">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val="0"/>
                <w:color w:val="auto"/>
                <w:sz w:val="24"/>
                <w:u w:val="single"/>
              </w:rPr>
            </w:pPr>
            <w:r>
              <w:rPr>
                <w:rFonts w:hint="eastAsia"/>
                <w:b/>
                <w:bCs w:val="0"/>
                <w:color w:val="auto"/>
                <w:sz w:val="24"/>
                <w:u w:val="single"/>
                <w:lang w:val="en-US" w:eastAsia="zh-CN"/>
              </w:rPr>
              <w:t>1.2</w:t>
            </w:r>
            <w:r>
              <w:rPr>
                <w:rFonts w:hint="eastAsia"/>
                <w:b/>
                <w:bCs w:val="0"/>
                <w:color w:val="auto"/>
                <w:sz w:val="24"/>
                <w:u w:val="single"/>
              </w:rPr>
              <w:t>地表水质量标准</w:t>
            </w:r>
          </w:p>
          <w:p w14:paraId="51B18A99">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color w:val="auto"/>
                <w:spacing w:val="-2"/>
                <w:sz w:val="24"/>
                <w:u w:val="single"/>
              </w:rPr>
            </w:pPr>
            <w:r>
              <w:rPr>
                <w:rFonts w:hint="default"/>
                <w:color w:val="auto"/>
                <w:spacing w:val="-2"/>
                <w:sz w:val="24"/>
                <w:u w:val="single"/>
              </w:rPr>
              <w:t>水环境质量执行《地表水环境质量标准》表1中Ⅲ类标准</w:t>
            </w:r>
            <w:r>
              <w:rPr>
                <w:rFonts w:hint="eastAsia"/>
                <w:color w:val="auto"/>
                <w:spacing w:val="-2"/>
                <w:sz w:val="24"/>
                <w:u w:val="single"/>
                <w:lang w:eastAsia="zh-CN"/>
              </w:rPr>
              <w:t>，</w:t>
            </w:r>
            <w:r>
              <w:rPr>
                <w:rFonts w:hint="default"/>
                <w:color w:val="auto"/>
                <w:spacing w:val="-2"/>
                <w:sz w:val="24"/>
                <w:u w:val="single"/>
              </w:rPr>
              <w:t>具体标准值详见</w:t>
            </w:r>
            <w:r>
              <w:rPr>
                <w:rFonts w:hint="eastAsia"/>
                <w:color w:val="auto"/>
                <w:spacing w:val="-2"/>
                <w:sz w:val="24"/>
                <w:u w:val="single"/>
                <w:lang w:eastAsia="zh-CN"/>
              </w:rPr>
              <w:t>下表</w:t>
            </w:r>
            <w:r>
              <w:rPr>
                <w:rFonts w:hint="default"/>
                <w:color w:val="auto"/>
                <w:spacing w:val="-2"/>
                <w:sz w:val="24"/>
                <w:u w:val="single"/>
              </w:rPr>
              <w:t>。</w:t>
            </w:r>
          </w:p>
          <w:p w14:paraId="29D69F1D">
            <w:pPr>
              <w:pStyle w:val="7"/>
              <w:keepNext w:val="0"/>
              <w:keepLines w:val="0"/>
              <w:suppressLineNumbers w:val="0"/>
              <w:spacing w:before="0" w:beforeAutospacing="0" w:after="0" w:afterAutospacing="0" w:line="360" w:lineRule="exact"/>
              <w:ind w:left="0" w:right="0"/>
              <w:rPr>
                <w:rFonts w:hint="default" w:ascii="Times New Roman" w:hAnsi="Times New Roman"/>
                <w:color w:val="auto"/>
                <w:sz w:val="21"/>
                <w:u w:val="single"/>
              </w:rPr>
            </w:pPr>
            <w:r>
              <w:rPr>
                <w:rFonts w:hint="default" w:ascii="Times New Roman" w:hAnsi="Times New Roman"/>
                <w:color w:val="auto"/>
                <w:sz w:val="21"/>
                <w:u w:val="single"/>
              </w:rPr>
              <w:t>表</w:t>
            </w:r>
            <w:r>
              <w:rPr>
                <w:rFonts w:hint="eastAsia" w:ascii="Times New Roman" w:hAnsi="Times New Roman"/>
                <w:color w:val="auto"/>
                <w:sz w:val="21"/>
                <w:u w:val="single"/>
              </w:rPr>
              <w:t>3-</w:t>
            </w:r>
            <w:r>
              <w:rPr>
                <w:rFonts w:hint="eastAsia" w:ascii="Times New Roman" w:hAnsi="Times New Roman"/>
                <w:color w:val="auto"/>
                <w:sz w:val="21"/>
                <w:u w:val="single"/>
                <w:lang w:val="en-US" w:eastAsia="zh-CN"/>
              </w:rPr>
              <w:t xml:space="preserve">10 </w:t>
            </w:r>
            <w:r>
              <w:rPr>
                <w:rFonts w:hint="eastAsia" w:ascii="Times New Roman" w:hAnsi="Times New Roman"/>
                <w:color w:val="auto"/>
                <w:sz w:val="21"/>
                <w:u w:val="single"/>
              </w:rPr>
              <w:t xml:space="preserve"> 水环境质量标准    </w:t>
            </w:r>
            <w:r>
              <w:rPr>
                <w:rFonts w:hint="default" w:ascii="Times New Roman" w:hAnsi="Times New Roman"/>
                <w:color w:val="auto"/>
                <w:sz w:val="21"/>
                <w:u w:val="single"/>
              </w:rPr>
              <w:t>单位mg/L</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2628"/>
              <w:gridCol w:w="2325"/>
              <w:gridCol w:w="2325"/>
            </w:tblGrid>
            <w:tr w14:paraId="71FBA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9" w:type="pct"/>
                  <w:vAlign w:val="center"/>
                </w:tcPr>
                <w:p w14:paraId="0574D31A">
                  <w:pPr>
                    <w:keepNext w:val="0"/>
                    <w:keepLines w:val="0"/>
                    <w:suppressLineNumbers w:val="0"/>
                    <w:spacing w:before="0" w:beforeAutospacing="0" w:after="0" w:afterAutospacing="0" w:line="320" w:lineRule="exact"/>
                    <w:ind w:left="0" w:right="0"/>
                    <w:jc w:val="center"/>
                    <w:rPr>
                      <w:rFonts w:hint="default"/>
                      <w:b/>
                      <w:bCs/>
                      <w:color w:val="auto"/>
                      <w:szCs w:val="21"/>
                      <w:u w:val="single"/>
                    </w:rPr>
                  </w:pPr>
                  <w:r>
                    <w:rPr>
                      <w:rFonts w:hint="default"/>
                      <w:b/>
                      <w:bCs/>
                      <w:color w:val="auto"/>
                      <w:szCs w:val="21"/>
                      <w:u w:val="single"/>
                    </w:rPr>
                    <w:t>序号</w:t>
                  </w:r>
                </w:p>
              </w:tc>
              <w:tc>
                <w:tcPr>
                  <w:tcW w:w="1621" w:type="pct"/>
                  <w:vAlign w:val="center"/>
                </w:tcPr>
                <w:p w14:paraId="4A39C65C">
                  <w:pPr>
                    <w:keepNext w:val="0"/>
                    <w:keepLines w:val="0"/>
                    <w:suppressLineNumbers w:val="0"/>
                    <w:spacing w:before="0" w:beforeAutospacing="0" w:after="0" w:afterAutospacing="0" w:line="320" w:lineRule="exact"/>
                    <w:ind w:left="0" w:right="0"/>
                    <w:jc w:val="center"/>
                    <w:rPr>
                      <w:rFonts w:hint="default"/>
                      <w:b/>
                      <w:bCs/>
                      <w:color w:val="auto"/>
                      <w:szCs w:val="21"/>
                      <w:u w:val="single"/>
                    </w:rPr>
                  </w:pPr>
                  <w:r>
                    <w:rPr>
                      <w:rFonts w:hint="default"/>
                      <w:b/>
                      <w:bCs/>
                      <w:color w:val="auto"/>
                      <w:szCs w:val="21"/>
                      <w:u w:val="single"/>
                    </w:rPr>
                    <w:t>项目</w:t>
                  </w:r>
                </w:p>
              </w:tc>
              <w:tc>
                <w:tcPr>
                  <w:tcW w:w="1434" w:type="pct"/>
                  <w:vAlign w:val="center"/>
                </w:tcPr>
                <w:p w14:paraId="65D7F807">
                  <w:pPr>
                    <w:keepNext w:val="0"/>
                    <w:keepLines w:val="0"/>
                    <w:suppressLineNumbers w:val="0"/>
                    <w:spacing w:before="0" w:beforeAutospacing="0" w:after="0" w:afterAutospacing="0" w:line="320" w:lineRule="exact"/>
                    <w:ind w:left="0" w:right="0"/>
                    <w:jc w:val="center"/>
                    <w:rPr>
                      <w:rFonts w:hint="default" w:ascii="宋体" w:hAnsi="宋体"/>
                      <w:b/>
                      <w:bCs/>
                      <w:color w:val="auto"/>
                      <w:szCs w:val="21"/>
                      <w:u w:val="single"/>
                    </w:rPr>
                  </w:pPr>
                  <w:r>
                    <w:rPr>
                      <w:rFonts w:hint="default" w:ascii="宋体" w:hAnsi="宋体" w:cs="宋体"/>
                      <w:b/>
                      <w:bCs/>
                      <w:color w:val="auto"/>
                      <w:szCs w:val="21"/>
                      <w:u w:val="single"/>
                    </w:rPr>
                    <w:t>Ⅲ</w:t>
                  </w:r>
                  <w:r>
                    <w:rPr>
                      <w:rFonts w:hint="default"/>
                      <w:b/>
                      <w:bCs/>
                      <w:color w:val="auto"/>
                      <w:szCs w:val="21"/>
                      <w:u w:val="single"/>
                    </w:rPr>
                    <w:t>类标准</w:t>
                  </w:r>
                </w:p>
              </w:tc>
              <w:tc>
                <w:tcPr>
                  <w:tcW w:w="1434" w:type="pct"/>
                  <w:vAlign w:val="center"/>
                </w:tcPr>
                <w:p w14:paraId="1E6BE7EA">
                  <w:pPr>
                    <w:keepNext w:val="0"/>
                    <w:keepLines w:val="0"/>
                    <w:suppressLineNumbers w:val="0"/>
                    <w:spacing w:before="0" w:beforeAutospacing="0" w:after="0" w:afterAutospacing="0" w:line="320" w:lineRule="exact"/>
                    <w:ind w:left="0" w:right="0"/>
                    <w:jc w:val="center"/>
                    <w:rPr>
                      <w:rFonts w:hint="default" w:ascii="宋体" w:hAnsi="宋体"/>
                      <w:b/>
                      <w:bCs/>
                      <w:color w:val="auto"/>
                      <w:szCs w:val="21"/>
                      <w:u w:val="single"/>
                    </w:rPr>
                  </w:pPr>
                  <w:r>
                    <w:rPr>
                      <w:rFonts w:hint="eastAsia" w:ascii="宋体" w:hAnsi="宋体"/>
                      <w:b/>
                      <w:bCs/>
                      <w:color w:val="auto"/>
                      <w:szCs w:val="21"/>
                      <w:u w:val="single"/>
                    </w:rPr>
                    <w:t>标准来源</w:t>
                  </w:r>
                </w:p>
              </w:tc>
            </w:tr>
            <w:tr w14:paraId="09A7B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9" w:type="pct"/>
                  <w:vAlign w:val="center"/>
                </w:tcPr>
                <w:p w14:paraId="6F84249F">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1</w:t>
                  </w:r>
                </w:p>
              </w:tc>
              <w:tc>
                <w:tcPr>
                  <w:tcW w:w="1621" w:type="pct"/>
                  <w:vAlign w:val="center"/>
                </w:tcPr>
                <w:p w14:paraId="5833E2C2">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pH</w:t>
                  </w:r>
                </w:p>
              </w:tc>
              <w:tc>
                <w:tcPr>
                  <w:tcW w:w="1434" w:type="pct"/>
                  <w:vAlign w:val="center"/>
                </w:tcPr>
                <w:p w14:paraId="7595C77C">
                  <w:pPr>
                    <w:keepNext w:val="0"/>
                    <w:keepLines w:val="0"/>
                    <w:suppressLineNumbers w:val="0"/>
                    <w:spacing w:before="0" w:beforeAutospacing="0" w:after="0" w:afterAutospacing="0" w:line="320" w:lineRule="exact"/>
                    <w:ind w:left="0" w:right="0"/>
                    <w:jc w:val="center"/>
                    <w:rPr>
                      <w:rFonts w:hint="default"/>
                      <w:color w:val="auto"/>
                      <w:u w:val="single"/>
                    </w:rPr>
                  </w:pPr>
                  <w:r>
                    <w:rPr>
                      <w:rFonts w:hint="default"/>
                      <w:color w:val="auto"/>
                      <w:szCs w:val="21"/>
                      <w:u w:val="single"/>
                    </w:rPr>
                    <w:t>6</w:t>
                  </w:r>
                  <w:r>
                    <w:rPr>
                      <w:rFonts w:hint="default"/>
                      <w:color w:val="auto"/>
                      <w:szCs w:val="21"/>
                      <w:u w:val="single"/>
                      <w:lang w:val="en-GB"/>
                    </w:rPr>
                    <w:t>-</w:t>
                  </w:r>
                  <w:r>
                    <w:rPr>
                      <w:rFonts w:hint="default"/>
                      <w:color w:val="auto"/>
                      <w:szCs w:val="21"/>
                      <w:u w:val="single"/>
                    </w:rPr>
                    <w:t>9</w:t>
                  </w:r>
                </w:p>
              </w:tc>
              <w:tc>
                <w:tcPr>
                  <w:tcW w:w="1434" w:type="pct"/>
                  <w:vMerge w:val="restart"/>
                  <w:vAlign w:val="center"/>
                </w:tcPr>
                <w:p w14:paraId="252664A8">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u w:val="single"/>
                    </w:rPr>
                    <w:t>《地表水环境质量标准》（GB3838－2002）</w:t>
                  </w:r>
                </w:p>
              </w:tc>
            </w:tr>
            <w:tr w14:paraId="217F9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9" w:type="pct"/>
                  <w:vAlign w:val="center"/>
                </w:tcPr>
                <w:p w14:paraId="582C844A">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2</w:t>
                  </w:r>
                </w:p>
              </w:tc>
              <w:tc>
                <w:tcPr>
                  <w:tcW w:w="1621" w:type="pct"/>
                  <w:vAlign w:val="center"/>
                </w:tcPr>
                <w:p w14:paraId="0190F742">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COD</w:t>
                  </w:r>
                </w:p>
              </w:tc>
              <w:tc>
                <w:tcPr>
                  <w:tcW w:w="1434" w:type="pct"/>
                  <w:vAlign w:val="center"/>
                </w:tcPr>
                <w:p w14:paraId="5B8E1B58">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w:t>
                  </w:r>
                  <w:r>
                    <w:rPr>
                      <w:rFonts w:hint="eastAsia"/>
                      <w:color w:val="auto"/>
                      <w:szCs w:val="21"/>
                      <w:u w:val="single"/>
                    </w:rPr>
                    <w:t>20</w:t>
                  </w:r>
                </w:p>
              </w:tc>
              <w:tc>
                <w:tcPr>
                  <w:tcW w:w="1434" w:type="pct"/>
                  <w:vMerge w:val="continue"/>
                  <w:vAlign w:val="center"/>
                </w:tcPr>
                <w:p w14:paraId="69BD5680">
                  <w:pPr>
                    <w:keepNext w:val="0"/>
                    <w:keepLines w:val="0"/>
                    <w:suppressLineNumbers w:val="0"/>
                    <w:spacing w:before="0" w:beforeAutospacing="0" w:after="0" w:afterAutospacing="0" w:line="320" w:lineRule="exact"/>
                    <w:ind w:left="0" w:right="0"/>
                    <w:jc w:val="center"/>
                    <w:rPr>
                      <w:rFonts w:hint="default"/>
                      <w:color w:val="auto"/>
                      <w:szCs w:val="21"/>
                      <w:u w:val="single"/>
                    </w:rPr>
                  </w:pPr>
                </w:p>
              </w:tc>
            </w:tr>
            <w:tr w14:paraId="75FE8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9" w:type="pct"/>
                  <w:vAlign w:val="center"/>
                </w:tcPr>
                <w:p w14:paraId="7D9F175C">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3</w:t>
                  </w:r>
                </w:p>
              </w:tc>
              <w:tc>
                <w:tcPr>
                  <w:tcW w:w="1621" w:type="pct"/>
                  <w:vAlign w:val="center"/>
                </w:tcPr>
                <w:p w14:paraId="4D8EA0B8">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BOD</w:t>
                  </w:r>
                  <w:r>
                    <w:rPr>
                      <w:rFonts w:hint="default"/>
                      <w:color w:val="auto"/>
                      <w:szCs w:val="21"/>
                      <w:u w:val="single"/>
                      <w:vertAlign w:val="subscript"/>
                    </w:rPr>
                    <w:t>5</w:t>
                  </w:r>
                </w:p>
              </w:tc>
              <w:tc>
                <w:tcPr>
                  <w:tcW w:w="1434" w:type="pct"/>
                  <w:vAlign w:val="center"/>
                </w:tcPr>
                <w:p w14:paraId="3A1EF542">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w:t>
                  </w:r>
                  <w:r>
                    <w:rPr>
                      <w:rFonts w:hint="eastAsia"/>
                      <w:color w:val="auto"/>
                      <w:szCs w:val="21"/>
                      <w:u w:val="single"/>
                    </w:rPr>
                    <w:t>4</w:t>
                  </w:r>
                </w:p>
              </w:tc>
              <w:tc>
                <w:tcPr>
                  <w:tcW w:w="1434" w:type="pct"/>
                  <w:vMerge w:val="continue"/>
                  <w:vAlign w:val="center"/>
                </w:tcPr>
                <w:p w14:paraId="18F5172C">
                  <w:pPr>
                    <w:keepNext w:val="0"/>
                    <w:keepLines w:val="0"/>
                    <w:suppressLineNumbers w:val="0"/>
                    <w:spacing w:before="0" w:beforeAutospacing="0" w:after="0" w:afterAutospacing="0" w:line="320" w:lineRule="exact"/>
                    <w:ind w:left="0" w:right="0"/>
                    <w:jc w:val="center"/>
                    <w:rPr>
                      <w:rFonts w:hint="default"/>
                      <w:color w:val="auto"/>
                      <w:szCs w:val="21"/>
                      <w:u w:val="single"/>
                    </w:rPr>
                  </w:pPr>
                </w:p>
              </w:tc>
            </w:tr>
            <w:tr w14:paraId="4778F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9" w:type="pct"/>
                  <w:vAlign w:val="center"/>
                </w:tcPr>
                <w:p w14:paraId="7FBB52BE">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4</w:t>
                  </w:r>
                </w:p>
              </w:tc>
              <w:tc>
                <w:tcPr>
                  <w:tcW w:w="1621" w:type="pct"/>
                  <w:vAlign w:val="center"/>
                </w:tcPr>
                <w:p w14:paraId="03277777">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NH</w:t>
                  </w:r>
                  <w:r>
                    <w:rPr>
                      <w:rFonts w:hint="default"/>
                      <w:color w:val="auto"/>
                      <w:szCs w:val="21"/>
                      <w:u w:val="single"/>
                      <w:vertAlign w:val="subscript"/>
                    </w:rPr>
                    <w:t>3</w:t>
                  </w:r>
                  <w:r>
                    <w:rPr>
                      <w:rFonts w:hint="default"/>
                      <w:color w:val="auto"/>
                      <w:szCs w:val="21"/>
                      <w:u w:val="single"/>
                    </w:rPr>
                    <w:t>-N</w:t>
                  </w:r>
                </w:p>
              </w:tc>
              <w:tc>
                <w:tcPr>
                  <w:tcW w:w="1434" w:type="pct"/>
                  <w:vAlign w:val="center"/>
                </w:tcPr>
                <w:p w14:paraId="28CF3D30">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≤1.</w:t>
                  </w:r>
                  <w:r>
                    <w:rPr>
                      <w:rFonts w:hint="eastAsia"/>
                      <w:color w:val="auto"/>
                      <w:szCs w:val="21"/>
                      <w:u w:val="single"/>
                    </w:rPr>
                    <w:t>0</w:t>
                  </w:r>
                </w:p>
              </w:tc>
              <w:tc>
                <w:tcPr>
                  <w:tcW w:w="1434" w:type="pct"/>
                  <w:vMerge w:val="continue"/>
                  <w:vAlign w:val="center"/>
                </w:tcPr>
                <w:p w14:paraId="2B82D78C">
                  <w:pPr>
                    <w:keepNext w:val="0"/>
                    <w:keepLines w:val="0"/>
                    <w:suppressLineNumbers w:val="0"/>
                    <w:spacing w:before="0" w:beforeAutospacing="0" w:after="0" w:afterAutospacing="0" w:line="320" w:lineRule="exact"/>
                    <w:ind w:left="0" w:right="0"/>
                    <w:jc w:val="center"/>
                    <w:rPr>
                      <w:rFonts w:hint="default"/>
                      <w:color w:val="auto"/>
                      <w:szCs w:val="21"/>
                      <w:u w:val="single"/>
                    </w:rPr>
                  </w:pPr>
                </w:p>
              </w:tc>
            </w:tr>
            <w:tr w14:paraId="6DC03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9" w:type="pct"/>
                  <w:vAlign w:val="center"/>
                </w:tcPr>
                <w:p w14:paraId="70260981">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5</w:t>
                  </w:r>
                </w:p>
              </w:tc>
              <w:tc>
                <w:tcPr>
                  <w:tcW w:w="1621" w:type="pct"/>
                  <w:vAlign w:val="center"/>
                </w:tcPr>
                <w:p w14:paraId="3454DD06">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DO</w:t>
                  </w:r>
                </w:p>
              </w:tc>
              <w:tc>
                <w:tcPr>
                  <w:tcW w:w="1434" w:type="pct"/>
                  <w:vAlign w:val="center"/>
                </w:tcPr>
                <w:p w14:paraId="7B5D7391">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≥5</w:t>
                  </w:r>
                </w:p>
              </w:tc>
              <w:tc>
                <w:tcPr>
                  <w:tcW w:w="1434" w:type="pct"/>
                  <w:vMerge w:val="continue"/>
                  <w:vAlign w:val="center"/>
                </w:tcPr>
                <w:p w14:paraId="49B4DD7F">
                  <w:pPr>
                    <w:keepNext w:val="0"/>
                    <w:keepLines w:val="0"/>
                    <w:suppressLineNumbers w:val="0"/>
                    <w:spacing w:before="0" w:beforeAutospacing="0" w:after="0" w:afterAutospacing="0" w:line="320" w:lineRule="exact"/>
                    <w:ind w:left="0" w:right="0"/>
                    <w:jc w:val="center"/>
                    <w:rPr>
                      <w:rFonts w:hint="default"/>
                      <w:color w:val="auto"/>
                      <w:szCs w:val="21"/>
                      <w:u w:val="single"/>
                    </w:rPr>
                  </w:pPr>
                </w:p>
              </w:tc>
            </w:tr>
            <w:tr w14:paraId="04039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9" w:type="pct"/>
                  <w:vAlign w:val="center"/>
                </w:tcPr>
                <w:p w14:paraId="42E212CF">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6</w:t>
                  </w:r>
                </w:p>
              </w:tc>
              <w:tc>
                <w:tcPr>
                  <w:tcW w:w="1621" w:type="pct"/>
                  <w:vAlign w:val="center"/>
                </w:tcPr>
                <w:p w14:paraId="163F5C62">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石油类</w:t>
                  </w:r>
                </w:p>
              </w:tc>
              <w:tc>
                <w:tcPr>
                  <w:tcW w:w="1434" w:type="pct"/>
                  <w:vAlign w:val="center"/>
                </w:tcPr>
                <w:p w14:paraId="4A6E1C4C">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w:t>
                  </w:r>
                  <w:r>
                    <w:rPr>
                      <w:rFonts w:hint="eastAsia"/>
                      <w:color w:val="auto"/>
                      <w:szCs w:val="21"/>
                      <w:u w:val="single"/>
                    </w:rPr>
                    <w:t>0.05</w:t>
                  </w:r>
                </w:p>
              </w:tc>
              <w:tc>
                <w:tcPr>
                  <w:tcW w:w="1434" w:type="pct"/>
                  <w:vMerge w:val="continue"/>
                  <w:vAlign w:val="center"/>
                </w:tcPr>
                <w:p w14:paraId="78E13923">
                  <w:pPr>
                    <w:keepNext w:val="0"/>
                    <w:keepLines w:val="0"/>
                    <w:suppressLineNumbers w:val="0"/>
                    <w:spacing w:before="0" w:beforeAutospacing="0" w:after="0" w:afterAutospacing="0" w:line="320" w:lineRule="exact"/>
                    <w:ind w:left="0" w:right="0"/>
                    <w:jc w:val="center"/>
                    <w:rPr>
                      <w:rFonts w:hint="default"/>
                      <w:color w:val="auto"/>
                      <w:szCs w:val="21"/>
                      <w:u w:val="single"/>
                    </w:rPr>
                  </w:pPr>
                </w:p>
              </w:tc>
            </w:tr>
            <w:tr w14:paraId="3B68B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9" w:type="pct"/>
                  <w:vAlign w:val="center"/>
                </w:tcPr>
                <w:p w14:paraId="3B23EC89">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7</w:t>
                  </w:r>
                </w:p>
              </w:tc>
              <w:tc>
                <w:tcPr>
                  <w:tcW w:w="1621" w:type="pct"/>
                  <w:vAlign w:val="center"/>
                </w:tcPr>
                <w:p w14:paraId="20DC329E">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动植物油</w:t>
                  </w:r>
                </w:p>
              </w:tc>
              <w:tc>
                <w:tcPr>
                  <w:tcW w:w="1434" w:type="pct"/>
                  <w:vAlign w:val="center"/>
                </w:tcPr>
                <w:p w14:paraId="1274CCB5">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w:t>
                  </w:r>
                </w:p>
              </w:tc>
              <w:tc>
                <w:tcPr>
                  <w:tcW w:w="1434" w:type="pct"/>
                  <w:vMerge w:val="continue"/>
                  <w:vAlign w:val="center"/>
                </w:tcPr>
                <w:p w14:paraId="2D0A73F6">
                  <w:pPr>
                    <w:keepNext w:val="0"/>
                    <w:keepLines w:val="0"/>
                    <w:suppressLineNumbers w:val="0"/>
                    <w:spacing w:before="0" w:beforeAutospacing="0" w:after="0" w:afterAutospacing="0" w:line="320" w:lineRule="exact"/>
                    <w:ind w:left="0" w:right="0"/>
                    <w:jc w:val="center"/>
                    <w:rPr>
                      <w:rFonts w:hint="default"/>
                      <w:color w:val="auto"/>
                      <w:szCs w:val="21"/>
                      <w:u w:val="single"/>
                    </w:rPr>
                  </w:pPr>
                </w:p>
              </w:tc>
            </w:tr>
            <w:tr w14:paraId="17F63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9" w:type="pct"/>
                  <w:vAlign w:val="center"/>
                </w:tcPr>
                <w:p w14:paraId="5BFFB8E2">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8</w:t>
                  </w:r>
                </w:p>
              </w:tc>
              <w:tc>
                <w:tcPr>
                  <w:tcW w:w="1621" w:type="pct"/>
                  <w:vAlign w:val="center"/>
                </w:tcPr>
                <w:p w14:paraId="0230067E">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粪大肠菌群（个/L）</w:t>
                  </w:r>
                </w:p>
              </w:tc>
              <w:tc>
                <w:tcPr>
                  <w:tcW w:w="1434" w:type="pct"/>
                  <w:vAlign w:val="center"/>
                </w:tcPr>
                <w:p w14:paraId="44360025">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default"/>
                      <w:color w:val="auto"/>
                      <w:szCs w:val="21"/>
                      <w:u w:val="single"/>
                    </w:rPr>
                    <w:t>≤</w:t>
                  </w:r>
                  <w:r>
                    <w:rPr>
                      <w:rFonts w:hint="eastAsia"/>
                      <w:color w:val="auto"/>
                      <w:szCs w:val="21"/>
                      <w:u w:val="single"/>
                    </w:rPr>
                    <w:t>1</w:t>
                  </w:r>
                  <w:r>
                    <w:rPr>
                      <w:rFonts w:hint="default"/>
                      <w:color w:val="auto"/>
                      <w:szCs w:val="21"/>
                      <w:u w:val="single"/>
                    </w:rPr>
                    <w:t>0000</w:t>
                  </w:r>
                </w:p>
              </w:tc>
              <w:tc>
                <w:tcPr>
                  <w:tcW w:w="1434" w:type="pct"/>
                  <w:vMerge w:val="continue"/>
                  <w:vAlign w:val="center"/>
                </w:tcPr>
                <w:p w14:paraId="73266FC6">
                  <w:pPr>
                    <w:keepNext w:val="0"/>
                    <w:keepLines w:val="0"/>
                    <w:suppressLineNumbers w:val="0"/>
                    <w:spacing w:before="0" w:beforeAutospacing="0" w:after="0" w:afterAutospacing="0" w:line="320" w:lineRule="exact"/>
                    <w:ind w:left="0" w:right="0"/>
                    <w:jc w:val="center"/>
                    <w:rPr>
                      <w:rFonts w:hint="default"/>
                      <w:color w:val="auto"/>
                      <w:szCs w:val="21"/>
                      <w:u w:val="single"/>
                    </w:rPr>
                  </w:pPr>
                </w:p>
              </w:tc>
            </w:tr>
            <w:tr w14:paraId="45826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9" w:type="pct"/>
                  <w:vAlign w:val="center"/>
                </w:tcPr>
                <w:p w14:paraId="028F94F9">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9</w:t>
                  </w:r>
                </w:p>
              </w:tc>
              <w:tc>
                <w:tcPr>
                  <w:tcW w:w="1621" w:type="pct"/>
                  <w:vAlign w:val="center"/>
                </w:tcPr>
                <w:p w14:paraId="3E0BFCA1">
                  <w:pPr>
                    <w:keepNext w:val="0"/>
                    <w:keepLines w:val="0"/>
                    <w:suppressLineNumbers w:val="0"/>
                    <w:spacing w:before="0" w:beforeAutospacing="0" w:after="0" w:afterAutospacing="0" w:line="320" w:lineRule="exact"/>
                    <w:ind w:left="0" w:right="0"/>
                    <w:jc w:val="center"/>
                    <w:rPr>
                      <w:rFonts w:hint="default"/>
                      <w:color w:val="auto"/>
                      <w:szCs w:val="21"/>
                      <w:u w:val="single"/>
                    </w:rPr>
                  </w:pPr>
                  <w:r>
                    <w:rPr>
                      <w:rFonts w:hint="eastAsia"/>
                      <w:color w:val="auto"/>
                      <w:szCs w:val="21"/>
                      <w:u w:val="single"/>
                    </w:rPr>
                    <w:t>SS</w:t>
                  </w:r>
                </w:p>
              </w:tc>
              <w:tc>
                <w:tcPr>
                  <w:tcW w:w="1434" w:type="pct"/>
                  <w:vAlign w:val="center"/>
                </w:tcPr>
                <w:p w14:paraId="5918CA73">
                  <w:pPr>
                    <w:keepNext w:val="0"/>
                    <w:keepLines w:val="0"/>
                    <w:suppressLineNumbers w:val="0"/>
                    <w:spacing w:before="0" w:beforeAutospacing="0" w:after="0" w:afterAutospacing="0" w:line="320" w:lineRule="exact"/>
                    <w:ind w:left="0" w:right="0"/>
                    <w:jc w:val="center"/>
                    <w:rPr>
                      <w:rFonts w:hint="eastAsia" w:eastAsia="宋体"/>
                      <w:color w:val="auto"/>
                      <w:szCs w:val="21"/>
                      <w:u w:val="single"/>
                      <w:lang w:eastAsia="zh-CN"/>
                    </w:rPr>
                  </w:pPr>
                  <w:r>
                    <w:rPr>
                      <w:rFonts w:hint="eastAsia"/>
                      <w:color w:val="auto"/>
                      <w:szCs w:val="21"/>
                      <w:u w:val="single"/>
                      <w:lang w:val="en-US" w:eastAsia="zh-CN"/>
                    </w:rPr>
                    <w:t>/</w:t>
                  </w:r>
                </w:p>
              </w:tc>
              <w:tc>
                <w:tcPr>
                  <w:tcW w:w="1434" w:type="pct"/>
                  <w:vMerge w:val="continue"/>
                  <w:vAlign w:val="center"/>
                </w:tcPr>
                <w:p w14:paraId="13DEA2D1">
                  <w:pPr>
                    <w:keepNext w:val="0"/>
                    <w:keepLines w:val="0"/>
                    <w:suppressLineNumbers w:val="0"/>
                    <w:spacing w:before="0" w:beforeAutospacing="0" w:after="0" w:afterAutospacing="0" w:line="320" w:lineRule="exact"/>
                    <w:ind w:left="0" w:right="0"/>
                    <w:jc w:val="center"/>
                    <w:rPr>
                      <w:rFonts w:hint="default"/>
                      <w:color w:val="auto"/>
                      <w:szCs w:val="21"/>
                      <w:u w:val="single"/>
                    </w:rPr>
                  </w:pPr>
                </w:p>
              </w:tc>
            </w:tr>
          </w:tbl>
          <w:p w14:paraId="630A3D48">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b/>
                <w:bCs/>
                <w:color w:val="auto"/>
                <w:spacing w:val="-2"/>
                <w:sz w:val="24"/>
                <w:u w:val="single"/>
              </w:rPr>
            </w:pPr>
            <w:r>
              <w:rPr>
                <w:rFonts w:hint="eastAsia"/>
                <w:b/>
                <w:bCs/>
                <w:color w:val="auto"/>
                <w:spacing w:val="-2"/>
                <w:sz w:val="24"/>
                <w:u w:val="single"/>
                <w:lang w:val="en-US" w:eastAsia="zh-CN"/>
              </w:rPr>
              <w:t>1.3</w:t>
            </w:r>
            <w:r>
              <w:rPr>
                <w:rFonts w:hint="eastAsia"/>
                <w:b/>
                <w:bCs/>
                <w:color w:val="auto"/>
                <w:spacing w:val="-2"/>
                <w:sz w:val="24"/>
                <w:u w:val="single"/>
              </w:rPr>
              <w:t>声环境质量标准</w:t>
            </w:r>
          </w:p>
          <w:p w14:paraId="063C42A5">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color w:val="auto"/>
                <w:spacing w:val="-2"/>
                <w:sz w:val="24"/>
                <w:u w:val="none"/>
              </w:rPr>
            </w:pPr>
            <w:r>
              <w:rPr>
                <w:rFonts w:hint="default"/>
                <w:color w:val="auto"/>
                <w:spacing w:val="-2"/>
                <w:sz w:val="24"/>
                <w:u w:val="none"/>
              </w:rPr>
              <w:t>项目区域声环境质量执行《声环境质量标准》（GB3096-2008）中</w:t>
            </w:r>
            <w:r>
              <w:rPr>
                <w:rFonts w:hint="eastAsia"/>
                <w:color w:val="auto"/>
                <w:spacing w:val="-2"/>
                <w:sz w:val="24"/>
                <w:u w:val="none"/>
              </w:rPr>
              <w:t>2</w:t>
            </w:r>
            <w:r>
              <w:rPr>
                <w:rFonts w:hint="default"/>
                <w:color w:val="auto"/>
                <w:spacing w:val="-2"/>
                <w:sz w:val="24"/>
                <w:u w:val="none"/>
              </w:rPr>
              <w:t>类标准</w:t>
            </w:r>
            <w:r>
              <w:rPr>
                <w:rFonts w:hint="eastAsia"/>
                <w:color w:val="auto"/>
                <w:spacing w:val="-2"/>
                <w:sz w:val="24"/>
                <w:u w:val="none"/>
              </w:rPr>
              <w:t>，</w:t>
            </w:r>
            <w:r>
              <w:rPr>
                <w:rFonts w:hint="default"/>
                <w:color w:val="auto"/>
                <w:spacing w:val="-2"/>
                <w:sz w:val="24"/>
                <w:u w:val="none"/>
              </w:rPr>
              <w:t>其具体限值详见</w:t>
            </w:r>
            <w:r>
              <w:rPr>
                <w:rFonts w:hint="eastAsia"/>
                <w:color w:val="auto"/>
                <w:spacing w:val="-2"/>
                <w:sz w:val="24"/>
                <w:u w:val="none"/>
                <w:lang w:eastAsia="zh-CN"/>
              </w:rPr>
              <w:t>下表</w:t>
            </w:r>
            <w:r>
              <w:rPr>
                <w:rFonts w:hint="default"/>
                <w:color w:val="auto"/>
                <w:spacing w:val="-2"/>
                <w:sz w:val="24"/>
                <w:u w:val="none"/>
              </w:rPr>
              <w:t>。</w:t>
            </w:r>
          </w:p>
          <w:p w14:paraId="2E06B85D">
            <w:pPr>
              <w:pStyle w:val="7"/>
              <w:keepNext w:val="0"/>
              <w:keepLines w:val="0"/>
              <w:suppressLineNumbers w:val="0"/>
              <w:spacing w:before="0" w:beforeAutospacing="0" w:after="0" w:afterAutospacing="0" w:line="360" w:lineRule="exact"/>
              <w:ind w:left="0" w:right="0"/>
              <w:rPr>
                <w:rFonts w:hint="default" w:ascii="Times New Roman" w:hAnsi="Times New Roman"/>
                <w:color w:val="auto"/>
                <w:sz w:val="21"/>
                <w:u w:val="none"/>
              </w:rPr>
            </w:pPr>
            <w:r>
              <w:rPr>
                <w:rFonts w:hint="default" w:ascii="Times New Roman" w:hAnsi="Times New Roman"/>
                <w:color w:val="auto"/>
                <w:sz w:val="21"/>
                <w:u w:val="none"/>
              </w:rPr>
              <w:t>表</w:t>
            </w:r>
            <w:r>
              <w:rPr>
                <w:rFonts w:hint="eastAsia" w:ascii="Times New Roman" w:hAnsi="Times New Roman"/>
                <w:color w:val="auto"/>
                <w:sz w:val="21"/>
                <w:u w:val="none"/>
              </w:rPr>
              <w:t>3-</w:t>
            </w:r>
            <w:r>
              <w:rPr>
                <w:rFonts w:hint="eastAsia" w:ascii="Times New Roman" w:hAnsi="Times New Roman"/>
                <w:color w:val="auto"/>
                <w:sz w:val="21"/>
                <w:u w:val="none"/>
                <w:lang w:val="en-US" w:eastAsia="zh-CN"/>
              </w:rPr>
              <w:t>11</w:t>
            </w:r>
            <w:r>
              <w:rPr>
                <w:rFonts w:hint="eastAsia" w:ascii="Times New Roman" w:hAnsi="Times New Roman"/>
                <w:color w:val="auto"/>
                <w:sz w:val="21"/>
                <w:u w:val="none"/>
              </w:rPr>
              <w:t xml:space="preserve">  </w:t>
            </w:r>
            <w:r>
              <w:rPr>
                <w:rFonts w:hint="default" w:ascii="Times New Roman" w:hAnsi="Times New Roman"/>
                <w:color w:val="auto"/>
                <w:sz w:val="21"/>
                <w:u w:val="none"/>
              </w:rPr>
              <w:t>声环境质量标准</w:t>
            </w:r>
            <w:r>
              <w:rPr>
                <w:rFonts w:hint="eastAsia" w:ascii="Times New Roman" w:hAnsi="Times New Roman"/>
                <w:color w:val="auto"/>
                <w:sz w:val="21"/>
                <w:u w:val="none"/>
              </w:rPr>
              <w:t xml:space="preserve">   </w:t>
            </w:r>
            <w:r>
              <w:rPr>
                <w:rFonts w:hint="default" w:ascii="Times New Roman" w:hAnsi="Times New Roman"/>
                <w:color w:val="auto"/>
                <w:sz w:val="21"/>
                <w:u w:val="none"/>
              </w:rPr>
              <w:t>单位：dB（A）</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40"/>
              <w:gridCol w:w="1579"/>
              <w:gridCol w:w="1433"/>
              <w:gridCol w:w="1253"/>
            </w:tblGrid>
            <w:tr w14:paraId="15924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8" w:type="pct"/>
                  <w:vAlign w:val="center"/>
                </w:tcPr>
                <w:p w14:paraId="7E6F6176">
                  <w:pPr>
                    <w:keepNext w:val="0"/>
                    <w:keepLines w:val="0"/>
                    <w:suppressLineNumbers w:val="0"/>
                    <w:tabs>
                      <w:tab w:val="left" w:pos="360"/>
                    </w:tabs>
                    <w:spacing w:before="0" w:beforeAutospacing="0" w:after="0" w:afterAutospacing="0"/>
                    <w:ind w:left="0" w:right="0"/>
                    <w:jc w:val="center"/>
                    <w:rPr>
                      <w:rFonts w:hint="default"/>
                      <w:b/>
                      <w:bCs/>
                      <w:color w:val="auto"/>
                      <w:szCs w:val="21"/>
                      <w:u w:val="none"/>
                    </w:rPr>
                  </w:pPr>
                  <w:r>
                    <w:rPr>
                      <w:rFonts w:hint="eastAsia"/>
                      <w:b/>
                      <w:bCs/>
                      <w:color w:val="auto"/>
                      <w:szCs w:val="21"/>
                      <w:u w:val="none"/>
                    </w:rPr>
                    <w:t>标准名称</w:t>
                  </w:r>
                </w:p>
              </w:tc>
              <w:tc>
                <w:tcPr>
                  <w:tcW w:w="974" w:type="pct"/>
                  <w:vAlign w:val="center"/>
                </w:tcPr>
                <w:p w14:paraId="7A839186">
                  <w:pPr>
                    <w:keepNext w:val="0"/>
                    <w:keepLines w:val="0"/>
                    <w:suppressLineNumbers w:val="0"/>
                    <w:tabs>
                      <w:tab w:val="left" w:pos="360"/>
                    </w:tabs>
                    <w:spacing w:before="0" w:beforeAutospacing="0" w:after="0" w:afterAutospacing="0"/>
                    <w:ind w:left="0" w:right="0"/>
                    <w:jc w:val="center"/>
                    <w:rPr>
                      <w:rFonts w:hint="default"/>
                      <w:b/>
                      <w:bCs/>
                      <w:color w:val="auto"/>
                      <w:szCs w:val="21"/>
                      <w:u w:val="none"/>
                    </w:rPr>
                  </w:pPr>
                  <w:r>
                    <w:rPr>
                      <w:rFonts w:hint="default"/>
                      <w:b/>
                      <w:bCs/>
                      <w:color w:val="auto"/>
                      <w:szCs w:val="21"/>
                      <w:u w:val="none"/>
                    </w:rPr>
                    <w:t>类别</w:t>
                  </w:r>
                </w:p>
              </w:tc>
              <w:tc>
                <w:tcPr>
                  <w:tcW w:w="884" w:type="pct"/>
                  <w:vAlign w:val="center"/>
                </w:tcPr>
                <w:p w14:paraId="020FCAAD">
                  <w:pPr>
                    <w:keepNext w:val="0"/>
                    <w:keepLines w:val="0"/>
                    <w:suppressLineNumbers w:val="0"/>
                    <w:tabs>
                      <w:tab w:val="left" w:pos="360"/>
                    </w:tabs>
                    <w:spacing w:before="0" w:beforeAutospacing="0" w:after="0" w:afterAutospacing="0"/>
                    <w:ind w:left="0" w:right="0"/>
                    <w:jc w:val="center"/>
                    <w:rPr>
                      <w:rFonts w:hint="default"/>
                      <w:b/>
                      <w:bCs/>
                      <w:color w:val="auto"/>
                      <w:szCs w:val="21"/>
                      <w:u w:val="none"/>
                    </w:rPr>
                  </w:pPr>
                  <w:r>
                    <w:rPr>
                      <w:rFonts w:hint="default"/>
                      <w:b/>
                      <w:bCs/>
                      <w:color w:val="auto"/>
                      <w:szCs w:val="21"/>
                      <w:u w:val="none"/>
                    </w:rPr>
                    <w:t>昼间</w:t>
                  </w:r>
                </w:p>
              </w:tc>
              <w:tc>
                <w:tcPr>
                  <w:tcW w:w="772" w:type="pct"/>
                  <w:vAlign w:val="center"/>
                </w:tcPr>
                <w:p w14:paraId="5D2EB6EB">
                  <w:pPr>
                    <w:keepNext w:val="0"/>
                    <w:keepLines w:val="0"/>
                    <w:suppressLineNumbers w:val="0"/>
                    <w:tabs>
                      <w:tab w:val="left" w:pos="360"/>
                    </w:tabs>
                    <w:spacing w:before="0" w:beforeAutospacing="0" w:after="0" w:afterAutospacing="0"/>
                    <w:ind w:left="0" w:right="0"/>
                    <w:jc w:val="center"/>
                    <w:rPr>
                      <w:rFonts w:hint="default"/>
                      <w:b/>
                      <w:bCs/>
                      <w:color w:val="auto"/>
                      <w:szCs w:val="21"/>
                      <w:u w:val="none"/>
                    </w:rPr>
                  </w:pPr>
                  <w:r>
                    <w:rPr>
                      <w:rFonts w:hint="default"/>
                      <w:b/>
                      <w:bCs/>
                      <w:color w:val="auto"/>
                      <w:szCs w:val="21"/>
                      <w:u w:val="none"/>
                    </w:rPr>
                    <w:t>夜间</w:t>
                  </w:r>
                </w:p>
              </w:tc>
            </w:tr>
            <w:tr w14:paraId="1F7B0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8" w:type="pct"/>
                  <w:vAlign w:val="center"/>
                </w:tcPr>
                <w:p w14:paraId="23520E88">
                  <w:pPr>
                    <w:keepNext w:val="0"/>
                    <w:keepLines w:val="0"/>
                    <w:suppressLineNumbers w:val="0"/>
                    <w:tabs>
                      <w:tab w:val="left" w:pos="360"/>
                    </w:tabs>
                    <w:spacing w:before="0" w:beforeAutospacing="0" w:after="0" w:afterAutospacing="0"/>
                    <w:ind w:left="0" w:right="0"/>
                    <w:jc w:val="center"/>
                    <w:rPr>
                      <w:rFonts w:hint="default"/>
                      <w:color w:val="auto"/>
                      <w:szCs w:val="21"/>
                      <w:u w:val="none"/>
                    </w:rPr>
                  </w:pPr>
                  <w:r>
                    <w:rPr>
                      <w:rFonts w:hint="default"/>
                      <w:color w:val="auto"/>
                      <w:szCs w:val="21"/>
                      <w:u w:val="none"/>
                    </w:rPr>
                    <w:t>《声环境质量标准》（GB3096-2008）</w:t>
                  </w:r>
                </w:p>
              </w:tc>
              <w:tc>
                <w:tcPr>
                  <w:tcW w:w="974" w:type="pct"/>
                  <w:vAlign w:val="center"/>
                </w:tcPr>
                <w:p w14:paraId="382BBD7E">
                  <w:pPr>
                    <w:keepNext w:val="0"/>
                    <w:keepLines w:val="0"/>
                    <w:suppressLineNumbers w:val="0"/>
                    <w:tabs>
                      <w:tab w:val="left" w:pos="360"/>
                    </w:tabs>
                    <w:spacing w:before="0" w:beforeAutospacing="0" w:after="0" w:afterAutospacing="0"/>
                    <w:ind w:left="0" w:right="0"/>
                    <w:jc w:val="center"/>
                    <w:rPr>
                      <w:rFonts w:hint="default"/>
                      <w:color w:val="auto"/>
                      <w:szCs w:val="21"/>
                      <w:u w:val="none"/>
                    </w:rPr>
                  </w:pPr>
                  <w:r>
                    <w:rPr>
                      <w:rFonts w:hint="eastAsia"/>
                      <w:color w:val="auto"/>
                      <w:szCs w:val="21"/>
                      <w:u w:val="none"/>
                    </w:rPr>
                    <w:t>2</w:t>
                  </w:r>
                  <w:r>
                    <w:rPr>
                      <w:rFonts w:hint="default"/>
                      <w:color w:val="auto"/>
                      <w:szCs w:val="21"/>
                      <w:u w:val="none"/>
                    </w:rPr>
                    <w:t>类</w:t>
                  </w:r>
                </w:p>
              </w:tc>
              <w:tc>
                <w:tcPr>
                  <w:tcW w:w="884" w:type="pct"/>
                  <w:vAlign w:val="center"/>
                </w:tcPr>
                <w:p w14:paraId="107096C6">
                  <w:pPr>
                    <w:keepNext w:val="0"/>
                    <w:keepLines w:val="0"/>
                    <w:suppressLineNumbers w:val="0"/>
                    <w:tabs>
                      <w:tab w:val="left" w:pos="360"/>
                    </w:tabs>
                    <w:spacing w:before="0" w:beforeAutospacing="0" w:after="0" w:afterAutospacing="0"/>
                    <w:ind w:left="0" w:right="0"/>
                    <w:jc w:val="center"/>
                    <w:rPr>
                      <w:rFonts w:hint="default"/>
                      <w:color w:val="auto"/>
                      <w:szCs w:val="21"/>
                      <w:u w:val="none"/>
                    </w:rPr>
                  </w:pPr>
                  <w:r>
                    <w:rPr>
                      <w:rFonts w:hint="default"/>
                      <w:color w:val="auto"/>
                      <w:szCs w:val="21"/>
                      <w:u w:val="none"/>
                    </w:rPr>
                    <w:t>6</w:t>
                  </w:r>
                  <w:r>
                    <w:rPr>
                      <w:rFonts w:hint="eastAsia"/>
                      <w:color w:val="auto"/>
                      <w:szCs w:val="21"/>
                      <w:u w:val="none"/>
                    </w:rPr>
                    <w:t>0</w:t>
                  </w:r>
                </w:p>
              </w:tc>
              <w:tc>
                <w:tcPr>
                  <w:tcW w:w="772" w:type="pct"/>
                  <w:vAlign w:val="center"/>
                </w:tcPr>
                <w:p w14:paraId="1D157AB0">
                  <w:pPr>
                    <w:keepNext w:val="0"/>
                    <w:keepLines w:val="0"/>
                    <w:suppressLineNumbers w:val="0"/>
                    <w:tabs>
                      <w:tab w:val="left" w:pos="360"/>
                    </w:tabs>
                    <w:spacing w:before="0" w:beforeAutospacing="0" w:after="0" w:afterAutospacing="0"/>
                    <w:ind w:left="0" w:right="0"/>
                    <w:jc w:val="center"/>
                    <w:rPr>
                      <w:rFonts w:hint="default"/>
                      <w:color w:val="auto"/>
                      <w:szCs w:val="21"/>
                      <w:u w:val="none"/>
                    </w:rPr>
                  </w:pPr>
                  <w:r>
                    <w:rPr>
                      <w:rFonts w:hint="default"/>
                      <w:color w:val="auto"/>
                      <w:szCs w:val="21"/>
                      <w:u w:val="none"/>
                    </w:rPr>
                    <w:t>5</w:t>
                  </w:r>
                  <w:r>
                    <w:rPr>
                      <w:rFonts w:hint="eastAsia"/>
                      <w:color w:val="auto"/>
                      <w:szCs w:val="21"/>
                      <w:u w:val="none"/>
                    </w:rPr>
                    <w:t>0</w:t>
                  </w:r>
                </w:p>
              </w:tc>
            </w:tr>
          </w:tbl>
          <w:p w14:paraId="191C4F74">
            <w:pPr>
              <w:keepNext w:val="0"/>
              <w:keepLines w:val="0"/>
              <w:suppressLineNumbers w:val="0"/>
              <w:adjustRightInd w:val="0"/>
              <w:snapToGrid w:val="0"/>
              <w:spacing w:before="0" w:beforeAutospacing="0" w:after="0" w:afterAutospacing="0" w:line="360" w:lineRule="auto"/>
              <w:ind w:left="0" w:right="0" w:firstLine="482" w:firstLineChars="200"/>
              <w:rPr>
                <w:rFonts w:hint="default"/>
                <w:b/>
                <w:color w:val="auto"/>
                <w:sz w:val="24"/>
                <w:u w:val="none"/>
              </w:rPr>
            </w:pPr>
            <w:r>
              <w:rPr>
                <w:rFonts w:hint="eastAsia"/>
                <w:b/>
                <w:color w:val="auto"/>
                <w:sz w:val="24"/>
                <w:u w:val="none"/>
              </w:rPr>
              <w:t>2、</w:t>
            </w:r>
            <w:r>
              <w:rPr>
                <w:rFonts w:hint="eastAsia"/>
                <w:b/>
                <w:color w:val="auto"/>
                <w:sz w:val="24"/>
                <w:u w:val="none"/>
                <w:lang w:val="en-US" w:eastAsia="zh-CN"/>
              </w:rPr>
              <w:t>污染物</w:t>
            </w:r>
            <w:r>
              <w:rPr>
                <w:rFonts w:hint="eastAsia"/>
                <w:b/>
                <w:color w:val="auto"/>
                <w:sz w:val="24"/>
                <w:u w:val="none"/>
              </w:rPr>
              <w:t>排放标准</w:t>
            </w:r>
          </w:p>
          <w:p w14:paraId="050617C8">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b/>
                <w:bCs/>
                <w:color w:val="auto"/>
                <w:spacing w:val="-2"/>
                <w:sz w:val="24"/>
                <w:u w:val="none"/>
              </w:rPr>
            </w:pPr>
            <w:r>
              <w:rPr>
                <w:rFonts w:hint="eastAsia"/>
                <w:b/>
                <w:bCs/>
                <w:color w:val="auto"/>
                <w:spacing w:val="-2"/>
                <w:sz w:val="24"/>
                <w:u w:val="none"/>
                <w:lang w:val="en-US" w:eastAsia="zh-CN"/>
              </w:rPr>
              <w:t>2.1</w:t>
            </w:r>
            <w:r>
              <w:rPr>
                <w:rFonts w:hint="eastAsia"/>
                <w:b/>
                <w:bCs/>
                <w:color w:val="auto"/>
                <w:spacing w:val="-2"/>
                <w:sz w:val="24"/>
                <w:u w:val="none"/>
              </w:rPr>
              <w:t>废气排放标准</w:t>
            </w:r>
          </w:p>
          <w:p w14:paraId="0B9B24D0">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color w:val="auto"/>
                <w:spacing w:val="-2"/>
                <w:sz w:val="24"/>
                <w:u w:val="none"/>
              </w:rPr>
            </w:pPr>
            <w:r>
              <w:rPr>
                <w:rFonts w:hint="default"/>
                <w:color w:val="auto"/>
                <w:spacing w:val="-2"/>
                <w:sz w:val="24"/>
                <w:u w:val="none"/>
              </w:rPr>
              <w:t>本项目</w:t>
            </w:r>
            <w:r>
              <w:rPr>
                <w:rFonts w:hint="eastAsia"/>
                <w:color w:val="auto"/>
                <w:spacing w:val="-2"/>
                <w:sz w:val="24"/>
                <w:u w:val="none"/>
                <w:lang w:val="en-US" w:eastAsia="zh-CN"/>
              </w:rPr>
              <w:t>颗粒物</w:t>
            </w:r>
            <w:r>
              <w:rPr>
                <w:rFonts w:hint="default"/>
                <w:color w:val="auto"/>
                <w:spacing w:val="-2"/>
                <w:sz w:val="24"/>
                <w:u w:val="none"/>
              </w:rPr>
              <w:t>执行《大气污染物综合排放标准》（GB16297-1996）</w:t>
            </w:r>
            <w:r>
              <w:rPr>
                <w:rFonts w:hint="eastAsia"/>
                <w:color w:val="auto"/>
                <w:spacing w:val="-2"/>
                <w:sz w:val="24"/>
                <w:u w:val="none"/>
              </w:rPr>
              <w:t>表2中排放</w:t>
            </w:r>
            <w:r>
              <w:rPr>
                <w:rFonts w:hint="default"/>
                <w:color w:val="auto"/>
                <w:spacing w:val="-2"/>
                <w:sz w:val="24"/>
                <w:u w:val="none"/>
              </w:rPr>
              <w:t>标准</w:t>
            </w:r>
            <w:r>
              <w:rPr>
                <w:rFonts w:hint="eastAsia"/>
                <w:color w:val="auto"/>
                <w:spacing w:val="-2"/>
                <w:sz w:val="24"/>
                <w:u w:val="none"/>
                <w:lang w:eastAsia="zh-CN"/>
              </w:rPr>
              <w:t>，臭气浓度执行《恶臭污染物排放浓度》（GB14533-93）表</w:t>
            </w:r>
            <w:r>
              <w:rPr>
                <w:rFonts w:hint="eastAsia"/>
                <w:color w:val="auto"/>
                <w:spacing w:val="-2"/>
                <w:sz w:val="24"/>
                <w:u w:val="none"/>
                <w:lang w:val="en-US" w:eastAsia="zh-CN"/>
              </w:rPr>
              <w:t>1</w:t>
            </w:r>
            <w:r>
              <w:rPr>
                <w:rFonts w:hint="eastAsia"/>
                <w:color w:val="auto"/>
                <w:spacing w:val="-2"/>
                <w:sz w:val="24"/>
                <w:u w:val="none"/>
                <w:lang w:eastAsia="zh-CN"/>
              </w:rPr>
              <w:t>中厂界标准值二级标准。</w:t>
            </w:r>
            <w:r>
              <w:rPr>
                <w:rFonts w:hint="default"/>
                <w:color w:val="auto"/>
                <w:spacing w:val="-2"/>
                <w:sz w:val="24"/>
                <w:u w:val="none"/>
              </w:rPr>
              <w:t>其标准限值见下表。</w:t>
            </w:r>
          </w:p>
          <w:p w14:paraId="661D1E61">
            <w:pPr>
              <w:pStyle w:val="7"/>
              <w:keepNext w:val="0"/>
              <w:keepLines w:val="0"/>
              <w:suppressLineNumbers w:val="0"/>
              <w:spacing w:before="0" w:beforeAutospacing="0" w:after="0" w:afterAutospacing="0" w:line="360" w:lineRule="exact"/>
              <w:ind w:left="0" w:right="0"/>
              <w:rPr>
                <w:rFonts w:hint="default" w:ascii="Times New Roman" w:hAnsi="Times New Roman"/>
                <w:color w:val="auto"/>
                <w:sz w:val="21"/>
                <w:u w:val="none"/>
              </w:rPr>
            </w:pPr>
            <w:r>
              <w:rPr>
                <w:rFonts w:hint="default" w:ascii="Times New Roman" w:hAnsi="Times New Roman"/>
                <w:color w:val="auto"/>
                <w:sz w:val="21"/>
                <w:u w:val="none"/>
              </w:rPr>
              <w:t>表</w:t>
            </w:r>
            <w:r>
              <w:rPr>
                <w:rFonts w:hint="eastAsia" w:ascii="Times New Roman" w:hAnsi="Times New Roman"/>
                <w:color w:val="auto"/>
                <w:sz w:val="21"/>
                <w:u w:val="none"/>
              </w:rPr>
              <w:t>3-</w:t>
            </w:r>
            <w:r>
              <w:rPr>
                <w:rFonts w:hint="eastAsia" w:ascii="Times New Roman" w:hAnsi="Times New Roman"/>
                <w:color w:val="auto"/>
                <w:sz w:val="21"/>
                <w:u w:val="none"/>
                <w:lang w:val="en-US" w:eastAsia="zh-CN"/>
              </w:rPr>
              <w:t>12</w:t>
            </w:r>
            <w:r>
              <w:rPr>
                <w:rFonts w:hint="eastAsia" w:ascii="Times New Roman" w:hAnsi="Times New Roman"/>
                <w:color w:val="auto"/>
                <w:sz w:val="21"/>
                <w:u w:val="none"/>
              </w:rPr>
              <w:t xml:space="preserve">  大气污染物排放标准</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99" w:type="dxa"/>
                <w:bottom w:w="0" w:type="dxa"/>
                <w:right w:w="99" w:type="dxa"/>
              </w:tblCellMar>
            </w:tblPr>
            <w:tblGrid>
              <w:gridCol w:w="2192"/>
              <w:gridCol w:w="1287"/>
              <w:gridCol w:w="1287"/>
              <w:gridCol w:w="3336"/>
            </w:tblGrid>
            <w:tr w14:paraId="18CCF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9" w:type="dxa"/>
                  <w:bottom w:w="0" w:type="dxa"/>
                  <w:right w:w="99" w:type="dxa"/>
                </w:tblCellMar>
              </w:tblPrEx>
              <w:trPr>
                <w:cantSplit/>
                <w:trHeight w:val="906" w:hRule="atLeast"/>
                <w:jc w:val="center"/>
              </w:trPr>
              <w:tc>
                <w:tcPr>
                  <w:tcW w:w="1352" w:type="pct"/>
                  <w:vAlign w:val="center"/>
                </w:tcPr>
                <w:p w14:paraId="40CFC379">
                  <w:pPr>
                    <w:keepNext w:val="0"/>
                    <w:keepLines w:val="0"/>
                    <w:suppressLineNumbers w:val="0"/>
                    <w:spacing w:before="0" w:beforeAutospacing="0" w:after="0" w:afterAutospacing="0"/>
                    <w:ind w:left="0" w:right="0"/>
                    <w:jc w:val="center"/>
                    <w:rPr>
                      <w:rFonts w:hint="default"/>
                      <w:b/>
                      <w:bCs/>
                      <w:color w:val="auto"/>
                      <w:szCs w:val="21"/>
                      <w:u w:val="none"/>
                    </w:rPr>
                  </w:pPr>
                  <w:r>
                    <w:rPr>
                      <w:rFonts w:hint="default"/>
                      <w:b/>
                      <w:bCs/>
                      <w:color w:val="auto"/>
                      <w:u w:val="none"/>
                    </w:rPr>
                    <w:t>污染物</w:t>
                  </w:r>
                </w:p>
              </w:tc>
              <w:tc>
                <w:tcPr>
                  <w:tcW w:w="794" w:type="pct"/>
                  <w:vAlign w:val="center"/>
                </w:tcPr>
                <w:p w14:paraId="1BC7C18D">
                  <w:pPr>
                    <w:keepNext w:val="0"/>
                    <w:keepLines w:val="0"/>
                    <w:suppressLineNumbers w:val="0"/>
                    <w:spacing w:before="0" w:beforeAutospacing="0" w:after="0" w:afterAutospacing="0"/>
                    <w:ind w:left="0" w:right="0"/>
                    <w:jc w:val="center"/>
                    <w:rPr>
                      <w:rFonts w:hint="default"/>
                      <w:b/>
                      <w:bCs/>
                      <w:color w:val="auto"/>
                      <w:u w:val="none"/>
                    </w:rPr>
                  </w:pPr>
                  <w:r>
                    <w:rPr>
                      <w:rFonts w:hint="default"/>
                      <w:b/>
                      <w:bCs/>
                      <w:color w:val="auto"/>
                      <w:u w:val="none"/>
                    </w:rPr>
                    <w:t>厂界监控点</w:t>
                  </w:r>
                </w:p>
                <w:p w14:paraId="78530927">
                  <w:pPr>
                    <w:keepNext w:val="0"/>
                    <w:keepLines w:val="0"/>
                    <w:suppressLineNumbers w:val="0"/>
                    <w:spacing w:before="0" w:beforeAutospacing="0" w:after="0" w:afterAutospacing="0"/>
                    <w:ind w:left="0" w:right="0"/>
                    <w:jc w:val="center"/>
                    <w:rPr>
                      <w:rFonts w:hint="default"/>
                      <w:b/>
                      <w:bCs/>
                      <w:color w:val="auto"/>
                      <w:szCs w:val="21"/>
                      <w:u w:val="none"/>
                    </w:rPr>
                  </w:pPr>
                  <w:r>
                    <w:rPr>
                      <w:rFonts w:hint="default"/>
                      <w:b/>
                      <w:bCs/>
                      <w:color w:val="auto"/>
                      <w:u w:val="none"/>
                    </w:rPr>
                    <w:t>浓度限值</w:t>
                  </w:r>
                </w:p>
              </w:tc>
              <w:tc>
                <w:tcPr>
                  <w:tcW w:w="794" w:type="pct"/>
                  <w:vAlign w:val="center"/>
                </w:tcPr>
                <w:p w14:paraId="4CA2B3E3">
                  <w:pPr>
                    <w:keepNext w:val="0"/>
                    <w:keepLines w:val="0"/>
                    <w:suppressLineNumbers w:val="0"/>
                    <w:spacing w:before="0" w:beforeAutospacing="0" w:after="0" w:afterAutospacing="0"/>
                    <w:ind w:left="0" w:right="0"/>
                    <w:jc w:val="center"/>
                    <w:rPr>
                      <w:rFonts w:hint="eastAsia" w:eastAsia="宋体"/>
                      <w:b/>
                      <w:bCs/>
                      <w:color w:val="auto"/>
                      <w:u w:val="none"/>
                      <w:lang w:val="en-US" w:eastAsia="zh-CN"/>
                    </w:rPr>
                  </w:pPr>
                  <w:r>
                    <w:rPr>
                      <w:rFonts w:hint="eastAsia"/>
                      <w:b/>
                      <w:bCs/>
                      <w:color w:val="auto"/>
                      <w:u w:val="none"/>
                      <w:lang w:val="en-US" w:eastAsia="zh-CN"/>
                    </w:rPr>
                    <w:t>单位</w:t>
                  </w:r>
                </w:p>
              </w:tc>
              <w:tc>
                <w:tcPr>
                  <w:tcW w:w="2057" w:type="pct"/>
                  <w:vAlign w:val="center"/>
                </w:tcPr>
                <w:p w14:paraId="0AB94D38">
                  <w:pPr>
                    <w:keepNext w:val="0"/>
                    <w:keepLines w:val="0"/>
                    <w:suppressLineNumbers w:val="0"/>
                    <w:spacing w:before="0" w:beforeAutospacing="0" w:after="0" w:afterAutospacing="0"/>
                    <w:ind w:left="0" w:right="0"/>
                    <w:jc w:val="center"/>
                    <w:rPr>
                      <w:rFonts w:hint="default" w:eastAsia="宋体"/>
                      <w:b/>
                      <w:bCs/>
                      <w:color w:val="auto"/>
                      <w:u w:val="none"/>
                      <w:lang w:val="en-US" w:eastAsia="zh-CN"/>
                    </w:rPr>
                  </w:pPr>
                  <w:r>
                    <w:rPr>
                      <w:rFonts w:hint="eastAsia"/>
                      <w:b/>
                      <w:bCs/>
                      <w:color w:val="auto"/>
                      <w:u w:val="none"/>
                      <w:lang w:val="en-US" w:eastAsia="zh-CN"/>
                    </w:rPr>
                    <w:t>标准名称</w:t>
                  </w:r>
                </w:p>
              </w:tc>
            </w:tr>
            <w:tr w14:paraId="0D87A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9" w:type="dxa"/>
                  <w:bottom w:w="0" w:type="dxa"/>
                  <w:right w:w="99" w:type="dxa"/>
                </w:tblCellMar>
              </w:tblPrEx>
              <w:trPr>
                <w:cantSplit/>
                <w:trHeight w:val="340" w:hRule="atLeast"/>
                <w:jc w:val="center"/>
              </w:trPr>
              <w:tc>
                <w:tcPr>
                  <w:tcW w:w="1352" w:type="pct"/>
                  <w:vAlign w:val="center"/>
                </w:tcPr>
                <w:p w14:paraId="614C2DD7">
                  <w:pPr>
                    <w:keepNext w:val="0"/>
                    <w:keepLines w:val="0"/>
                    <w:suppressLineNumbers w:val="0"/>
                    <w:spacing w:before="0" w:beforeAutospacing="0" w:after="0" w:afterAutospacing="0"/>
                    <w:ind w:left="0" w:right="0"/>
                    <w:jc w:val="center"/>
                    <w:rPr>
                      <w:rFonts w:hint="default"/>
                      <w:color w:val="auto"/>
                      <w:szCs w:val="21"/>
                      <w:u w:val="none"/>
                    </w:rPr>
                  </w:pPr>
                  <w:r>
                    <w:rPr>
                      <w:rFonts w:hint="default"/>
                      <w:color w:val="auto"/>
                      <w:u w:val="none"/>
                    </w:rPr>
                    <w:t>颗粒物</w:t>
                  </w:r>
                </w:p>
              </w:tc>
              <w:tc>
                <w:tcPr>
                  <w:tcW w:w="794" w:type="pct"/>
                  <w:vAlign w:val="center"/>
                </w:tcPr>
                <w:p w14:paraId="01235890">
                  <w:pPr>
                    <w:keepNext w:val="0"/>
                    <w:keepLines w:val="0"/>
                    <w:suppressLineNumbers w:val="0"/>
                    <w:spacing w:before="0" w:beforeAutospacing="0" w:after="0" w:afterAutospacing="0"/>
                    <w:ind w:left="0" w:right="0"/>
                    <w:jc w:val="center"/>
                    <w:rPr>
                      <w:rFonts w:hint="default" w:eastAsia="宋体"/>
                      <w:color w:val="auto"/>
                      <w:szCs w:val="21"/>
                      <w:u w:val="none"/>
                      <w:lang w:val="en-US" w:eastAsia="zh-CN"/>
                    </w:rPr>
                  </w:pPr>
                  <w:r>
                    <w:rPr>
                      <w:rFonts w:hint="eastAsia"/>
                      <w:color w:val="auto"/>
                      <w:u w:val="none"/>
                      <w:lang w:val="en-US" w:eastAsia="zh-CN"/>
                    </w:rPr>
                    <w:t>1.0</w:t>
                  </w:r>
                </w:p>
              </w:tc>
              <w:tc>
                <w:tcPr>
                  <w:tcW w:w="794" w:type="pct"/>
                  <w:vAlign w:val="center"/>
                </w:tcPr>
                <w:p w14:paraId="2511C37E">
                  <w:pPr>
                    <w:keepNext w:val="0"/>
                    <w:keepLines w:val="0"/>
                    <w:suppressLineNumbers w:val="0"/>
                    <w:spacing w:before="0" w:beforeAutospacing="0" w:after="0" w:afterAutospacing="0"/>
                    <w:ind w:left="0" w:right="0"/>
                    <w:jc w:val="center"/>
                    <w:rPr>
                      <w:rFonts w:hint="eastAsia"/>
                      <w:color w:val="auto"/>
                      <w:u w:val="none"/>
                      <w:lang w:val="en-US" w:eastAsia="zh-CN"/>
                    </w:rPr>
                  </w:pPr>
                  <w:r>
                    <w:rPr>
                      <w:rFonts w:hint="default"/>
                      <w:b w:val="0"/>
                      <w:bCs w:val="0"/>
                      <w:color w:val="auto"/>
                      <w:u w:val="none"/>
                    </w:rPr>
                    <w:t>mg/m</w:t>
                  </w:r>
                  <w:r>
                    <w:rPr>
                      <w:rFonts w:hint="default"/>
                      <w:b w:val="0"/>
                      <w:bCs w:val="0"/>
                      <w:color w:val="auto"/>
                      <w:u w:val="none"/>
                      <w:vertAlign w:val="superscript"/>
                    </w:rPr>
                    <w:t>3</w:t>
                  </w:r>
                </w:p>
              </w:tc>
              <w:tc>
                <w:tcPr>
                  <w:tcW w:w="2057" w:type="pct"/>
                  <w:vAlign w:val="center"/>
                </w:tcPr>
                <w:p w14:paraId="2300AC42">
                  <w:pPr>
                    <w:keepNext w:val="0"/>
                    <w:keepLines w:val="0"/>
                    <w:suppressLineNumbers w:val="0"/>
                    <w:spacing w:before="0" w:beforeAutospacing="0" w:after="0" w:afterAutospacing="0"/>
                    <w:ind w:left="0" w:right="0"/>
                    <w:jc w:val="center"/>
                    <w:rPr>
                      <w:rFonts w:hint="eastAsia"/>
                      <w:color w:val="auto"/>
                      <w:u w:val="none"/>
                      <w:lang w:val="en-US" w:eastAsia="zh-CN"/>
                    </w:rPr>
                  </w:pPr>
                  <w:r>
                    <w:rPr>
                      <w:rFonts w:hint="eastAsia"/>
                      <w:color w:val="auto"/>
                      <w:u w:val="none"/>
                      <w:lang w:val="en-US" w:eastAsia="zh-CN"/>
                    </w:rPr>
                    <w:t>《大气污染物综合排放标准》（GB16297-1996）</w:t>
                  </w:r>
                </w:p>
              </w:tc>
            </w:tr>
            <w:tr w14:paraId="2CD5E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9" w:type="dxa"/>
                  <w:bottom w:w="0" w:type="dxa"/>
                  <w:right w:w="99" w:type="dxa"/>
                </w:tblCellMar>
              </w:tblPrEx>
              <w:trPr>
                <w:cantSplit/>
                <w:trHeight w:val="340" w:hRule="atLeast"/>
                <w:jc w:val="center"/>
              </w:trPr>
              <w:tc>
                <w:tcPr>
                  <w:tcW w:w="1352" w:type="pct"/>
                  <w:vAlign w:val="center"/>
                </w:tcPr>
                <w:p w14:paraId="70FF8268">
                  <w:pPr>
                    <w:keepNext w:val="0"/>
                    <w:keepLines w:val="0"/>
                    <w:suppressLineNumbers w:val="0"/>
                    <w:spacing w:before="0" w:beforeAutospacing="0" w:after="0" w:afterAutospacing="0"/>
                    <w:ind w:left="0" w:right="0"/>
                    <w:jc w:val="center"/>
                    <w:rPr>
                      <w:rFonts w:hint="default" w:eastAsia="宋体"/>
                      <w:color w:val="auto"/>
                      <w:u w:val="none"/>
                      <w:lang w:val="en-US" w:eastAsia="zh-CN"/>
                    </w:rPr>
                  </w:pPr>
                  <w:r>
                    <w:rPr>
                      <w:rFonts w:hint="eastAsia"/>
                      <w:color w:val="auto"/>
                      <w:u w:val="none"/>
                      <w:lang w:val="en-US" w:eastAsia="zh-CN"/>
                    </w:rPr>
                    <w:t>臭气浓度</w:t>
                  </w:r>
                </w:p>
              </w:tc>
              <w:tc>
                <w:tcPr>
                  <w:tcW w:w="794" w:type="pct"/>
                  <w:vAlign w:val="center"/>
                </w:tcPr>
                <w:p w14:paraId="301ADB31">
                  <w:pPr>
                    <w:keepNext w:val="0"/>
                    <w:keepLines w:val="0"/>
                    <w:suppressLineNumbers w:val="0"/>
                    <w:spacing w:before="0" w:beforeAutospacing="0" w:after="0" w:afterAutospacing="0"/>
                    <w:ind w:left="0" w:right="0"/>
                    <w:jc w:val="center"/>
                    <w:rPr>
                      <w:rFonts w:hint="default" w:eastAsia="宋体"/>
                      <w:color w:val="auto"/>
                      <w:u w:val="none"/>
                      <w:lang w:val="en-US" w:eastAsia="zh-CN"/>
                    </w:rPr>
                  </w:pPr>
                  <w:r>
                    <w:rPr>
                      <w:rFonts w:hint="eastAsia"/>
                      <w:color w:val="auto"/>
                      <w:u w:val="none"/>
                      <w:lang w:val="en-US" w:eastAsia="zh-CN"/>
                    </w:rPr>
                    <w:t>20</w:t>
                  </w:r>
                </w:p>
              </w:tc>
              <w:tc>
                <w:tcPr>
                  <w:tcW w:w="794" w:type="pct"/>
                  <w:vAlign w:val="center"/>
                </w:tcPr>
                <w:p w14:paraId="3EA2E947">
                  <w:pPr>
                    <w:keepNext w:val="0"/>
                    <w:keepLines w:val="0"/>
                    <w:suppressLineNumbers w:val="0"/>
                    <w:spacing w:before="0" w:beforeAutospacing="0" w:after="0" w:afterAutospacing="0"/>
                    <w:ind w:left="0" w:right="0"/>
                    <w:jc w:val="center"/>
                    <w:rPr>
                      <w:rFonts w:hint="default"/>
                      <w:color w:val="auto"/>
                      <w:u w:val="none"/>
                      <w:lang w:val="en-US" w:eastAsia="zh-CN"/>
                    </w:rPr>
                  </w:pPr>
                  <w:r>
                    <w:rPr>
                      <w:rFonts w:hint="eastAsia"/>
                      <w:color w:val="auto"/>
                      <w:u w:val="none"/>
                      <w:lang w:val="en-US" w:eastAsia="zh-CN"/>
                    </w:rPr>
                    <w:t>无量纲</w:t>
                  </w:r>
                </w:p>
              </w:tc>
              <w:tc>
                <w:tcPr>
                  <w:tcW w:w="2057" w:type="pct"/>
                  <w:vMerge w:val="restart"/>
                  <w:vAlign w:val="center"/>
                </w:tcPr>
                <w:p w14:paraId="541AB128">
                  <w:pPr>
                    <w:keepNext w:val="0"/>
                    <w:keepLines w:val="0"/>
                    <w:suppressLineNumbers w:val="0"/>
                    <w:spacing w:before="0" w:beforeAutospacing="0" w:after="0" w:afterAutospacing="0"/>
                    <w:ind w:left="0" w:right="0"/>
                    <w:jc w:val="center"/>
                    <w:rPr>
                      <w:rFonts w:hint="eastAsia"/>
                      <w:color w:val="auto"/>
                      <w:u w:val="none"/>
                      <w:lang w:val="en-US" w:eastAsia="zh-CN"/>
                    </w:rPr>
                  </w:pPr>
                  <w:r>
                    <w:rPr>
                      <w:rFonts w:hint="eastAsia"/>
                      <w:color w:val="auto"/>
                      <w:u w:val="none"/>
                      <w:lang w:val="en-US" w:eastAsia="zh-CN"/>
                    </w:rPr>
                    <w:t>《恶臭污染物排放浓度》（GB14533-1993）</w:t>
                  </w:r>
                </w:p>
              </w:tc>
            </w:tr>
            <w:tr w14:paraId="7E532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9" w:type="dxa"/>
                  <w:bottom w:w="0" w:type="dxa"/>
                  <w:right w:w="99" w:type="dxa"/>
                </w:tblCellMar>
              </w:tblPrEx>
              <w:trPr>
                <w:cantSplit/>
                <w:trHeight w:val="340" w:hRule="atLeast"/>
                <w:jc w:val="center"/>
              </w:trPr>
              <w:tc>
                <w:tcPr>
                  <w:tcW w:w="1352" w:type="pct"/>
                  <w:vAlign w:val="center"/>
                </w:tcPr>
                <w:p w14:paraId="2AFF1135">
                  <w:pPr>
                    <w:keepNext w:val="0"/>
                    <w:keepLines w:val="0"/>
                    <w:suppressLineNumbers w:val="0"/>
                    <w:spacing w:before="0" w:beforeAutospacing="0" w:after="0" w:afterAutospacing="0"/>
                    <w:ind w:left="0" w:right="0"/>
                    <w:jc w:val="center"/>
                    <w:rPr>
                      <w:rFonts w:hint="default"/>
                      <w:color w:val="auto"/>
                      <w:u w:val="none"/>
                      <w:lang w:val="en-US" w:eastAsia="zh-CN"/>
                    </w:rPr>
                  </w:pPr>
                  <w:r>
                    <w:rPr>
                      <w:rFonts w:hint="eastAsia"/>
                      <w:color w:val="auto"/>
                      <w:u w:val="none"/>
                      <w:lang w:val="en-US" w:eastAsia="zh-CN"/>
                    </w:rPr>
                    <w:t>氨</w:t>
                  </w:r>
                </w:p>
              </w:tc>
              <w:tc>
                <w:tcPr>
                  <w:tcW w:w="794" w:type="pct"/>
                  <w:vAlign w:val="center"/>
                </w:tcPr>
                <w:p w14:paraId="72CB5363">
                  <w:pPr>
                    <w:keepNext w:val="0"/>
                    <w:keepLines w:val="0"/>
                    <w:suppressLineNumbers w:val="0"/>
                    <w:spacing w:before="0" w:beforeAutospacing="0" w:after="0" w:afterAutospacing="0"/>
                    <w:ind w:left="0" w:right="0"/>
                    <w:jc w:val="center"/>
                    <w:rPr>
                      <w:rFonts w:hint="default"/>
                      <w:color w:val="auto"/>
                      <w:u w:val="none"/>
                      <w:lang w:val="en-US" w:eastAsia="zh-CN"/>
                    </w:rPr>
                  </w:pPr>
                  <w:r>
                    <w:rPr>
                      <w:rFonts w:hint="eastAsia"/>
                      <w:color w:val="auto"/>
                      <w:u w:val="none"/>
                      <w:lang w:val="en-US" w:eastAsia="zh-CN"/>
                    </w:rPr>
                    <w:t>1.5</w:t>
                  </w:r>
                </w:p>
              </w:tc>
              <w:tc>
                <w:tcPr>
                  <w:tcW w:w="794" w:type="pct"/>
                  <w:vAlign w:val="center"/>
                </w:tcPr>
                <w:p w14:paraId="2DC1A298">
                  <w:pPr>
                    <w:keepNext w:val="0"/>
                    <w:keepLines w:val="0"/>
                    <w:suppressLineNumbers w:val="0"/>
                    <w:spacing w:before="0" w:beforeAutospacing="0" w:after="0" w:afterAutospacing="0"/>
                    <w:ind w:left="0" w:right="0"/>
                    <w:jc w:val="center"/>
                    <w:rPr>
                      <w:rFonts w:hint="eastAsia"/>
                      <w:color w:val="auto"/>
                      <w:u w:val="none"/>
                      <w:lang w:val="en-US" w:eastAsia="zh-CN"/>
                    </w:rPr>
                  </w:pPr>
                  <w:r>
                    <w:rPr>
                      <w:rFonts w:hint="default"/>
                      <w:b w:val="0"/>
                      <w:bCs w:val="0"/>
                      <w:color w:val="auto"/>
                      <w:u w:val="none"/>
                    </w:rPr>
                    <w:t>mg/m</w:t>
                  </w:r>
                  <w:r>
                    <w:rPr>
                      <w:rFonts w:hint="default"/>
                      <w:b w:val="0"/>
                      <w:bCs w:val="0"/>
                      <w:color w:val="auto"/>
                      <w:u w:val="none"/>
                      <w:vertAlign w:val="superscript"/>
                    </w:rPr>
                    <w:t>3</w:t>
                  </w:r>
                </w:p>
              </w:tc>
              <w:tc>
                <w:tcPr>
                  <w:tcW w:w="2057" w:type="pct"/>
                  <w:vMerge w:val="continue"/>
                  <w:vAlign w:val="center"/>
                </w:tcPr>
                <w:p w14:paraId="07D7A23E">
                  <w:pPr>
                    <w:keepNext w:val="0"/>
                    <w:keepLines w:val="0"/>
                    <w:suppressLineNumbers w:val="0"/>
                    <w:spacing w:before="0" w:beforeAutospacing="0" w:after="0" w:afterAutospacing="0"/>
                    <w:ind w:left="0" w:right="0"/>
                    <w:jc w:val="center"/>
                    <w:rPr>
                      <w:rFonts w:hint="eastAsia"/>
                      <w:color w:val="auto"/>
                      <w:u w:val="none"/>
                      <w:lang w:val="en-US" w:eastAsia="zh-CN"/>
                    </w:rPr>
                  </w:pPr>
                </w:p>
              </w:tc>
            </w:tr>
            <w:tr w14:paraId="7BB41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9" w:type="dxa"/>
                  <w:bottom w:w="0" w:type="dxa"/>
                  <w:right w:w="99" w:type="dxa"/>
                </w:tblCellMar>
              </w:tblPrEx>
              <w:trPr>
                <w:cantSplit/>
                <w:trHeight w:val="340" w:hRule="atLeast"/>
                <w:jc w:val="center"/>
              </w:trPr>
              <w:tc>
                <w:tcPr>
                  <w:tcW w:w="1352" w:type="pct"/>
                  <w:vAlign w:val="center"/>
                </w:tcPr>
                <w:p w14:paraId="60A6C62A">
                  <w:pPr>
                    <w:keepNext w:val="0"/>
                    <w:keepLines w:val="0"/>
                    <w:suppressLineNumbers w:val="0"/>
                    <w:spacing w:before="0" w:beforeAutospacing="0" w:after="0" w:afterAutospacing="0"/>
                    <w:ind w:left="0" w:right="0"/>
                    <w:jc w:val="center"/>
                    <w:rPr>
                      <w:rFonts w:hint="default"/>
                      <w:color w:val="auto"/>
                      <w:u w:val="none"/>
                      <w:lang w:val="en-US" w:eastAsia="zh-CN"/>
                    </w:rPr>
                  </w:pPr>
                  <w:r>
                    <w:rPr>
                      <w:rFonts w:hint="eastAsia"/>
                      <w:color w:val="auto"/>
                      <w:u w:val="none"/>
                      <w:lang w:val="en-US" w:eastAsia="zh-CN"/>
                    </w:rPr>
                    <w:t>硫化氢</w:t>
                  </w:r>
                </w:p>
              </w:tc>
              <w:tc>
                <w:tcPr>
                  <w:tcW w:w="794" w:type="pct"/>
                  <w:vAlign w:val="center"/>
                </w:tcPr>
                <w:p w14:paraId="424B2154">
                  <w:pPr>
                    <w:keepNext w:val="0"/>
                    <w:keepLines w:val="0"/>
                    <w:suppressLineNumbers w:val="0"/>
                    <w:spacing w:before="0" w:beforeAutospacing="0" w:after="0" w:afterAutospacing="0"/>
                    <w:ind w:left="0" w:right="0"/>
                    <w:jc w:val="center"/>
                    <w:rPr>
                      <w:rFonts w:hint="default"/>
                      <w:color w:val="auto"/>
                      <w:u w:val="none"/>
                      <w:lang w:val="en-US" w:eastAsia="zh-CN"/>
                    </w:rPr>
                  </w:pPr>
                  <w:r>
                    <w:rPr>
                      <w:rFonts w:hint="eastAsia"/>
                      <w:color w:val="auto"/>
                      <w:u w:val="none"/>
                      <w:lang w:val="en-US" w:eastAsia="zh-CN"/>
                    </w:rPr>
                    <w:t>0.06</w:t>
                  </w:r>
                </w:p>
              </w:tc>
              <w:tc>
                <w:tcPr>
                  <w:tcW w:w="794" w:type="pct"/>
                  <w:vAlign w:val="center"/>
                </w:tcPr>
                <w:p w14:paraId="64D9F66C">
                  <w:pPr>
                    <w:keepNext w:val="0"/>
                    <w:keepLines w:val="0"/>
                    <w:suppressLineNumbers w:val="0"/>
                    <w:spacing w:before="0" w:beforeAutospacing="0" w:after="0" w:afterAutospacing="0"/>
                    <w:ind w:left="0" w:right="0"/>
                    <w:jc w:val="center"/>
                    <w:rPr>
                      <w:rFonts w:hint="eastAsia"/>
                      <w:color w:val="auto"/>
                      <w:u w:val="none"/>
                      <w:lang w:val="en-US" w:eastAsia="zh-CN"/>
                    </w:rPr>
                  </w:pPr>
                  <w:r>
                    <w:rPr>
                      <w:rFonts w:hint="default"/>
                      <w:b w:val="0"/>
                      <w:bCs w:val="0"/>
                      <w:color w:val="auto"/>
                      <w:u w:val="none"/>
                    </w:rPr>
                    <w:t>mg/m</w:t>
                  </w:r>
                  <w:r>
                    <w:rPr>
                      <w:rFonts w:hint="default"/>
                      <w:b w:val="0"/>
                      <w:bCs w:val="0"/>
                      <w:color w:val="auto"/>
                      <w:u w:val="none"/>
                      <w:vertAlign w:val="superscript"/>
                    </w:rPr>
                    <w:t>3</w:t>
                  </w:r>
                </w:p>
              </w:tc>
              <w:tc>
                <w:tcPr>
                  <w:tcW w:w="2057" w:type="pct"/>
                  <w:vMerge w:val="continue"/>
                  <w:vAlign w:val="center"/>
                </w:tcPr>
                <w:p w14:paraId="41C8F918">
                  <w:pPr>
                    <w:keepNext w:val="0"/>
                    <w:keepLines w:val="0"/>
                    <w:suppressLineNumbers w:val="0"/>
                    <w:spacing w:before="0" w:beforeAutospacing="0" w:after="0" w:afterAutospacing="0"/>
                    <w:ind w:left="0" w:right="0"/>
                    <w:jc w:val="center"/>
                    <w:rPr>
                      <w:rFonts w:hint="eastAsia"/>
                      <w:color w:val="auto"/>
                      <w:u w:val="none"/>
                      <w:lang w:val="en-US" w:eastAsia="zh-CN"/>
                    </w:rPr>
                  </w:pPr>
                </w:p>
              </w:tc>
            </w:tr>
          </w:tbl>
          <w:p w14:paraId="4A9F3209">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b/>
                <w:bCs/>
                <w:color w:val="auto"/>
                <w:spacing w:val="-2"/>
                <w:sz w:val="24"/>
                <w:u w:val="single"/>
              </w:rPr>
            </w:pPr>
            <w:r>
              <w:rPr>
                <w:rFonts w:hint="eastAsia"/>
                <w:b/>
                <w:bCs/>
                <w:color w:val="auto"/>
                <w:spacing w:val="-2"/>
                <w:sz w:val="24"/>
                <w:u w:val="single"/>
                <w:lang w:val="en-US" w:eastAsia="zh-CN"/>
              </w:rPr>
              <w:t>2.2</w:t>
            </w:r>
            <w:r>
              <w:rPr>
                <w:rFonts w:hint="eastAsia"/>
                <w:b/>
                <w:bCs/>
                <w:color w:val="auto"/>
                <w:spacing w:val="-2"/>
                <w:sz w:val="24"/>
                <w:u w:val="single"/>
              </w:rPr>
              <w:t>废水排放标准</w:t>
            </w:r>
          </w:p>
          <w:p w14:paraId="116BB0BF">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single"/>
              </w:rPr>
            </w:pPr>
            <w:r>
              <w:rPr>
                <w:rFonts w:hint="eastAsia"/>
                <w:color w:val="auto"/>
                <w:spacing w:val="-2"/>
                <w:sz w:val="24"/>
                <w:u w:val="single"/>
              </w:rPr>
              <w:t>施工期间淤泥脱水废水经三级沉淀池→混凝沉淀（PAC+PAM）→活性炭吸附→清水池回用/达标排放</w:t>
            </w:r>
            <w:r>
              <w:rPr>
                <w:rFonts w:hint="eastAsia"/>
                <w:color w:val="auto"/>
                <w:spacing w:val="-2"/>
                <w:sz w:val="24"/>
                <w:u w:val="single"/>
                <w:lang w:eastAsia="zh-CN"/>
              </w:rPr>
              <w:t>（回用为主（80%），达标外排为辅（20%））</w:t>
            </w:r>
            <w:r>
              <w:rPr>
                <w:rFonts w:hint="eastAsia"/>
                <w:color w:val="auto"/>
                <w:spacing w:val="-2"/>
                <w:sz w:val="24"/>
                <w:u w:val="single"/>
              </w:rPr>
              <w:t>，排放标准执行《污水综合排放标准》（GB 8978-1996）一级标准</w:t>
            </w:r>
            <w:r>
              <w:rPr>
                <w:rFonts w:hint="eastAsia"/>
                <w:color w:val="auto"/>
                <w:spacing w:val="-2"/>
                <w:sz w:val="24"/>
                <w:u w:val="single"/>
                <w:lang w:eastAsia="zh-CN"/>
              </w:rPr>
              <w:t>；</w:t>
            </w:r>
            <w:r>
              <w:rPr>
                <w:rFonts w:hint="eastAsia"/>
                <w:color w:val="auto"/>
                <w:spacing w:val="-2"/>
                <w:sz w:val="24"/>
                <w:u w:val="single"/>
              </w:rPr>
              <w:t>员工生活依托租赁民房，产生的废水经市政污水管网排放处理。营运期间无外排废水。</w:t>
            </w:r>
          </w:p>
          <w:p w14:paraId="5CA33465">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b/>
                <w:bCs/>
                <w:color w:val="auto"/>
                <w:spacing w:val="-2"/>
                <w:sz w:val="24"/>
                <w:u w:val="none"/>
              </w:rPr>
            </w:pPr>
            <w:r>
              <w:rPr>
                <w:rFonts w:hint="eastAsia"/>
                <w:b/>
                <w:bCs/>
                <w:color w:val="auto"/>
                <w:spacing w:val="-2"/>
                <w:sz w:val="24"/>
                <w:u w:val="none"/>
                <w:lang w:val="en-US" w:eastAsia="zh-CN"/>
              </w:rPr>
              <w:t>2.3</w:t>
            </w:r>
            <w:r>
              <w:rPr>
                <w:rFonts w:hint="eastAsia"/>
                <w:b/>
                <w:bCs/>
                <w:color w:val="auto"/>
                <w:spacing w:val="-2"/>
                <w:sz w:val="24"/>
                <w:u w:val="none"/>
              </w:rPr>
              <w:t>噪声排放标准</w:t>
            </w:r>
          </w:p>
          <w:p w14:paraId="7BC65A9C">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eastAsia"/>
                <w:color w:val="auto"/>
                <w:spacing w:val="-2"/>
                <w:sz w:val="24"/>
                <w:u w:val="none"/>
              </w:rPr>
            </w:pPr>
            <w:r>
              <w:rPr>
                <w:rFonts w:hint="eastAsia"/>
                <w:color w:val="auto"/>
                <w:spacing w:val="-2"/>
                <w:sz w:val="24"/>
                <w:u w:val="none"/>
              </w:rPr>
              <w:t>施工期噪声执行《建筑施工场界环境噪声排放标准》（GB12523-2011），运营期厂界噪声执行《工业企业厂界环境噪声排放标准》（</w:t>
            </w:r>
            <w:r>
              <w:rPr>
                <w:rFonts w:hint="default"/>
                <w:color w:val="auto"/>
                <w:spacing w:val="-2"/>
                <w:sz w:val="24"/>
                <w:u w:val="none"/>
              </w:rPr>
              <w:t>GB12348-2008</w:t>
            </w:r>
            <w:r>
              <w:rPr>
                <w:rFonts w:hint="eastAsia"/>
                <w:color w:val="auto"/>
                <w:spacing w:val="-2"/>
                <w:sz w:val="24"/>
                <w:u w:val="none"/>
              </w:rPr>
              <w:t>）</w:t>
            </w:r>
            <w:r>
              <w:rPr>
                <w:rFonts w:hint="eastAsia"/>
                <w:color w:val="auto"/>
                <w:spacing w:val="-2"/>
                <w:sz w:val="24"/>
                <w:u w:val="none"/>
                <w:lang w:val="en-US" w:eastAsia="zh-CN"/>
              </w:rPr>
              <w:t>中2类标准</w:t>
            </w:r>
            <w:r>
              <w:rPr>
                <w:rFonts w:hint="eastAsia"/>
                <w:color w:val="auto"/>
                <w:spacing w:val="-2"/>
                <w:sz w:val="24"/>
                <w:u w:val="none"/>
              </w:rPr>
              <w:t>。</w:t>
            </w:r>
          </w:p>
          <w:p w14:paraId="01310906">
            <w:pPr>
              <w:pStyle w:val="7"/>
              <w:keepNext w:val="0"/>
              <w:keepLines w:val="0"/>
              <w:suppressLineNumbers w:val="0"/>
              <w:spacing w:before="0" w:beforeAutospacing="0" w:after="0" w:afterAutospacing="0" w:line="360" w:lineRule="exact"/>
              <w:ind w:left="0" w:right="0"/>
              <w:rPr>
                <w:rFonts w:hint="default" w:ascii="Times New Roman" w:hAnsi="Times New Roman"/>
                <w:color w:val="auto"/>
                <w:sz w:val="21"/>
                <w:u w:val="none"/>
              </w:rPr>
            </w:pPr>
            <w:r>
              <w:rPr>
                <w:rFonts w:hint="default" w:ascii="Times New Roman" w:hAnsi="Times New Roman"/>
                <w:color w:val="auto"/>
                <w:sz w:val="21"/>
                <w:u w:val="none"/>
              </w:rPr>
              <w:t>表</w:t>
            </w:r>
            <w:r>
              <w:rPr>
                <w:rFonts w:hint="eastAsia" w:ascii="Times New Roman" w:hAnsi="Times New Roman"/>
                <w:color w:val="auto"/>
                <w:sz w:val="21"/>
                <w:u w:val="none"/>
              </w:rPr>
              <w:t>3-</w:t>
            </w:r>
            <w:r>
              <w:rPr>
                <w:rFonts w:hint="eastAsia" w:ascii="Times New Roman" w:hAnsi="Times New Roman"/>
                <w:color w:val="auto"/>
                <w:sz w:val="21"/>
                <w:u w:val="none"/>
                <w:lang w:val="en-US" w:eastAsia="zh-CN"/>
              </w:rPr>
              <w:t>13</w:t>
            </w:r>
            <w:r>
              <w:rPr>
                <w:rFonts w:hint="eastAsia" w:ascii="Times New Roman" w:hAnsi="Times New Roman"/>
                <w:color w:val="auto"/>
                <w:sz w:val="21"/>
                <w:u w:val="none"/>
              </w:rPr>
              <w:t xml:space="preserve">  </w:t>
            </w:r>
            <w:r>
              <w:rPr>
                <w:rFonts w:hint="eastAsia" w:ascii="Times New Roman" w:hAnsi="Times New Roman"/>
                <w:color w:val="auto"/>
                <w:sz w:val="21"/>
                <w:u w:val="none"/>
                <w:lang w:val="en-US" w:eastAsia="zh-CN"/>
              </w:rPr>
              <w:t>环境噪声排放</w:t>
            </w:r>
            <w:r>
              <w:rPr>
                <w:rFonts w:hint="default" w:ascii="Times New Roman" w:hAnsi="Times New Roman"/>
                <w:color w:val="auto"/>
                <w:sz w:val="21"/>
                <w:u w:val="none"/>
              </w:rPr>
              <w:t>标准</w:t>
            </w:r>
            <w:r>
              <w:rPr>
                <w:rFonts w:hint="eastAsia" w:ascii="Times New Roman" w:hAnsi="Times New Roman"/>
                <w:color w:val="auto"/>
                <w:sz w:val="21"/>
                <w:u w:val="none"/>
              </w:rPr>
              <w:t xml:space="preserve">   </w:t>
            </w:r>
            <w:r>
              <w:rPr>
                <w:rFonts w:hint="default" w:ascii="Times New Roman" w:hAnsi="Times New Roman"/>
                <w:color w:val="auto"/>
                <w:sz w:val="21"/>
                <w:u w:val="none"/>
              </w:rPr>
              <w:t>单位：dB（A）</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95"/>
              <w:gridCol w:w="1325"/>
              <w:gridCol w:w="1433"/>
              <w:gridCol w:w="1252"/>
            </w:tblGrid>
            <w:tr w14:paraId="23D7F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6" w:type="pct"/>
                  <w:vAlign w:val="center"/>
                </w:tcPr>
                <w:p w14:paraId="4DA12B2C">
                  <w:pPr>
                    <w:keepNext w:val="0"/>
                    <w:keepLines w:val="0"/>
                    <w:suppressLineNumbers w:val="0"/>
                    <w:tabs>
                      <w:tab w:val="left" w:pos="360"/>
                    </w:tabs>
                    <w:spacing w:before="0" w:beforeAutospacing="0" w:after="0" w:afterAutospacing="0"/>
                    <w:ind w:left="0" w:right="0"/>
                    <w:jc w:val="center"/>
                    <w:rPr>
                      <w:rFonts w:hint="default"/>
                      <w:b/>
                      <w:bCs/>
                      <w:color w:val="auto"/>
                      <w:szCs w:val="21"/>
                      <w:u w:val="none"/>
                    </w:rPr>
                  </w:pPr>
                  <w:r>
                    <w:rPr>
                      <w:rFonts w:hint="eastAsia"/>
                      <w:b/>
                      <w:bCs/>
                      <w:color w:val="auto"/>
                      <w:szCs w:val="21"/>
                      <w:u w:val="none"/>
                    </w:rPr>
                    <w:t>标准名称</w:t>
                  </w:r>
                </w:p>
              </w:tc>
              <w:tc>
                <w:tcPr>
                  <w:tcW w:w="817" w:type="pct"/>
                  <w:vAlign w:val="center"/>
                </w:tcPr>
                <w:p w14:paraId="5759FA34">
                  <w:pPr>
                    <w:keepNext w:val="0"/>
                    <w:keepLines w:val="0"/>
                    <w:suppressLineNumbers w:val="0"/>
                    <w:tabs>
                      <w:tab w:val="left" w:pos="360"/>
                    </w:tabs>
                    <w:spacing w:before="0" w:beforeAutospacing="0" w:after="0" w:afterAutospacing="0"/>
                    <w:ind w:left="0" w:right="0"/>
                    <w:jc w:val="center"/>
                    <w:rPr>
                      <w:rFonts w:hint="eastAsia" w:eastAsia="宋体"/>
                      <w:b/>
                      <w:bCs/>
                      <w:color w:val="auto"/>
                      <w:szCs w:val="21"/>
                      <w:u w:val="none"/>
                      <w:lang w:eastAsia="zh-CN"/>
                    </w:rPr>
                  </w:pPr>
                  <w:r>
                    <w:rPr>
                      <w:rFonts w:hint="eastAsia"/>
                      <w:b/>
                      <w:bCs/>
                      <w:color w:val="auto"/>
                      <w:szCs w:val="21"/>
                      <w:u w:val="none"/>
                      <w:lang w:val="en-US" w:eastAsia="zh-CN"/>
                    </w:rPr>
                    <w:t>执行时段</w:t>
                  </w:r>
                </w:p>
              </w:tc>
              <w:tc>
                <w:tcPr>
                  <w:tcW w:w="884" w:type="pct"/>
                  <w:vAlign w:val="center"/>
                </w:tcPr>
                <w:p w14:paraId="493555C7">
                  <w:pPr>
                    <w:keepNext w:val="0"/>
                    <w:keepLines w:val="0"/>
                    <w:suppressLineNumbers w:val="0"/>
                    <w:tabs>
                      <w:tab w:val="left" w:pos="360"/>
                    </w:tabs>
                    <w:spacing w:before="0" w:beforeAutospacing="0" w:after="0" w:afterAutospacing="0"/>
                    <w:ind w:left="0" w:right="0"/>
                    <w:jc w:val="center"/>
                    <w:rPr>
                      <w:rFonts w:hint="default"/>
                      <w:b/>
                      <w:bCs/>
                      <w:color w:val="auto"/>
                      <w:szCs w:val="21"/>
                      <w:u w:val="none"/>
                    </w:rPr>
                  </w:pPr>
                  <w:r>
                    <w:rPr>
                      <w:rFonts w:hint="default"/>
                      <w:b/>
                      <w:bCs/>
                      <w:color w:val="auto"/>
                      <w:szCs w:val="21"/>
                      <w:u w:val="none"/>
                    </w:rPr>
                    <w:t>昼间</w:t>
                  </w:r>
                </w:p>
              </w:tc>
              <w:tc>
                <w:tcPr>
                  <w:tcW w:w="772" w:type="pct"/>
                  <w:vAlign w:val="center"/>
                </w:tcPr>
                <w:p w14:paraId="6304AF0D">
                  <w:pPr>
                    <w:keepNext w:val="0"/>
                    <w:keepLines w:val="0"/>
                    <w:suppressLineNumbers w:val="0"/>
                    <w:tabs>
                      <w:tab w:val="left" w:pos="360"/>
                    </w:tabs>
                    <w:spacing w:before="0" w:beforeAutospacing="0" w:after="0" w:afterAutospacing="0"/>
                    <w:ind w:left="0" w:right="0"/>
                    <w:jc w:val="center"/>
                    <w:rPr>
                      <w:rFonts w:hint="default"/>
                      <w:b/>
                      <w:bCs/>
                      <w:color w:val="auto"/>
                      <w:szCs w:val="21"/>
                      <w:u w:val="none"/>
                    </w:rPr>
                  </w:pPr>
                  <w:r>
                    <w:rPr>
                      <w:rFonts w:hint="default"/>
                      <w:b/>
                      <w:bCs/>
                      <w:color w:val="auto"/>
                      <w:szCs w:val="21"/>
                      <w:u w:val="none"/>
                    </w:rPr>
                    <w:t>夜间</w:t>
                  </w:r>
                </w:p>
              </w:tc>
            </w:tr>
            <w:tr w14:paraId="73F64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6" w:type="pct"/>
                  <w:vAlign w:val="center"/>
                </w:tcPr>
                <w:p w14:paraId="36AF963A">
                  <w:pPr>
                    <w:keepNext w:val="0"/>
                    <w:keepLines w:val="0"/>
                    <w:suppressLineNumbers w:val="0"/>
                    <w:tabs>
                      <w:tab w:val="left" w:pos="360"/>
                    </w:tabs>
                    <w:spacing w:before="0" w:beforeAutospacing="0" w:after="0" w:afterAutospacing="0"/>
                    <w:ind w:left="0" w:right="0"/>
                    <w:jc w:val="center"/>
                    <w:rPr>
                      <w:rFonts w:hint="default"/>
                      <w:color w:val="auto"/>
                      <w:szCs w:val="21"/>
                      <w:u w:val="none"/>
                    </w:rPr>
                  </w:pPr>
                  <w:r>
                    <w:rPr>
                      <w:rFonts w:hint="default"/>
                      <w:color w:val="auto"/>
                      <w:szCs w:val="21"/>
                      <w:u w:val="none"/>
                    </w:rPr>
                    <w:t>《建筑施工场界环境噪声排放标准》</w:t>
                  </w:r>
                </w:p>
              </w:tc>
              <w:tc>
                <w:tcPr>
                  <w:tcW w:w="817" w:type="pct"/>
                  <w:vAlign w:val="center"/>
                </w:tcPr>
                <w:p w14:paraId="47E21F3D">
                  <w:pPr>
                    <w:keepNext w:val="0"/>
                    <w:keepLines w:val="0"/>
                    <w:suppressLineNumbers w:val="0"/>
                    <w:tabs>
                      <w:tab w:val="left" w:pos="360"/>
                    </w:tabs>
                    <w:spacing w:before="0" w:beforeAutospacing="0" w:after="0" w:afterAutospacing="0"/>
                    <w:ind w:left="0" w:right="0"/>
                    <w:jc w:val="center"/>
                    <w:rPr>
                      <w:rFonts w:hint="eastAsia" w:eastAsia="宋体"/>
                      <w:color w:val="auto"/>
                      <w:szCs w:val="21"/>
                      <w:u w:val="none"/>
                      <w:lang w:val="en-US" w:eastAsia="zh-CN"/>
                    </w:rPr>
                  </w:pPr>
                  <w:r>
                    <w:rPr>
                      <w:rFonts w:hint="eastAsia"/>
                      <w:color w:val="auto"/>
                      <w:szCs w:val="21"/>
                      <w:u w:val="none"/>
                      <w:lang w:val="en-US" w:eastAsia="zh-CN"/>
                    </w:rPr>
                    <w:t>施工期</w:t>
                  </w:r>
                </w:p>
              </w:tc>
              <w:tc>
                <w:tcPr>
                  <w:tcW w:w="884" w:type="pct"/>
                  <w:vAlign w:val="center"/>
                </w:tcPr>
                <w:p w14:paraId="5624C2B3">
                  <w:pPr>
                    <w:keepNext w:val="0"/>
                    <w:keepLines w:val="0"/>
                    <w:suppressLineNumbers w:val="0"/>
                    <w:tabs>
                      <w:tab w:val="left" w:pos="360"/>
                    </w:tabs>
                    <w:spacing w:before="0" w:beforeAutospacing="0" w:after="0" w:afterAutospacing="0"/>
                    <w:ind w:left="0" w:right="0"/>
                    <w:jc w:val="center"/>
                    <w:rPr>
                      <w:rFonts w:hint="default" w:eastAsia="宋体"/>
                      <w:color w:val="auto"/>
                      <w:szCs w:val="21"/>
                      <w:u w:val="none"/>
                      <w:lang w:val="en-US" w:eastAsia="zh-CN"/>
                    </w:rPr>
                  </w:pPr>
                  <w:r>
                    <w:rPr>
                      <w:rFonts w:hint="eastAsia"/>
                      <w:color w:val="auto"/>
                      <w:szCs w:val="21"/>
                      <w:u w:val="none"/>
                      <w:lang w:val="en-US" w:eastAsia="zh-CN"/>
                    </w:rPr>
                    <w:t>70</w:t>
                  </w:r>
                </w:p>
              </w:tc>
              <w:tc>
                <w:tcPr>
                  <w:tcW w:w="772" w:type="pct"/>
                  <w:vAlign w:val="center"/>
                </w:tcPr>
                <w:p w14:paraId="49A7DFC9">
                  <w:pPr>
                    <w:keepNext w:val="0"/>
                    <w:keepLines w:val="0"/>
                    <w:suppressLineNumbers w:val="0"/>
                    <w:tabs>
                      <w:tab w:val="left" w:pos="360"/>
                    </w:tabs>
                    <w:spacing w:before="0" w:beforeAutospacing="0" w:after="0" w:afterAutospacing="0"/>
                    <w:ind w:left="0" w:right="0"/>
                    <w:jc w:val="center"/>
                    <w:rPr>
                      <w:rFonts w:hint="default" w:eastAsia="宋体"/>
                      <w:color w:val="auto"/>
                      <w:szCs w:val="21"/>
                      <w:u w:val="none"/>
                      <w:lang w:val="en-US" w:eastAsia="zh-CN"/>
                    </w:rPr>
                  </w:pPr>
                  <w:r>
                    <w:rPr>
                      <w:rFonts w:hint="eastAsia"/>
                      <w:color w:val="auto"/>
                      <w:szCs w:val="21"/>
                      <w:u w:val="none"/>
                      <w:lang w:val="en-US" w:eastAsia="zh-CN"/>
                    </w:rPr>
                    <w:t>55</w:t>
                  </w:r>
                </w:p>
              </w:tc>
            </w:tr>
            <w:tr w14:paraId="0644A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6" w:type="pct"/>
                  <w:vAlign w:val="center"/>
                </w:tcPr>
                <w:p w14:paraId="7473E2F0">
                  <w:pPr>
                    <w:keepNext w:val="0"/>
                    <w:keepLines w:val="0"/>
                    <w:suppressLineNumbers w:val="0"/>
                    <w:tabs>
                      <w:tab w:val="left" w:pos="360"/>
                    </w:tabs>
                    <w:spacing w:before="0" w:beforeAutospacing="0" w:after="0" w:afterAutospacing="0"/>
                    <w:ind w:left="0" w:right="0"/>
                    <w:jc w:val="center"/>
                    <w:rPr>
                      <w:rFonts w:hint="default"/>
                      <w:color w:val="auto"/>
                      <w:szCs w:val="21"/>
                      <w:u w:val="none"/>
                    </w:rPr>
                  </w:pPr>
                  <w:r>
                    <w:rPr>
                      <w:rFonts w:hint="default"/>
                      <w:color w:val="auto"/>
                      <w:szCs w:val="21"/>
                      <w:u w:val="none"/>
                    </w:rPr>
                    <w:t>《声环境质量标准》（GB3096-2008）</w:t>
                  </w:r>
                  <w:r>
                    <w:rPr>
                      <w:rFonts w:hint="eastAsia"/>
                      <w:color w:val="auto"/>
                      <w:szCs w:val="21"/>
                      <w:u w:val="none"/>
                    </w:rPr>
                    <w:t>2</w:t>
                  </w:r>
                  <w:r>
                    <w:rPr>
                      <w:rFonts w:hint="default"/>
                      <w:color w:val="auto"/>
                      <w:szCs w:val="21"/>
                      <w:u w:val="none"/>
                    </w:rPr>
                    <w:t>类</w:t>
                  </w:r>
                </w:p>
              </w:tc>
              <w:tc>
                <w:tcPr>
                  <w:tcW w:w="817" w:type="pct"/>
                  <w:vAlign w:val="center"/>
                </w:tcPr>
                <w:p w14:paraId="296CB4D3">
                  <w:pPr>
                    <w:keepNext w:val="0"/>
                    <w:keepLines w:val="0"/>
                    <w:suppressLineNumbers w:val="0"/>
                    <w:tabs>
                      <w:tab w:val="left" w:pos="360"/>
                    </w:tabs>
                    <w:spacing w:before="0" w:beforeAutospacing="0" w:after="0" w:afterAutospacing="0"/>
                    <w:ind w:left="0" w:right="0"/>
                    <w:jc w:val="center"/>
                    <w:rPr>
                      <w:rFonts w:hint="default" w:eastAsia="宋体"/>
                      <w:color w:val="auto"/>
                      <w:szCs w:val="21"/>
                      <w:u w:val="none"/>
                      <w:lang w:val="en-US" w:eastAsia="zh-CN"/>
                    </w:rPr>
                  </w:pPr>
                  <w:r>
                    <w:rPr>
                      <w:rFonts w:hint="eastAsia"/>
                      <w:color w:val="auto"/>
                      <w:szCs w:val="21"/>
                      <w:u w:val="none"/>
                      <w:lang w:val="en-US" w:eastAsia="zh-CN"/>
                    </w:rPr>
                    <w:t>运营期</w:t>
                  </w:r>
                </w:p>
              </w:tc>
              <w:tc>
                <w:tcPr>
                  <w:tcW w:w="884" w:type="pct"/>
                  <w:vAlign w:val="center"/>
                </w:tcPr>
                <w:p w14:paraId="47F9AF9D">
                  <w:pPr>
                    <w:keepNext w:val="0"/>
                    <w:keepLines w:val="0"/>
                    <w:suppressLineNumbers w:val="0"/>
                    <w:tabs>
                      <w:tab w:val="left" w:pos="360"/>
                    </w:tabs>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color w:val="auto"/>
                      <w:szCs w:val="21"/>
                      <w:u w:val="none"/>
                    </w:rPr>
                    <w:t>6</w:t>
                  </w:r>
                  <w:r>
                    <w:rPr>
                      <w:rFonts w:hint="eastAsia"/>
                      <w:color w:val="auto"/>
                      <w:szCs w:val="21"/>
                      <w:u w:val="none"/>
                    </w:rPr>
                    <w:t>0</w:t>
                  </w:r>
                </w:p>
              </w:tc>
              <w:tc>
                <w:tcPr>
                  <w:tcW w:w="772" w:type="pct"/>
                  <w:vAlign w:val="center"/>
                </w:tcPr>
                <w:p w14:paraId="1D6AB0BC">
                  <w:pPr>
                    <w:keepNext w:val="0"/>
                    <w:keepLines w:val="0"/>
                    <w:suppressLineNumbers w:val="0"/>
                    <w:tabs>
                      <w:tab w:val="left" w:pos="360"/>
                    </w:tabs>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color w:val="auto"/>
                      <w:szCs w:val="21"/>
                      <w:u w:val="none"/>
                    </w:rPr>
                    <w:t>5</w:t>
                  </w:r>
                  <w:r>
                    <w:rPr>
                      <w:rFonts w:hint="eastAsia"/>
                      <w:color w:val="auto"/>
                      <w:szCs w:val="21"/>
                      <w:u w:val="none"/>
                    </w:rPr>
                    <w:t>0</w:t>
                  </w:r>
                </w:p>
              </w:tc>
            </w:tr>
          </w:tbl>
          <w:p w14:paraId="77611BC5">
            <w:pPr>
              <w:keepNext w:val="0"/>
              <w:keepLines w:val="0"/>
              <w:suppressLineNumbers w:val="0"/>
              <w:autoSpaceDE w:val="0"/>
              <w:autoSpaceDN w:val="0"/>
              <w:adjustRightInd w:val="0"/>
              <w:snapToGrid w:val="0"/>
              <w:spacing w:before="0" w:beforeAutospacing="0" w:after="0" w:afterAutospacing="0" w:line="360" w:lineRule="auto"/>
              <w:ind w:left="0" w:right="0" w:firstLine="474" w:firstLineChars="200"/>
              <w:rPr>
                <w:rFonts w:hint="default"/>
                <w:b/>
                <w:bCs/>
                <w:color w:val="auto"/>
                <w:spacing w:val="-2"/>
                <w:sz w:val="24"/>
                <w:u w:val="single"/>
              </w:rPr>
            </w:pPr>
            <w:r>
              <w:rPr>
                <w:rFonts w:hint="eastAsia"/>
                <w:b/>
                <w:bCs/>
                <w:color w:val="auto"/>
                <w:spacing w:val="-2"/>
                <w:sz w:val="24"/>
                <w:u w:val="single"/>
                <w:lang w:val="en-US" w:eastAsia="zh-CN"/>
              </w:rPr>
              <w:t>2.4</w:t>
            </w:r>
            <w:r>
              <w:rPr>
                <w:rFonts w:hint="eastAsia"/>
                <w:b/>
                <w:bCs/>
                <w:color w:val="auto"/>
                <w:spacing w:val="-2"/>
                <w:sz w:val="24"/>
                <w:u w:val="single"/>
              </w:rPr>
              <w:t>固体废物</w:t>
            </w:r>
          </w:p>
          <w:p w14:paraId="76140AF8">
            <w:pPr>
              <w:keepNext w:val="0"/>
              <w:keepLines w:val="0"/>
              <w:suppressLineNumbers w:val="0"/>
              <w:autoSpaceDE w:val="0"/>
              <w:autoSpaceDN w:val="0"/>
              <w:adjustRightInd w:val="0"/>
              <w:snapToGrid w:val="0"/>
              <w:spacing w:before="0" w:beforeAutospacing="0" w:after="0" w:afterAutospacing="0" w:line="360" w:lineRule="auto"/>
              <w:ind w:left="0" w:right="0" w:firstLine="472" w:firstLineChars="200"/>
              <w:rPr>
                <w:rFonts w:hint="default" w:ascii="宋体" w:hAnsi="宋体" w:cs="宋体"/>
                <w:color w:val="auto"/>
                <w:kern w:val="0"/>
                <w:szCs w:val="21"/>
                <w:u w:val="none"/>
              </w:rPr>
            </w:pPr>
            <w:r>
              <w:rPr>
                <w:rFonts w:hint="eastAsia"/>
                <w:color w:val="auto"/>
                <w:spacing w:val="-2"/>
                <w:sz w:val="24"/>
                <w:u w:val="single"/>
              </w:rPr>
              <w:t>生活垃圾</w:t>
            </w:r>
            <w:r>
              <w:rPr>
                <w:rFonts w:hint="eastAsia"/>
                <w:color w:val="auto"/>
                <w:spacing w:val="-2"/>
                <w:sz w:val="24"/>
                <w:u w:val="single"/>
                <w:lang w:val="en-US" w:eastAsia="zh-CN"/>
              </w:rPr>
              <w:t>交由环卫部门处置</w:t>
            </w:r>
            <w:r>
              <w:rPr>
                <w:rFonts w:hint="eastAsia"/>
                <w:color w:val="auto"/>
                <w:spacing w:val="-2"/>
                <w:sz w:val="24"/>
                <w:u w:val="single"/>
              </w:rPr>
              <w:t>；一般工业固体废物执行《一般工业固体废物贮存和填埋污染控制标准》（GB18599-2020）标准要求</w:t>
            </w:r>
            <w:r>
              <w:rPr>
                <w:rFonts w:hint="eastAsia"/>
                <w:color w:val="auto"/>
                <w:spacing w:val="-2"/>
                <w:sz w:val="24"/>
                <w:u w:val="single"/>
                <w:lang w:eastAsia="zh-CN"/>
              </w:rPr>
              <w:t>。</w:t>
            </w:r>
          </w:p>
        </w:tc>
      </w:tr>
      <w:tr w14:paraId="4DA644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19" w:hRule="atLeast"/>
          <w:jc w:val="center"/>
        </w:trPr>
        <w:tc>
          <w:tcPr>
            <w:tcW w:w="491" w:type="pct"/>
            <w:vAlign w:val="center"/>
          </w:tcPr>
          <w:p w14:paraId="2D6A4BCD">
            <w:pPr>
              <w:keepNext w:val="0"/>
              <w:keepLines w:val="0"/>
              <w:suppressLineNumbers w:val="0"/>
              <w:adjustRightInd w:val="0"/>
              <w:snapToGrid w:val="0"/>
              <w:spacing w:before="0" w:beforeAutospacing="0" w:after="0" w:afterAutospacing="0"/>
              <w:ind w:left="0" w:right="0"/>
              <w:jc w:val="center"/>
              <w:rPr>
                <w:rFonts w:hint="default" w:ascii="宋体" w:hAnsi="宋体" w:cs="宋体"/>
                <w:b/>
                <w:bCs/>
                <w:color w:val="auto"/>
                <w:kern w:val="0"/>
                <w:sz w:val="24"/>
                <w:u w:val="none"/>
              </w:rPr>
            </w:pPr>
            <w:r>
              <w:rPr>
                <w:rFonts w:hint="eastAsia" w:ascii="宋体" w:hAnsi="宋体" w:cs="宋体"/>
                <w:b/>
                <w:bCs/>
                <w:color w:val="auto"/>
                <w:kern w:val="0"/>
                <w:sz w:val="24"/>
                <w:u w:val="none"/>
              </w:rPr>
              <w:t>其他</w:t>
            </w:r>
          </w:p>
        </w:tc>
        <w:tc>
          <w:tcPr>
            <w:tcW w:w="4509" w:type="pct"/>
            <w:vAlign w:val="center"/>
          </w:tcPr>
          <w:p w14:paraId="06DE8C97">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olor w:val="auto"/>
                <w:spacing w:val="-2"/>
                <w:sz w:val="24"/>
                <w:u w:val="none"/>
              </w:rPr>
            </w:pPr>
            <w:r>
              <w:rPr>
                <w:rFonts w:hint="default"/>
                <w:color w:val="auto"/>
                <w:sz w:val="24"/>
                <w:u w:val="none"/>
              </w:rPr>
              <w:t>本工程为非污染生态类项目，故不涉及总量控制问题。</w:t>
            </w:r>
          </w:p>
        </w:tc>
      </w:tr>
    </w:tbl>
    <w:p w14:paraId="27779673">
      <w:pPr>
        <w:pStyle w:val="23"/>
        <w:ind w:left="354" w:hanging="354" w:hangingChars="118"/>
        <w:jc w:val="center"/>
        <w:outlineLvl w:val="0"/>
        <w:rPr>
          <w:rFonts w:ascii="黑体" w:hAnsi="黑体" w:eastAsia="黑体"/>
          <w:snapToGrid w:val="0"/>
          <w:color w:val="auto"/>
          <w:sz w:val="30"/>
          <w:szCs w:val="30"/>
          <w:u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4453E4C9">
      <w:pPr>
        <w:pStyle w:val="23"/>
        <w:ind w:left="354" w:hanging="354" w:hangingChars="118"/>
        <w:jc w:val="center"/>
        <w:outlineLvl w:val="0"/>
        <w:rPr>
          <w:rFonts w:ascii="黑体" w:hAnsi="黑体" w:eastAsia="黑体"/>
          <w:snapToGrid w:val="0"/>
          <w:color w:val="auto"/>
          <w:sz w:val="30"/>
          <w:szCs w:val="30"/>
          <w:u w:val="none"/>
        </w:rPr>
      </w:pPr>
      <w:bookmarkStart w:id="5" w:name="_Toc85201452"/>
      <w:r>
        <w:rPr>
          <w:rFonts w:hint="eastAsia" w:ascii="黑体" w:hAnsi="黑体" w:eastAsia="黑体"/>
          <w:snapToGrid w:val="0"/>
          <w:color w:val="auto"/>
          <w:sz w:val="30"/>
          <w:szCs w:val="30"/>
          <w:u w:val="none"/>
        </w:rPr>
        <w:t>四、生态环境影响分析</w:t>
      </w:r>
      <w:bookmarkEnd w:id="5"/>
    </w:p>
    <w:tbl>
      <w:tblPr>
        <w:tblStyle w:val="27"/>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54"/>
        <w:gridCol w:w="7388"/>
      </w:tblGrid>
      <w:tr w14:paraId="43F91E7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24" w:type="pct"/>
            <w:tcMar>
              <w:left w:w="28" w:type="dxa"/>
              <w:right w:w="28" w:type="dxa"/>
            </w:tcMar>
            <w:vAlign w:val="center"/>
          </w:tcPr>
          <w:p w14:paraId="4B3D374E">
            <w:pPr>
              <w:pStyle w:val="23"/>
              <w:keepNext w:val="0"/>
              <w:keepLines w:val="0"/>
              <w:suppressLineNumbers w:val="0"/>
              <w:adjustRightInd w:val="0"/>
              <w:snapToGrid w:val="0"/>
              <w:spacing w:before="0" w:beforeAutospacing="0" w:after="0" w:afterAutospacing="0"/>
              <w:ind w:left="0" w:right="0"/>
              <w:jc w:val="center"/>
              <w:rPr>
                <w:rFonts w:hint="default" w:cs="宋体"/>
                <w:b/>
                <w:color w:val="auto"/>
                <w:szCs w:val="24"/>
                <w:u w:val="none"/>
              </w:rPr>
            </w:pPr>
            <w:bookmarkStart w:id="6" w:name="_Hlk49796138"/>
            <w:r>
              <w:rPr>
                <w:rFonts w:hint="eastAsia" w:cs="宋体"/>
                <w:b/>
                <w:color w:val="auto"/>
                <w:spacing w:val="10"/>
                <w:szCs w:val="24"/>
                <w:u w:val="none"/>
              </w:rPr>
              <w:t>施工期生态环境影响分析</w:t>
            </w:r>
            <w:bookmarkEnd w:id="6"/>
          </w:p>
        </w:tc>
        <w:tc>
          <w:tcPr>
            <w:tcW w:w="4376" w:type="pct"/>
            <w:vAlign w:val="center"/>
          </w:tcPr>
          <w:p w14:paraId="1D088215">
            <w:pPr>
              <w:keepNext w:val="0"/>
              <w:keepLines w:val="0"/>
              <w:suppressLineNumbers w:val="0"/>
              <w:spacing w:before="0" w:beforeAutospacing="0" w:after="0" w:afterAutospacing="0" w:line="360" w:lineRule="auto"/>
              <w:ind w:left="0" w:right="0" w:firstLine="480" w:firstLineChars="200"/>
              <w:rPr>
                <w:rFonts w:hint="eastAsia" w:eastAsia="宋体"/>
                <w:color w:val="auto"/>
                <w:sz w:val="24"/>
                <w:highlight w:val="none"/>
                <w:u w:val="single"/>
                <w:lang w:eastAsia="zh-CN"/>
              </w:rPr>
            </w:pPr>
            <w:r>
              <w:rPr>
                <w:rFonts w:hint="eastAsia"/>
                <w:color w:val="auto"/>
                <w:sz w:val="24"/>
                <w:u w:val="single"/>
              </w:rPr>
              <w:t>项目施工期建设内容主要包</w:t>
            </w:r>
            <w:r>
              <w:rPr>
                <w:rFonts w:hint="eastAsia"/>
                <w:color w:val="auto"/>
                <w:sz w:val="24"/>
                <w:u w:val="single"/>
                <w:lang w:val="en-US" w:eastAsia="zh-CN"/>
              </w:rPr>
              <w:t>城区内涝点</w:t>
            </w:r>
            <w:r>
              <w:rPr>
                <w:rFonts w:hint="eastAsia"/>
                <w:color w:val="auto"/>
                <w:sz w:val="24"/>
                <w:u w:val="single"/>
              </w:rPr>
              <w:t>管道建设工程</w:t>
            </w:r>
            <w:r>
              <w:rPr>
                <w:rFonts w:hint="eastAsia"/>
                <w:color w:val="auto"/>
                <w:sz w:val="24"/>
                <w:u w:val="single"/>
                <w:lang w:eastAsia="zh-CN"/>
              </w:rPr>
              <w:t>、</w:t>
            </w:r>
            <w:r>
              <w:rPr>
                <w:rFonts w:hint="eastAsia"/>
                <w:color w:val="auto"/>
                <w:sz w:val="24"/>
                <w:u w:val="single"/>
                <w:lang w:val="en-US" w:eastAsia="zh-CN"/>
              </w:rPr>
              <w:t>雨水行泄通道</w:t>
            </w:r>
            <w:r>
              <w:rPr>
                <w:rFonts w:hint="eastAsia"/>
                <w:color w:val="auto"/>
                <w:sz w:val="24"/>
                <w:u w:val="single"/>
              </w:rPr>
              <w:t>清淤</w:t>
            </w:r>
            <w:r>
              <w:rPr>
                <w:rFonts w:hint="eastAsia"/>
                <w:color w:val="auto"/>
                <w:sz w:val="24"/>
                <w:u w:val="single"/>
                <w:lang w:val="en-US" w:eastAsia="zh-CN"/>
              </w:rPr>
              <w:t>及挡墙</w:t>
            </w:r>
            <w:r>
              <w:rPr>
                <w:rFonts w:hint="eastAsia"/>
                <w:color w:val="auto"/>
                <w:sz w:val="24"/>
                <w:u w:val="single"/>
              </w:rPr>
              <w:t>修</w:t>
            </w:r>
            <w:r>
              <w:rPr>
                <w:rFonts w:hint="eastAsia"/>
                <w:color w:val="auto"/>
                <w:sz w:val="24"/>
                <w:u w:val="single"/>
                <w:lang w:val="en-US" w:eastAsia="zh-CN"/>
              </w:rPr>
              <w:t>建</w:t>
            </w:r>
            <w:r>
              <w:rPr>
                <w:rFonts w:hint="eastAsia"/>
                <w:color w:val="auto"/>
                <w:sz w:val="24"/>
                <w:u w:val="single"/>
              </w:rPr>
              <w:t>工程等。施工期的影</w:t>
            </w:r>
            <w:r>
              <w:rPr>
                <w:rFonts w:hint="eastAsia"/>
                <w:color w:val="auto"/>
                <w:sz w:val="24"/>
                <w:highlight w:val="none"/>
                <w:u w:val="single"/>
              </w:rPr>
              <w:t>响主要包括施工扬尘、工地废水、施工噪声、清淤淤泥等，具体分析如下</w:t>
            </w:r>
            <w:r>
              <w:rPr>
                <w:rFonts w:hint="eastAsia"/>
                <w:color w:val="auto"/>
                <w:sz w:val="24"/>
                <w:highlight w:val="none"/>
                <w:u w:val="single"/>
                <w:lang w:eastAsia="zh-CN"/>
              </w:rPr>
              <w:t>：</w:t>
            </w:r>
          </w:p>
          <w:p w14:paraId="2959FA84">
            <w:pPr>
              <w:keepNext w:val="0"/>
              <w:keepLines w:val="0"/>
              <w:suppressLineNumbers w:val="0"/>
              <w:spacing w:before="0" w:beforeAutospacing="0" w:after="0" w:afterAutospacing="0" w:line="360" w:lineRule="auto"/>
              <w:ind w:left="0" w:right="0" w:firstLine="482" w:firstLineChars="200"/>
              <w:rPr>
                <w:rFonts w:hint="default" w:eastAsia="宋体"/>
                <w:color w:val="auto"/>
                <w:sz w:val="24"/>
                <w:u w:val="single"/>
                <w:lang w:val="en-US" w:eastAsia="zh-CN"/>
              </w:rPr>
            </w:pPr>
            <w:r>
              <w:rPr>
                <w:rFonts w:hint="eastAsia"/>
                <w:b/>
                <w:color w:val="auto"/>
                <w:sz w:val="24"/>
                <w:u w:val="single"/>
              </w:rPr>
              <w:t>1、</w:t>
            </w:r>
            <w:r>
              <w:rPr>
                <w:rFonts w:hint="eastAsia"/>
                <w:b/>
                <w:color w:val="auto"/>
                <w:sz w:val="24"/>
                <w:u w:val="single"/>
                <w:lang w:val="en-US" w:eastAsia="zh-CN"/>
              </w:rPr>
              <w:t>施工期水环境影响分析</w:t>
            </w:r>
          </w:p>
          <w:p w14:paraId="4B089105">
            <w:pPr>
              <w:keepNext w:val="0"/>
              <w:keepLines w:val="0"/>
              <w:suppressLineNumbers w:val="0"/>
              <w:spacing w:before="0" w:beforeAutospacing="0" w:after="0" w:afterAutospacing="0" w:line="360" w:lineRule="auto"/>
              <w:ind w:left="0" w:right="0" w:firstLine="480" w:firstLineChars="200"/>
              <w:rPr>
                <w:rFonts w:hint="eastAsia" w:eastAsia="宋体"/>
                <w:color w:val="auto"/>
                <w:sz w:val="24"/>
                <w:highlight w:val="none"/>
                <w:u w:val="single"/>
                <w:lang w:eastAsia="zh-CN"/>
              </w:rPr>
            </w:pPr>
            <w:r>
              <w:rPr>
                <w:rFonts w:hint="default"/>
                <w:color w:val="auto"/>
                <w:sz w:val="24"/>
                <w:highlight w:val="none"/>
                <w:u w:val="single"/>
              </w:rPr>
              <w:t>项目施工期废水主要为施工人员的生活污水和</w:t>
            </w:r>
            <w:r>
              <w:rPr>
                <w:rFonts w:hint="eastAsia"/>
                <w:color w:val="auto"/>
                <w:sz w:val="24"/>
                <w:highlight w:val="none"/>
                <w:u w:val="single"/>
                <w:lang w:val="en-US" w:eastAsia="zh-CN"/>
              </w:rPr>
              <w:t>施工废水（淤泥脱水</w:t>
            </w:r>
            <w:r>
              <w:rPr>
                <w:rFonts w:hint="default"/>
                <w:color w:val="auto"/>
                <w:sz w:val="24"/>
                <w:highlight w:val="none"/>
                <w:u w:val="single"/>
              </w:rPr>
              <w:t>产生的废水</w:t>
            </w:r>
            <w:r>
              <w:rPr>
                <w:rFonts w:hint="eastAsia"/>
                <w:color w:val="auto"/>
                <w:sz w:val="24"/>
                <w:highlight w:val="none"/>
                <w:u w:val="single"/>
                <w:lang w:eastAsia="zh-CN"/>
              </w:rPr>
              <w:t>、</w:t>
            </w:r>
            <w:r>
              <w:rPr>
                <w:rFonts w:hint="eastAsia"/>
                <w:color w:val="auto"/>
                <w:sz w:val="24"/>
                <w:highlight w:val="none"/>
                <w:u w:val="single"/>
                <w:lang w:val="en-US" w:eastAsia="zh-CN"/>
              </w:rPr>
              <w:t>车辆冲洗废水）</w:t>
            </w:r>
            <w:r>
              <w:rPr>
                <w:rFonts w:hint="eastAsia"/>
                <w:color w:val="auto"/>
                <w:sz w:val="24"/>
                <w:highlight w:val="none"/>
                <w:u w:val="single"/>
                <w:lang w:eastAsia="zh-CN"/>
              </w:rPr>
              <w:t>。</w:t>
            </w:r>
          </w:p>
          <w:p w14:paraId="661543B1">
            <w:pPr>
              <w:keepNext w:val="0"/>
              <w:keepLines w:val="0"/>
              <w:suppressLineNumbers w:val="0"/>
              <w:spacing w:before="0" w:beforeAutospacing="0" w:after="0" w:afterAutospacing="0" w:line="360" w:lineRule="auto"/>
              <w:ind w:left="0" w:right="0" w:firstLine="482" w:firstLineChars="200"/>
              <w:rPr>
                <w:rFonts w:hint="default" w:eastAsia="宋体"/>
                <w:b/>
                <w:bCs/>
                <w:color w:val="auto"/>
                <w:sz w:val="24"/>
                <w:u w:val="single"/>
                <w:lang w:val="en-US" w:eastAsia="zh-CN"/>
              </w:rPr>
            </w:pPr>
            <w:r>
              <w:rPr>
                <w:rFonts w:hint="eastAsia"/>
                <w:b/>
                <w:bCs/>
                <w:color w:val="auto"/>
                <w:sz w:val="24"/>
                <w:u w:val="single"/>
                <w:lang w:val="en-US" w:eastAsia="zh-CN"/>
              </w:rPr>
              <w:t>1.1生活污水</w:t>
            </w:r>
          </w:p>
          <w:p w14:paraId="22410826">
            <w:pPr>
              <w:keepNext w:val="0"/>
              <w:keepLines w:val="0"/>
              <w:suppressLineNumbers w:val="0"/>
              <w:spacing w:before="0" w:beforeAutospacing="0" w:after="0" w:afterAutospacing="0" w:line="360" w:lineRule="auto"/>
              <w:ind w:left="0" w:right="0" w:firstLine="480" w:firstLineChars="200"/>
              <w:rPr>
                <w:rFonts w:hint="eastAsia"/>
                <w:color w:val="auto"/>
                <w:sz w:val="24"/>
                <w:u w:val="single"/>
              </w:rPr>
            </w:pPr>
            <w:r>
              <w:rPr>
                <w:rFonts w:hint="eastAsia"/>
                <w:color w:val="auto"/>
                <w:sz w:val="24"/>
                <w:u w:val="single"/>
              </w:rPr>
              <w:t>本项目施工期间，施工现场不设置工地食堂和工地宿舍，项目大部分施工人员为当地居民</w:t>
            </w:r>
            <w:r>
              <w:rPr>
                <w:rFonts w:hint="eastAsia"/>
                <w:color w:val="auto"/>
                <w:sz w:val="24"/>
                <w:u w:val="single"/>
                <w:lang w:eastAsia="zh-CN"/>
              </w:rPr>
              <w:t>，</w:t>
            </w:r>
            <w:r>
              <w:rPr>
                <w:rFonts w:hint="eastAsia"/>
                <w:color w:val="auto"/>
                <w:sz w:val="24"/>
                <w:u w:val="single"/>
              </w:rPr>
              <w:t>本项目高峰期施工人员按100人/d（同时施工）计算，施工人员平均用水量按50L/人·d计，排污系数取0.8，则项目在施工期间生活污水的产生量约4m³/d，主要污染物浓度COD300mg/L、BOD</w:t>
            </w:r>
            <w:r>
              <w:rPr>
                <w:rFonts w:hint="eastAsia"/>
                <w:color w:val="auto"/>
                <w:sz w:val="24"/>
                <w:u w:val="single"/>
                <w:vertAlign w:val="subscript"/>
              </w:rPr>
              <w:t>5</w:t>
            </w:r>
            <w:r>
              <w:rPr>
                <w:rFonts w:hint="eastAsia"/>
                <w:color w:val="auto"/>
                <w:sz w:val="24"/>
                <w:u w:val="single"/>
              </w:rPr>
              <w:t>mg/L、SS250mg/L、氨氮35mg/L。项目不设置临时施工营地，施工人员借用沿线附近的公用卫生设施</w:t>
            </w:r>
            <w:r>
              <w:rPr>
                <w:rFonts w:hint="eastAsia"/>
                <w:color w:val="auto"/>
                <w:sz w:val="24"/>
                <w:u w:val="single"/>
                <w:lang w:val="en-US" w:eastAsia="zh-CN"/>
              </w:rPr>
              <w:t>及租赁民房</w:t>
            </w:r>
            <w:r>
              <w:rPr>
                <w:rFonts w:hint="eastAsia"/>
                <w:color w:val="auto"/>
                <w:sz w:val="24"/>
                <w:u w:val="single"/>
              </w:rPr>
              <w:t>。施工期无集中生活污水产生，对周围水环境影响较小。</w:t>
            </w:r>
          </w:p>
          <w:p w14:paraId="05A79B29">
            <w:pPr>
              <w:keepNext w:val="0"/>
              <w:keepLines w:val="0"/>
              <w:suppressLineNumbers w:val="0"/>
              <w:spacing w:before="0" w:beforeAutospacing="0" w:after="0" w:afterAutospacing="0" w:line="360" w:lineRule="auto"/>
              <w:ind w:left="0" w:right="0" w:firstLine="482" w:firstLineChars="200"/>
              <w:rPr>
                <w:rFonts w:hint="eastAsia"/>
                <w:b/>
                <w:bCs/>
                <w:color w:val="auto"/>
                <w:sz w:val="24"/>
                <w:u w:val="single"/>
              </w:rPr>
            </w:pPr>
            <w:r>
              <w:rPr>
                <w:rFonts w:hint="eastAsia"/>
                <w:b/>
                <w:bCs/>
                <w:color w:val="auto"/>
                <w:sz w:val="24"/>
                <w:u w:val="single"/>
                <w:lang w:val="en-US" w:eastAsia="zh-CN"/>
              </w:rPr>
              <w:t>1.2</w:t>
            </w:r>
            <w:r>
              <w:rPr>
                <w:rFonts w:hint="eastAsia"/>
                <w:b/>
                <w:bCs/>
                <w:color w:val="auto"/>
                <w:sz w:val="24"/>
                <w:u w:val="single"/>
              </w:rPr>
              <w:t>施工废水</w:t>
            </w:r>
          </w:p>
          <w:p w14:paraId="146D306E">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u w:val="single"/>
              </w:rPr>
            </w:pPr>
            <w:r>
              <w:rPr>
                <w:rFonts w:hint="default" w:ascii="Times New Roman" w:hAnsi="Times New Roman" w:eastAsia="宋体" w:cs="Times New Roman"/>
                <w:sz w:val="24"/>
                <w:szCs w:val="24"/>
                <w:u w:val="single"/>
              </w:rPr>
              <w:t>本项目设置施工车辆清洗平台，生产用水可</w:t>
            </w:r>
            <w:r>
              <w:rPr>
                <w:rFonts w:hint="default" w:ascii="Times New Roman" w:hAnsi="Times New Roman" w:eastAsia="宋体" w:cs="Times New Roman"/>
                <w:sz w:val="24"/>
                <w:szCs w:val="24"/>
                <w:u w:val="single"/>
                <w:lang w:val="en-US" w:eastAsia="zh-CN"/>
              </w:rPr>
              <w:t>就近</w:t>
            </w:r>
            <w:r>
              <w:rPr>
                <w:rFonts w:hint="default" w:ascii="Times New Roman" w:hAnsi="Times New Roman" w:eastAsia="宋体" w:cs="Times New Roman"/>
                <w:sz w:val="24"/>
                <w:szCs w:val="24"/>
                <w:u w:val="single"/>
              </w:rPr>
              <w:t>从河道内提取。施工期冲洗施工机械、车辆表面泥砂会产生废水，产生量与施工现场管理水平关系较大，此类废水中主要成分是悬浮物和石油类，不含有毒有害物质，类比同类工程，悬浮物含量约在500mg/L～2000mg/L，间歇排放。本项目施工期车辆冲洗废水产生量为20m</w:t>
            </w:r>
            <w:r>
              <w:rPr>
                <w:rFonts w:hint="default" w:ascii="Times New Roman" w:hAnsi="Times New Roman" w:eastAsia="宋体" w:cs="Times New Roman"/>
                <w:sz w:val="24"/>
                <w:szCs w:val="24"/>
                <w:u w:val="single"/>
                <w:vertAlign w:val="superscript"/>
              </w:rPr>
              <w:t>3</w:t>
            </w:r>
            <w:r>
              <w:rPr>
                <w:rFonts w:hint="default" w:ascii="Times New Roman" w:hAnsi="Times New Roman" w:eastAsia="宋体" w:cs="Times New Roman"/>
                <w:sz w:val="24"/>
                <w:szCs w:val="24"/>
                <w:u w:val="single"/>
              </w:rPr>
              <w:t>/d，施工场地设置机械、车辆冲洗检修平台，并设置集水沟，建设沉淀池、隔油池进行处理后用来施工现场洒水抑尘用或回用于车辆冲洗，不外排入地表水体，生产废水不会对河道水环境产生较大影响</w:t>
            </w:r>
            <w:r>
              <w:rPr>
                <w:rFonts w:hint="default" w:ascii="Times New Roman" w:hAnsi="Times New Roman" w:cs="Times New Roman"/>
                <w:color w:val="auto"/>
                <w:sz w:val="24"/>
                <w:u w:val="single"/>
              </w:rPr>
              <w:t>。</w:t>
            </w:r>
          </w:p>
          <w:p w14:paraId="025618F0">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u w:val="single"/>
                <w:lang w:eastAsia="zh-CN"/>
              </w:rPr>
            </w:pPr>
            <w:r>
              <w:rPr>
                <w:rFonts w:hint="default" w:ascii="宋体" w:hAnsi="宋体" w:eastAsia="宋体" w:cs="宋体"/>
                <w:sz w:val="24"/>
                <w:szCs w:val="24"/>
                <w:u w:val="single"/>
              </w:rPr>
              <w:t>另外混凝土养护过程中，产生少量废水。但本工程混凝土工程量较小，混凝土养护废水产生量少，蒸发吸收快，对地表水环境影响较小</w:t>
            </w:r>
            <w:r>
              <w:rPr>
                <w:rFonts w:hint="eastAsia" w:ascii="宋体" w:hAnsi="宋体" w:eastAsia="宋体" w:cs="宋体"/>
                <w:sz w:val="24"/>
                <w:szCs w:val="24"/>
                <w:u w:val="single"/>
                <w:lang w:eastAsia="zh-CN"/>
              </w:rPr>
              <w:t>。</w:t>
            </w:r>
          </w:p>
          <w:p w14:paraId="05FA7BBB">
            <w:pPr>
              <w:keepNext w:val="0"/>
              <w:keepLines w:val="0"/>
              <w:suppressLineNumbers w:val="0"/>
              <w:spacing w:before="0" w:beforeAutospacing="0" w:after="0" w:afterAutospacing="0" w:line="360" w:lineRule="auto"/>
              <w:ind w:left="0" w:right="0" w:firstLine="482" w:firstLineChars="200"/>
              <w:rPr>
                <w:rFonts w:hint="eastAsia"/>
                <w:b/>
                <w:bCs/>
                <w:color w:val="auto"/>
                <w:sz w:val="24"/>
                <w:u w:val="single"/>
              </w:rPr>
            </w:pPr>
            <w:r>
              <w:rPr>
                <w:rFonts w:hint="eastAsia"/>
                <w:b/>
                <w:bCs/>
                <w:color w:val="auto"/>
                <w:sz w:val="24"/>
                <w:u w:val="single"/>
                <w:lang w:val="en-US" w:eastAsia="zh-CN"/>
              </w:rPr>
              <w:t>1.3</w:t>
            </w:r>
            <w:r>
              <w:rPr>
                <w:rFonts w:hint="eastAsia"/>
                <w:b/>
                <w:bCs/>
                <w:color w:val="auto"/>
                <w:sz w:val="24"/>
                <w:u w:val="single"/>
              </w:rPr>
              <w:t>清淤扰动对河道水质的影响</w:t>
            </w:r>
          </w:p>
          <w:p w14:paraId="303F5F5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z w:val="24"/>
                <w:szCs w:val="24"/>
                <w:u w:val="single"/>
              </w:rPr>
            </w:pPr>
            <w:r>
              <w:rPr>
                <w:rFonts w:hint="default" w:ascii="Times New Roman" w:hAnsi="Times New Roman" w:eastAsia="宋体" w:cs="Times New Roman"/>
                <w:sz w:val="24"/>
                <w:szCs w:val="24"/>
                <w:u w:val="single"/>
              </w:rPr>
              <w:t>清淤施工作业时对河底扰动造成底泥悬浮并随流扩散，在施工区水域形成条状浑浊水体。使水体内SS含量升高，对疏浚河段水质有较明显的影响，它随着河水运动的同时在河水中沉降，并最终淤积于河底，这一特性决定了它的影响范围和影响时间是有限的，疏浚引起的悬浮物扩散的影响将随施工结束而消失。由于河道疏浚施工程序为局部施工而非全面铺开，清淤河道较短，因此水体浑浊度的增加仅限于局部地区的短时期内，这一不利影响将随施工结束而消失。河道疏浚本身不会对河水水质产生影响，疏浚所引起的仅是河水中泥沙的悬移，悬移的泥沙经过一定的时间和距离后会逐渐沉积，这个过程不会造成水质污染物总量增加。</w:t>
            </w:r>
          </w:p>
          <w:p w14:paraId="67D071D2">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u w:val="single"/>
                <w:lang w:eastAsia="zh-CN"/>
              </w:rPr>
            </w:pPr>
            <w:r>
              <w:rPr>
                <w:rFonts w:hint="default" w:ascii="Times New Roman" w:hAnsi="Times New Roman" w:eastAsia="宋体" w:cs="Times New Roman"/>
                <w:sz w:val="24"/>
                <w:szCs w:val="24"/>
                <w:u w:val="single"/>
              </w:rPr>
              <w:t>对于清淤的悬浮污染源强目前尚缺乏实测资料，参考《宁国市水利局东津河南极至宁墩集镇段河道治理工程环境影响报告书》，从最不利角度进行评价，本报告采用对水体扰动较严重的疏浚施工进行类比分析</w:t>
            </w:r>
            <w:r>
              <w:rPr>
                <w:rFonts w:hint="eastAsia" w:ascii="Times New Roman" w:hAnsi="Times New Roman" w:eastAsia="宋体" w:cs="Times New Roman"/>
                <w:sz w:val="24"/>
                <w:szCs w:val="24"/>
                <w:u w:val="single"/>
                <w:lang w:eastAsia="zh-CN"/>
              </w:rPr>
              <w:t>，</w:t>
            </w:r>
            <w:r>
              <w:rPr>
                <w:rFonts w:hint="default" w:ascii="Times New Roman" w:hAnsi="Times New Roman" w:eastAsia="宋体" w:cs="Times New Roman"/>
                <w:sz w:val="24"/>
                <w:szCs w:val="24"/>
                <w:u w:val="single"/>
              </w:rPr>
              <w:t>清淤工程中施工水域悬浮物向上游扩散距离不超过100m，向下游扩散距离不超过1000m。因此，本评价认为本工程清淤过程中对下游河道SS影响范围为：上游扩散距离不超过100m，向下游扩散距离不超过1000m。影响是局部、可逆的，随着施工结束，悬浮物影响会很快消失</w:t>
            </w:r>
            <w:r>
              <w:rPr>
                <w:rFonts w:hint="eastAsia" w:ascii="Times New Roman" w:hAnsi="Times New Roman" w:eastAsia="宋体" w:cs="Times New Roman"/>
                <w:sz w:val="24"/>
                <w:szCs w:val="24"/>
                <w:u w:val="single"/>
                <w:lang w:eastAsia="zh-CN"/>
              </w:rPr>
              <w:t>。</w:t>
            </w:r>
          </w:p>
          <w:p w14:paraId="55E6A93B">
            <w:pPr>
              <w:keepNext w:val="0"/>
              <w:keepLines w:val="0"/>
              <w:suppressLineNumbers w:val="0"/>
              <w:spacing w:before="0" w:beforeAutospacing="0" w:after="0" w:afterAutospacing="0" w:line="360" w:lineRule="auto"/>
              <w:ind w:left="0" w:right="0" w:firstLine="482" w:firstLineChars="200"/>
              <w:rPr>
                <w:rFonts w:hint="default" w:eastAsia="宋体"/>
                <w:b/>
                <w:bCs/>
                <w:color w:val="auto"/>
                <w:sz w:val="24"/>
                <w:u w:val="single"/>
                <w:lang w:val="en-US" w:eastAsia="zh-CN"/>
              </w:rPr>
            </w:pPr>
            <w:r>
              <w:rPr>
                <w:rFonts w:hint="eastAsia"/>
                <w:b/>
                <w:bCs/>
                <w:color w:val="auto"/>
                <w:sz w:val="24"/>
                <w:u w:val="single"/>
                <w:lang w:val="en-US" w:eastAsia="zh-CN"/>
              </w:rPr>
              <w:t>1.4淤泥废水</w:t>
            </w:r>
          </w:p>
          <w:p w14:paraId="1A32837D">
            <w:pPr>
              <w:keepNext w:val="0"/>
              <w:keepLines w:val="0"/>
              <w:suppressLineNumbers w:val="0"/>
              <w:spacing w:before="0" w:beforeAutospacing="0" w:after="0" w:afterAutospacing="0" w:line="360" w:lineRule="auto"/>
              <w:ind w:left="0" w:right="0" w:firstLine="480" w:firstLineChars="200"/>
              <w:rPr>
                <w:rFonts w:hint="eastAsia"/>
                <w:color w:val="auto"/>
                <w:sz w:val="24"/>
                <w:u w:val="single"/>
                <w:lang w:val="en-US" w:eastAsia="zh-CN"/>
              </w:rPr>
            </w:pPr>
            <w:r>
              <w:rPr>
                <w:rFonts w:hint="eastAsia"/>
                <w:color w:val="auto"/>
                <w:sz w:val="24"/>
                <w:u w:val="single"/>
                <w:lang w:val="en-US" w:eastAsia="zh-CN"/>
              </w:rPr>
              <w:t>根据可研设计，</w:t>
            </w:r>
            <w:r>
              <w:rPr>
                <w:rFonts w:hint="eastAsia"/>
                <w:color w:val="auto"/>
                <w:sz w:val="24"/>
                <w:u w:val="single"/>
              </w:rPr>
              <w:t>本项目</w:t>
            </w:r>
            <w:r>
              <w:rPr>
                <w:rFonts w:hint="eastAsia"/>
                <w:color w:val="auto"/>
                <w:sz w:val="24"/>
                <w:u w:val="single"/>
                <w:lang w:val="en-US" w:eastAsia="zh-CN"/>
              </w:rPr>
              <w:t>清淤施工采用绞吸式挖泥船施工，项目总淤泥量为39414m³（初始含水率90%），脱水目标：含水率降至60%；淤泥密度：1.05~1.1t/m³（本项目取1.075t/m³），经过计算可以得出脱出水量为31630t。清淤过程中淤泥自然沥水，按淤泥量的5%估算为1971m³，设备冲洗水按10m³/天，工期120天计算为1200m³，综上，清淤过程产生的总废水量为34801m³。设计处理能力300m³/天（预留10%余量）。</w:t>
            </w:r>
          </w:p>
          <w:p w14:paraId="70B5940B">
            <w:pPr>
              <w:keepNext w:val="0"/>
              <w:keepLines w:val="0"/>
              <w:suppressLineNumbers w:val="0"/>
              <w:spacing w:before="0" w:beforeAutospacing="0" w:after="0" w:afterAutospacing="0" w:line="360" w:lineRule="auto"/>
              <w:ind w:left="0" w:right="0" w:firstLine="480" w:firstLineChars="200"/>
              <w:rPr>
                <w:rFonts w:hint="eastAsia"/>
                <w:color w:val="auto"/>
                <w:sz w:val="24"/>
                <w:u w:val="single"/>
                <w:lang w:val="en-US" w:eastAsia="zh-CN"/>
              </w:rPr>
            </w:pPr>
            <w:r>
              <w:rPr>
                <w:rFonts w:hint="eastAsia"/>
                <w:color w:val="auto"/>
                <w:sz w:val="24"/>
                <w:u w:val="single"/>
                <w:lang w:val="en-US" w:eastAsia="zh-CN"/>
              </w:rPr>
              <w:t>淤泥废水水质特点为高悬浮物、COD、少量重金属。废水的处理流程采用废水收集→三级沉淀池→混凝沉淀（PAC+PAM）→活性炭吸附→清水池。通过“三级沉淀+混凝+活性炭吸附工艺”处理后以回用为主（80%），达标外排为辅（20%）。外排水需要执行《污水综合排放标准》（GB 8978-1996）一级标准</w:t>
            </w:r>
            <w:r>
              <w:rPr>
                <w:rFonts w:hint="eastAsia"/>
                <w:color w:val="auto"/>
                <w:sz w:val="24"/>
                <w:u w:val="none"/>
                <w:lang w:val="en-US" w:eastAsia="zh-CN"/>
              </w:rPr>
              <w:t>，施</w:t>
            </w:r>
            <w:r>
              <w:rPr>
                <w:rFonts w:hint="eastAsia"/>
                <w:color w:val="auto"/>
                <w:sz w:val="24"/>
                <w:u w:val="single"/>
                <w:lang w:val="en-US" w:eastAsia="zh-CN"/>
              </w:rPr>
              <w:t>工结束后由施工方彻底挖除尾水池，并用生石灰对迹地进行消毒处理。</w:t>
            </w:r>
          </w:p>
          <w:p w14:paraId="31A3CC9D">
            <w:pPr>
              <w:keepNext w:val="0"/>
              <w:keepLines w:val="0"/>
              <w:suppressLineNumbers w:val="0"/>
              <w:spacing w:before="0" w:beforeAutospacing="0" w:after="0" w:afterAutospacing="0" w:line="360" w:lineRule="auto"/>
              <w:ind w:left="0" w:right="0" w:firstLine="480" w:firstLineChars="200"/>
              <w:rPr>
                <w:rFonts w:hint="eastAsia"/>
                <w:color w:val="auto"/>
                <w:sz w:val="24"/>
                <w:u w:val="single"/>
              </w:rPr>
            </w:pPr>
            <w:r>
              <w:rPr>
                <w:rFonts w:hint="eastAsia"/>
                <w:color w:val="auto"/>
                <w:sz w:val="24"/>
                <w:u w:val="single"/>
                <w:lang w:val="en-US" w:eastAsia="zh-CN"/>
              </w:rPr>
              <w:t>综上，项目施工期间产生废水对周围水环境影响较小。</w:t>
            </w:r>
          </w:p>
          <w:p w14:paraId="2F551F73">
            <w:pPr>
              <w:keepNext w:val="0"/>
              <w:keepLines w:val="0"/>
              <w:suppressLineNumbers w:val="0"/>
              <w:spacing w:before="0" w:beforeAutospacing="0" w:after="0" w:afterAutospacing="0" w:line="360" w:lineRule="auto"/>
              <w:ind w:left="0" w:right="0" w:firstLine="482" w:firstLineChars="200"/>
              <w:rPr>
                <w:rFonts w:hint="default" w:eastAsia="宋体"/>
                <w:color w:val="auto"/>
                <w:sz w:val="24"/>
                <w:u w:val="none"/>
                <w:lang w:val="en-US" w:eastAsia="zh-CN"/>
              </w:rPr>
            </w:pPr>
            <w:r>
              <w:rPr>
                <w:rFonts w:hint="eastAsia"/>
                <w:b/>
                <w:color w:val="auto"/>
                <w:sz w:val="24"/>
                <w:u w:val="none"/>
                <w:lang w:val="en-US" w:eastAsia="zh-CN"/>
              </w:rPr>
              <w:t>2</w:t>
            </w:r>
            <w:r>
              <w:rPr>
                <w:rFonts w:hint="eastAsia"/>
                <w:b/>
                <w:color w:val="auto"/>
                <w:sz w:val="24"/>
                <w:u w:val="none"/>
              </w:rPr>
              <w:t>、</w:t>
            </w:r>
            <w:r>
              <w:rPr>
                <w:rFonts w:hint="eastAsia"/>
                <w:b/>
                <w:color w:val="auto"/>
                <w:sz w:val="24"/>
                <w:u w:val="none"/>
                <w:lang w:val="en-US" w:eastAsia="zh-CN"/>
              </w:rPr>
              <w:t>施工期大气环境响分析</w:t>
            </w:r>
          </w:p>
          <w:p w14:paraId="0757F36C">
            <w:pPr>
              <w:keepNext w:val="0"/>
              <w:keepLines w:val="0"/>
              <w:suppressLineNumbers w:val="0"/>
              <w:spacing w:before="0" w:beforeAutospacing="0" w:after="0" w:afterAutospacing="0" w:line="360" w:lineRule="auto"/>
              <w:ind w:left="0" w:right="0" w:firstLine="480" w:firstLineChars="200"/>
              <w:rPr>
                <w:rFonts w:hint="eastAsia" w:eastAsia="宋体"/>
                <w:color w:val="auto"/>
                <w:sz w:val="24"/>
                <w:highlight w:val="none"/>
                <w:u w:val="none"/>
                <w:lang w:eastAsia="zh-CN"/>
              </w:rPr>
            </w:pPr>
            <w:r>
              <w:rPr>
                <w:rFonts w:hint="default"/>
                <w:color w:val="auto"/>
                <w:sz w:val="24"/>
                <w:highlight w:val="none"/>
                <w:u w:val="none"/>
              </w:rPr>
              <w:t>本项目主要任务为</w:t>
            </w:r>
            <w:r>
              <w:rPr>
                <w:rFonts w:hint="eastAsia"/>
                <w:color w:val="auto"/>
                <w:sz w:val="24"/>
                <w:highlight w:val="none"/>
                <w:u w:val="none"/>
                <w:lang w:val="en-US" w:eastAsia="zh-CN"/>
              </w:rPr>
              <w:t>行泄通道</w:t>
            </w:r>
            <w:r>
              <w:rPr>
                <w:rFonts w:hint="default"/>
                <w:color w:val="auto"/>
                <w:sz w:val="24"/>
                <w:highlight w:val="none"/>
                <w:u w:val="none"/>
              </w:rPr>
              <w:t>清淤</w:t>
            </w:r>
            <w:r>
              <w:rPr>
                <w:rFonts w:hint="eastAsia"/>
                <w:color w:val="auto"/>
                <w:sz w:val="24"/>
                <w:highlight w:val="none"/>
                <w:u w:val="none"/>
                <w:lang w:val="en-US" w:eastAsia="zh-CN"/>
              </w:rPr>
              <w:t>及内涝点管涵修建等</w:t>
            </w:r>
            <w:r>
              <w:rPr>
                <w:rFonts w:hint="default"/>
                <w:color w:val="auto"/>
                <w:sz w:val="24"/>
                <w:highlight w:val="none"/>
                <w:u w:val="none"/>
              </w:rPr>
              <w:t>，如施工过程中需要少量混凝土，将购买商品混凝土，不设置拌合站；根据现场踏勘，项目施工河段均已有现有道路，无需建设临时道路。</w:t>
            </w:r>
            <w:r>
              <w:rPr>
                <w:rFonts w:hint="eastAsia"/>
                <w:color w:val="auto"/>
                <w:sz w:val="24"/>
                <w:highlight w:val="none"/>
                <w:u w:val="none"/>
                <w:lang w:val="en-US" w:eastAsia="zh-CN"/>
              </w:rPr>
              <w:t>综上，本项目</w:t>
            </w:r>
            <w:r>
              <w:rPr>
                <w:rFonts w:hint="default"/>
                <w:color w:val="auto"/>
                <w:sz w:val="24"/>
                <w:highlight w:val="none"/>
                <w:u w:val="none"/>
              </w:rPr>
              <w:t>施工期产生的废气污染物主要为</w:t>
            </w:r>
            <w:r>
              <w:rPr>
                <w:rFonts w:hint="eastAsia"/>
                <w:color w:val="auto"/>
                <w:sz w:val="24"/>
                <w:highlight w:val="none"/>
                <w:u w:val="none"/>
                <w:lang w:val="en-US" w:eastAsia="zh-CN"/>
              </w:rPr>
              <w:t>施工产生</w:t>
            </w:r>
            <w:r>
              <w:rPr>
                <w:rFonts w:hint="default"/>
                <w:color w:val="auto"/>
                <w:sz w:val="24"/>
                <w:highlight w:val="none"/>
                <w:u w:val="none"/>
              </w:rPr>
              <w:t>扬尘、施工机械和运输车辆产生的尾气及清淤过程中产生的恶臭气体</w:t>
            </w:r>
            <w:r>
              <w:rPr>
                <w:rFonts w:hint="eastAsia"/>
                <w:color w:val="auto"/>
                <w:sz w:val="24"/>
                <w:highlight w:val="none"/>
                <w:u w:val="none"/>
                <w:lang w:eastAsia="zh-CN"/>
              </w:rPr>
              <w:t>。</w:t>
            </w:r>
          </w:p>
          <w:p w14:paraId="528E8B70">
            <w:pPr>
              <w:keepNext w:val="0"/>
              <w:keepLines w:val="0"/>
              <w:suppressLineNumbers w:val="0"/>
              <w:spacing w:before="0" w:beforeAutospacing="0" w:after="0" w:afterAutospacing="0" w:line="360" w:lineRule="auto"/>
              <w:ind w:left="0" w:right="0" w:firstLine="482" w:firstLineChars="200"/>
              <w:rPr>
                <w:rFonts w:hint="default"/>
                <w:b/>
                <w:bCs/>
                <w:color w:val="auto"/>
                <w:sz w:val="24"/>
                <w:highlight w:val="none"/>
                <w:u w:val="none"/>
              </w:rPr>
            </w:pPr>
            <w:r>
              <w:rPr>
                <w:rFonts w:hint="eastAsia"/>
                <w:b/>
                <w:bCs/>
                <w:color w:val="auto"/>
                <w:sz w:val="24"/>
                <w:highlight w:val="none"/>
                <w:u w:val="none"/>
                <w:lang w:val="en-US" w:eastAsia="zh-CN"/>
              </w:rPr>
              <w:t>2.1施工</w:t>
            </w:r>
            <w:r>
              <w:rPr>
                <w:rFonts w:hint="default"/>
                <w:b/>
                <w:bCs/>
                <w:color w:val="auto"/>
                <w:sz w:val="24"/>
                <w:highlight w:val="none"/>
                <w:u w:val="none"/>
              </w:rPr>
              <w:t>扬尘</w:t>
            </w:r>
          </w:p>
          <w:p w14:paraId="16AD9B11">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none"/>
              </w:rPr>
            </w:pPr>
            <w:r>
              <w:rPr>
                <w:rFonts w:hint="default"/>
                <w:color w:val="auto"/>
                <w:sz w:val="24"/>
                <w:highlight w:val="none"/>
                <w:u w:val="none"/>
              </w:rPr>
              <w:t>本项目施工过程中造成大气污染的主要产生源有：路面切割、管沟等土石方开挖；开挖土石方堆放、暴露松散土壤的开挖面、土方回填；建筑材料装卸车、堆放、搬运及搅拌机等造成的施工扬尘。</w:t>
            </w:r>
          </w:p>
          <w:p w14:paraId="7E910A82">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none"/>
              </w:rPr>
            </w:pPr>
            <w:r>
              <w:rPr>
                <w:rFonts w:hint="default"/>
                <w:color w:val="auto"/>
                <w:sz w:val="24"/>
                <w:highlight w:val="none"/>
                <w:u w:val="none"/>
              </w:rPr>
              <w:t>在施工扬尘对大气环境的影响中，以运输车辆的影响最大、时间较长，其影响程度因施工场地内路面破坏、泥土裸露而加重，一般扬尘量与汽车的速度、重量以及道路表面积尘量成比例关系，据有关方面的研究，当汽车运送土方时，行车道路两侧的扬尘短期浓度可8-10mg/m</w:t>
            </w:r>
            <w:r>
              <w:rPr>
                <w:rFonts w:hint="default"/>
                <w:color w:val="auto"/>
                <w:sz w:val="24"/>
                <w:highlight w:val="none"/>
                <w:u w:val="none"/>
                <w:vertAlign w:val="superscript"/>
              </w:rPr>
              <w:t>3</w:t>
            </w:r>
            <w:r>
              <w:rPr>
                <w:rFonts w:hint="default"/>
                <w:color w:val="auto"/>
                <w:sz w:val="24"/>
                <w:highlight w:val="none"/>
                <w:u w:val="none"/>
              </w:rPr>
              <w:t>，超过空气质量二级标准。但是，道路扬尘浓度随距离增加迅速下降，扬尘下风向200m处的浓度几乎接近上风向对照点的浓度。据对同类工程的比较分析，由于车辆运输产生的二次扬尘对项目施工场地附近的居民，特别是第一排房屋的居民，会造成一定程度的粉尘污染。</w:t>
            </w:r>
          </w:p>
          <w:p w14:paraId="4B02FE56">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none"/>
              </w:rPr>
            </w:pPr>
            <w:r>
              <w:rPr>
                <w:rFonts w:hint="default"/>
                <w:color w:val="auto"/>
                <w:sz w:val="24"/>
                <w:highlight w:val="none"/>
                <w:u w:val="none"/>
              </w:rPr>
              <w:t>本项目施工期车辆运输、清淤物装卸等过程引起大量扬尘（特别是干燥季节），会使附近区域空气中TSP浓度加大，对空气环境造成一定影响。由施工产生的粉尘悬浮在空气中，被施工人员和周围居民吸入后，可能引发各种呼吸道疾病，而且粉尘夹带大量的病源细菌，还会传染其他疾病，影响施工人员和周围居民的身体健康。</w:t>
            </w:r>
          </w:p>
          <w:p w14:paraId="7CD5C875">
            <w:pPr>
              <w:keepNext w:val="0"/>
              <w:keepLines w:val="0"/>
              <w:widowControl/>
              <w:suppressLineNumbers w:val="0"/>
              <w:spacing w:before="0" w:beforeAutospacing="0" w:after="0" w:afterAutospacing="0" w:line="360" w:lineRule="auto"/>
              <w:ind w:left="0" w:right="0" w:firstLine="480" w:firstLineChars="200"/>
              <w:rPr>
                <w:rFonts w:hint="eastAsia" w:ascii="Times New Roman" w:eastAsia="宋体"/>
                <w:color w:val="auto"/>
                <w:kern w:val="0"/>
                <w:sz w:val="24"/>
                <w:u w:val="none"/>
                <w:lang w:eastAsia="zh-CN"/>
              </w:rPr>
            </w:pPr>
            <w:r>
              <w:rPr>
                <w:rFonts w:hint="default"/>
                <w:color w:val="auto"/>
                <w:sz w:val="24"/>
                <w:highlight w:val="none"/>
                <w:u w:val="none"/>
              </w:rPr>
              <w:t>因此，在施工期应采取严格的防治措施，如场内道路硬化、运输车辆覆盖、配备洒水车定期洒水、产生扬尘的设备和建筑物布置在下风向及远离居民区等措施</w:t>
            </w:r>
            <w:r>
              <w:rPr>
                <w:rFonts w:hint="eastAsia"/>
                <w:color w:val="auto"/>
                <w:sz w:val="24"/>
                <w:highlight w:val="none"/>
                <w:u w:val="none"/>
                <w:lang w:eastAsia="zh-CN"/>
              </w:rPr>
              <w:t>。</w:t>
            </w:r>
          </w:p>
          <w:p w14:paraId="47A9EF60">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u w:val="none"/>
                <w:lang w:eastAsia="zh-CN"/>
              </w:rPr>
            </w:pPr>
            <w:r>
              <w:rPr>
                <w:rFonts w:hint="eastAsia"/>
                <w:color w:val="auto"/>
                <w:sz w:val="24"/>
                <w:highlight w:val="none"/>
                <w:u w:val="none"/>
                <w:lang w:eastAsia="zh-CN"/>
              </w:rPr>
              <w:t>采取上述措施后，施工扬尘对周围环境的影响较小。</w:t>
            </w:r>
          </w:p>
          <w:p w14:paraId="758C8A6F">
            <w:pPr>
              <w:keepNext w:val="0"/>
              <w:keepLines w:val="0"/>
              <w:suppressLineNumbers w:val="0"/>
              <w:spacing w:before="0" w:beforeAutospacing="0" w:after="0" w:afterAutospacing="0" w:line="360" w:lineRule="auto"/>
              <w:ind w:left="0" w:right="0" w:firstLine="482" w:firstLineChars="200"/>
              <w:rPr>
                <w:rFonts w:hint="default"/>
                <w:b/>
                <w:bCs/>
                <w:color w:val="auto"/>
                <w:sz w:val="24"/>
                <w:highlight w:val="none"/>
                <w:u w:val="none"/>
              </w:rPr>
            </w:pPr>
            <w:r>
              <w:rPr>
                <w:rFonts w:hint="eastAsia"/>
                <w:b/>
                <w:bCs/>
                <w:color w:val="auto"/>
                <w:sz w:val="24"/>
                <w:highlight w:val="none"/>
                <w:u w:val="none"/>
                <w:lang w:val="en-US" w:eastAsia="zh-CN"/>
              </w:rPr>
              <w:t>2.2</w:t>
            </w:r>
            <w:r>
              <w:rPr>
                <w:rFonts w:hint="default"/>
                <w:b/>
                <w:bCs/>
                <w:color w:val="auto"/>
                <w:sz w:val="24"/>
                <w:highlight w:val="none"/>
                <w:u w:val="none"/>
              </w:rPr>
              <w:t>施工机械尾气</w:t>
            </w:r>
          </w:p>
          <w:p w14:paraId="56EB163B">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none"/>
              </w:rPr>
            </w:pPr>
            <w:r>
              <w:rPr>
                <w:rFonts w:hint="default"/>
                <w:color w:val="auto"/>
                <w:sz w:val="24"/>
                <w:highlight w:val="none"/>
                <w:u w:val="none"/>
              </w:rPr>
              <w:t>项目施工过程中以燃油为动力的施工机械、运输车辆会在施工场地附近排放少量燃油废气，施工单位应加强施工机械设备维护，选用合格的燃油，避免排放未完全燃烧的黑烟，减轻机械尾气和发电机废气对周围空气环境的影响。由于本项目沿线为城市地区，但环境空气质量良好，大气环境容量大，地形开阔，有利于燃油废气的扩散和稀释。因此，施工期施工机械尾气和发电机废气对沿线大气环境质量影响很小，且影响是短暂的，随着施工的结束而消失</w:t>
            </w:r>
          </w:p>
          <w:p w14:paraId="655994C4">
            <w:pPr>
              <w:keepNext w:val="0"/>
              <w:keepLines w:val="0"/>
              <w:suppressLineNumbers w:val="0"/>
              <w:spacing w:before="0" w:beforeAutospacing="0" w:after="0" w:afterAutospacing="0" w:line="360" w:lineRule="auto"/>
              <w:ind w:left="0" w:right="0" w:firstLine="482" w:firstLineChars="200"/>
              <w:rPr>
                <w:rFonts w:hint="default" w:eastAsia="宋体"/>
                <w:b/>
                <w:bCs/>
                <w:color w:val="auto"/>
                <w:sz w:val="24"/>
                <w:u w:val="none"/>
                <w:lang w:val="en-US" w:eastAsia="zh-CN"/>
              </w:rPr>
            </w:pPr>
            <w:r>
              <w:rPr>
                <w:rFonts w:hint="eastAsia"/>
                <w:b/>
                <w:bCs/>
                <w:color w:val="auto"/>
                <w:sz w:val="24"/>
                <w:highlight w:val="none"/>
                <w:u w:val="none"/>
                <w:lang w:val="en-US" w:eastAsia="zh-CN"/>
              </w:rPr>
              <w:t>2.3</w:t>
            </w:r>
            <w:r>
              <w:rPr>
                <w:rFonts w:hint="eastAsia"/>
                <w:b/>
                <w:bCs/>
                <w:color w:val="auto"/>
                <w:sz w:val="24"/>
                <w:u w:val="none"/>
                <w:lang w:val="en-US" w:eastAsia="zh-CN"/>
              </w:rPr>
              <w:t>清淤恶臭</w:t>
            </w:r>
          </w:p>
          <w:p w14:paraId="02EA0BC4">
            <w:pPr>
              <w:keepNext w:val="0"/>
              <w:keepLines w:val="0"/>
              <w:suppressLineNumbers w:val="0"/>
              <w:spacing w:before="0" w:beforeAutospacing="0" w:after="0" w:afterAutospacing="0" w:line="360" w:lineRule="auto"/>
              <w:ind w:left="0" w:right="0" w:firstLine="480" w:firstLineChars="200"/>
              <w:rPr>
                <w:rFonts w:hint="eastAsia"/>
                <w:color w:val="auto"/>
                <w:sz w:val="24"/>
                <w:u w:val="none"/>
                <w:lang w:val="en-US" w:eastAsia="zh-CN"/>
              </w:rPr>
            </w:pPr>
            <w:r>
              <w:rPr>
                <w:rFonts w:hint="eastAsia"/>
                <w:color w:val="auto"/>
                <w:sz w:val="24"/>
                <w:u w:val="none"/>
                <w:lang w:val="en-US" w:eastAsia="zh-CN"/>
              </w:rPr>
              <w:t>项目在清淤过程</w:t>
            </w:r>
            <w:r>
              <w:rPr>
                <w:rFonts w:hint="eastAsia"/>
                <w:color w:val="auto"/>
                <w:sz w:val="24"/>
                <w:u w:val="none"/>
              </w:rPr>
              <w:t>及淤泥</w:t>
            </w:r>
            <w:r>
              <w:rPr>
                <w:rFonts w:hint="eastAsia"/>
                <w:color w:val="auto"/>
                <w:sz w:val="24"/>
                <w:u w:val="none"/>
                <w:lang w:val="en-US" w:eastAsia="zh-CN"/>
              </w:rPr>
              <w:t>暂存</w:t>
            </w:r>
            <w:r>
              <w:rPr>
                <w:rFonts w:hint="eastAsia"/>
                <w:color w:val="auto"/>
                <w:sz w:val="24"/>
                <w:u w:val="none"/>
              </w:rPr>
              <w:t>堆放过程</w:t>
            </w:r>
            <w:r>
              <w:rPr>
                <w:rFonts w:hint="eastAsia"/>
                <w:color w:val="auto"/>
                <w:sz w:val="24"/>
                <w:u w:val="none"/>
                <w:lang w:val="en-US" w:eastAsia="zh-CN"/>
              </w:rPr>
              <w:t>会产生恶臭。水体臭气主要是因为水体受到严重有机污染时，好氧微生物大量分解有机物，水中复氧速率跟不上好氧速率后水体缺氧。一些悬浮物与有机物在一点条件下发生沉集，从而使厌氧微生物大量繁殖并分解有机物，产生的难溶于水的臭气（如胺、氨气、硫化氢）逸出水面散发出难闻的臭气。恶臭强度以臭味的嗅觉阈值为基准划分等级，划分为6级，如下表所示。</w:t>
            </w:r>
          </w:p>
          <w:p w14:paraId="27E56F31">
            <w:pPr>
              <w:keepNext w:val="0"/>
              <w:keepLines w:val="0"/>
              <w:suppressLineNumbers w:val="0"/>
              <w:spacing w:before="0" w:beforeAutospacing="0" w:after="0" w:afterAutospacing="0" w:line="240" w:lineRule="auto"/>
              <w:ind w:left="0" w:right="0"/>
              <w:jc w:val="center"/>
              <w:rPr>
                <w:rFonts w:hint="eastAsia"/>
                <w:b/>
                <w:bCs/>
                <w:color w:val="auto"/>
                <w:sz w:val="21"/>
                <w:szCs w:val="21"/>
                <w:u w:val="none"/>
                <w:lang w:val="en-US" w:eastAsia="zh-CN"/>
              </w:rPr>
            </w:pPr>
            <w:r>
              <w:rPr>
                <w:rFonts w:hint="eastAsia"/>
                <w:b/>
                <w:bCs/>
                <w:color w:val="auto"/>
                <w:sz w:val="21"/>
                <w:szCs w:val="21"/>
                <w:u w:val="none"/>
                <w:lang w:val="en-US" w:eastAsia="zh-CN"/>
              </w:rPr>
              <w:t>表4-1  臭气强度与臭气浓度的对应关系</w:t>
            </w:r>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6"/>
              <w:gridCol w:w="2469"/>
              <w:gridCol w:w="3076"/>
            </w:tblGrid>
            <w:tr w14:paraId="73A95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128" w:type="pct"/>
                  <w:vAlign w:val="center"/>
                </w:tcPr>
                <w:p w14:paraId="47E5A9F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none"/>
                      <w:vertAlign w:val="baseline"/>
                      <w:lang w:val="en-US" w:eastAsia="zh-CN"/>
                    </w:rPr>
                  </w:pPr>
                  <w:r>
                    <w:rPr>
                      <w:rFonts w:hint="eastAsia" w:ascii="Times New Roman" w:hAnsi="Times New Roman" w:eastAsia="宋体" w:cs="Times New Roman"/>
                      <w:b/>
                      <w:bCs/>
                      <w:color w:val="auto"/>
                      <w:sz w:val="21"/>
                      <w:szCs w:val="21"/>
                      <w:u w:val="none"/>
                      <w:vertAlign w:val="baseline"/>
                      <w:lang w:val="en-US" w:eastAsia="zh-CN"/>
                    </w:rPr>
                    <w:t>臭气强度</w:t>
                  </w:r>
                </w:p>
              </w:tc>
              <w:tc>
                <w:tcPr>
                  <w:tcW w:w="1723" w:type="pct"/>
                  <w:vAlign w:val="center"/>
                </w:tcPr>
                <w:p w14:paraId="2A070F2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none"/>
                      <w:vertAlign w:val="baseline"/>
                      <w:lang w:val="en-US" w:eastAsia="zh-CN"/>
                    </w:rPr>
                  </w:pPr>
                  <w:r>
                    <w:rPr>
                      <w:rFonts w:hint="eastAsia" w:ascii="Times New Roman" w:hAnsi="Times New Roman" w:eastAsia="宋体" w:cs="Times New Roman"/>
                      <w:b/>
                      <w:bCs/>
                      <w:color w:val="auto"/>
                      <w:sz w:val="21"/>
                      <w:szCs w:val="21"/>
                      <w:u w:val="none"/>
                      <w:vertAlign w:val="baseline"/>
                      <w:lang w:val="en-US" w:eastAsia="zh-CN"/>
                    </w:rPr>
                    <w:t>臭气浓度（无量纲）</w:t>
                  </w:r>
                </w:p>
              </w:tc>
              <w:tc>
                <w:tcPr>
                  <w:tcW w:w="2147" w:type="pct"/>
                  <w:vAlign w:val="center"/>
                </w:tcPr>
                <w:p w14:paraId="5C0B2EA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none"/>
                      <w:vertAlign w:val="baseline"/>
                      <w:lang w:val="en-US" w:eastAsia="zh-CN"/>
                    </w:rPr>
                  </w:pPr>
                  <w:r>
                    <w:rPr>
                      <w:rFonts w:hint="eastAsia" w:ascii="Times New Roman" w:hAnsi="Times New Roman" w:eastAsia="宋体" w:cs="Times New Roman"/>
                      <w:b/>
                      <w:bCs/>
                      <w:color w:val="auto"/>
                      <w:sz w:val="21"/>
                      <w:szCs w:val="21"/>
                      <w:u w:val="none"/>
                      <w:vertAlign w:val="baseline"/>
                      <w:lang w:val="en-US" w:eastAsia="zh-CN"/>
                    </w:rPr>
                    <w:t>感觉强度描述</w:t>
                  </w:r>
                </w:p>
              </w:tc>
            </w:tr>
            <w:tr w14:paraId="0DFC3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pct"/>
                  <w:vAlign w:val="center"/>
                </w:tcPr>
                <w:p w14:paraId="29BCE97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0</w:t>
                  </w:r>
                </w:p>
              </w:tc>
              <w:tc>
                <w:tcPr>
                  <w:tcW w:w="1723" w:type="pct"/>
                  <w:vAlign w:val="center"/>
                </w:tcPr>
                <w:p w14:paraId="0A29398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10</w:t>
                  </w:r>
                </w:p>
              </w:tc>
              <w:tc>
                <w:tcPr>
                  <w:tcW w:w="2147" w:type="pct"/>
                  <w:vAlign w:val="center"/>
                </w:tcPr>
                <w:p w14:paraId="4041B51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无感</w:t>
                  </w:r>
                </w:p>
              </w:tc>
            </w:tr>
            <w:tr w14:paraId="4EF40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pct"/>
                  <w:vAlign w:val="center"/>
                </w:tcPr>
                <w:p w14:paraId="404D3CC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1</w:t>
                  </w:r>
                </w:p>
              </w:tc>
              <w:tc>
                <w:tcPr>
                  <w:tcW w:w="1723" w:type="pct"/>
                  <w:vAlign w:val="center"/>
                </w:tcPr>
                <w:p w14:paraId="29C0017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23</w:t>
                  </w:r>
                </w:p>
              </w:tc>
              <w:tc>
                <w:tcPr>
                  <w:tcW w:w="2147" w:type="pct"/>
                  <w:vAlign w:val="center"/>
                </w:tcPr>
                <w:p w14:paraId="786DA4C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稍微感觉到臭味（感觉阈值）</w:t>
                  </w:r>
                </w:p>
              </w:tc>
            </w:tr>
            <w:tr w14:paraId="77C1A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pct"/>
                  <w:vAlign w:val="center"/>
                </w:tcPr>
                <w:p w14:paraId="63E6730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2</w:t>
                  </w:r>
                </w:p>
              </w:tc>
              <w:tc>
                <w:tcPr>
                  <w:tcW w:w="1723" w:type="pct"/>
                  <w:vAlign w:val="center"/>
                </w:tcPr>
                <w:p w14:paraId="2173001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51</w:t>
                  </w:r>
                </w:p>
              </w:tc>
              <w:tc>
                <w:tcPr>
                  <w:tcW w:w="2147" w:type="pct"/>
                  <w:vAlign w:val="center"/>
                </w:tcPr>
                <w:p w14:paraId="04F0E7D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能辨认是何种臭味（认知阈值）</w:t>
                  </w:r>
                </w:p>
              </w:tc>
            </w:tr>
            <w:tr w14:paraId="0FC09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pct"/>
                  <w:vAlign w:val="center"/>
                </w:tcPr>
                <w:p w14:paraId="256DDED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3</w:t>
                  </w:r>
                </w:p>
              </w:tc>
              <w:tc>
                <w:tcPr>
                  <w:tcW w:w="1723" w:type="pct"/>
                  <w:vAlign w:val="center"/>
                </w:tcPr>
                <w:p w14:paraId="4DA0F18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117</w:t>
                  </w:r>
                </w:p>
              </w:tc>
              <w:tc>
                <w:tcPr>
                  <w:tcW w:w="2147" w:type="pct"/>
                  <w:vAlign w:val="center"/>
                </w:tcPr>
                <w:p w14:paraId="77F835A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感觉到明显臭味</w:t>
                  </w:r>
                </w:p>
              </w:tc>
            </w:tr>
            <w:tr w14:paraId="2C3C5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pct"/>
                  <w:vAlign w:val="center"/>
                </w:tcPr>
                <w:p w14:paraId="78C6A9B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4</w:t>
                  </w:r>
                </w:p>
              </w:tc>
              <w:tc>
                <w:tcPr>
                  <w:tcW w:w="1723" w:type="pct"/>
                  <w:vAlign w:val="center"/>
                </w:tcPr>
                <w:p w14:paraId="1752C9D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265</w:t>
                  </w:r>
                </w:p>
              </w:tc>
              <w:tc>
                <w:tcPr>
                  <w:tcW w:w="2147" w:type="pct"/>
                  <w:vAlign w:val="center"/>
                </w:tcPr>
                <w:p w14:paraId="5937E7C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恶臭</w:t>
                  </w:r>
                </w:p>
              </w:tc>
            </w:tr>
            <w:tr w14:paraId="5263F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pct"/>
                  <w:vAlign w:val="center"/>
                </w:tcPr>
                <w:p w14:paraId="740A94F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5</w:t>
                  </w:r>
                </w:p>
              </w:tc>
              <w:tc>
                <w:tcPr>
                  <w:tcW w:w="1723" w:type="pct"/>
                  <w:vAlign w:val="center"/>
                </w:tcPr>
                <w:p w14:paraId="04CA57F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600</w:t>
                  </w:r>
                </w:p>
              </w:tc>
              <w:tc>
                <w:tcPr>
                  <w:tcW w:w="2147" w:type="pct"/>
                  <w:vAlign w:val="center"/>
                </w:tcPr>
                <w:p w14:paraId="394ECEE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vertAlign w:val="baseline"/>
                      <w:lang w:val="en-US" w:eastAsia="zh-CN"/>
                    </w:rPr>
                  </w:pPr>
                  <w:r>
                    <w:rPr>
                      <w:rFonts w:hint="eastAsia" w:ascii="Times New Roman" w:hAnsi="Times New Roman" w:eastAsia="宋体" w:cs="Times New Roman"/>
                      <w:color w:val="auto"/>
                      <w:sz w:val="21"/>
                      <w:szCs w:val="21"/>
                      <w:u w:val="none"/>
                      <w:vertAlign w:val="baseline"/>
                      <w:lang w:val="en-US" w:eastAsia="zh-CN"/>
                    </w:rPr>
                    <w:t>强烈恶臭</w:t>
                  </w:r>
                </w:p>
              </w:tc>
            </w:tr>
          </w:tbl>
          <w:p w14:paraId="5592EBC1">
            <w:pPr>
              <w:keepNext w:val="0"/>
              <w:keepLines w:val="0"/>
              <w:suppressLineNumbers w:val="0"/>
              <w:spacing w:before="0" w:beforeAutospacing="0" w:after="0" w:afterAutospacing="0" w:line="360" w:lineRule="auto"/>
              <w:ind w:left="0" w:right="0" w:firstLine="480" w:firstLineChars="200"/>
              <w:rPr>
                <w:rFonts w:hint="eastAsia"/>
                <w:color w:val="auto"/>
                <w:sz w:val="24"/>
                <w:u w:val="none"/>
              </w:rPr>
            </w:pPr>
            <w:r>
              <w:rPr>
                <w:rFonts w:hint="default"/>
                <w:color w:val="auto"/>
                <w:sz w:val="24"/>
                <w:u w:val="none"/>
                <w:lang w:val="en-US" w:eastAsia="zh-CN"/>
              </w:rPr>
              <w:t>对恶臭的限制要求一般相当于恶臭强度2.5～3.5级，超出该强度范围，即认为发生恶臭污染，需要采取措施。</w:t>
            </w:r>
            <w:r>
              <w:rPr>
                <w:rFonts w:hint="eastAsia"/>
                <w:color w:val="auto"/>
                <w:sz w:val="24"/>
                <w:u w:val="none"/>
              </w:rPr>
              <w:t>河道底泥清淤工作开始前施工单位通过提前告知附近居民关闭窗户，同时避免在大风天气下进行施工，运输工具进行遮盖，减少滞留时间。</w:t>
            </w:r>
          </w:p>
          <w:p w14:paraId="7F46A262">
            <w:pPr>
              <w:keepNext w:val="0"/>
              <w:keepLines w:val="0"/>
              <w:suppressLineNumbers w:val="0"/>
              <w:spacing w:before="0" w:beforeAutospacing="0" w:after="0" w:afterAutospacing="0" w:line="360" w:lineRule="auto"/>
              <w:ind w:left="0" w:right="0" w:firstLine="480" w:firstLineChars="200"/>
              <w:rPr>
                <w:rFonts w:hint="default"/>
                <w:color w:val="auto"/>
                <w:sz w:val="24"/>
                <w:u w:val="none"/>
                <w:lang w:val="en-US" w:eastAsia="zh-CN"/>
              </w:rPr>
            </w:pPr>
            <w:r>
              <w:rPr>
                <w:rFonts w:hint="eastAsia"/>
                <w:color w:val="auto"/>
                <w:sz w:val="24"/>
                <w:u w:val="none"/>
              </w:rPr>
              <w:t>经采取相关措施同时加强管理，切实做到各项环保措施落实到位的前提下，清淤及</w:t>
            </w:r>
            <w:r>
              <w:rPr>
                <w:rFonts w:hint="eastAsia"/>
                <w:color w:val="auto"/>
                <w:sz w:val="24"/>
                <w:u w:val="none"/>
                <w:lang w:val="en-US" w:eastAsia="zh-CN"/>
              </w:rPr>
              <w:t>脱水</w:t>
            </w:r>
            <w:r>
              <w:rPr>
                <w:rFonts w:hint="eastAsia"/>
                <w:color w:val="auto"/>
                <w:sz w:val="24"/>
                <w:u w:val="none"/>
              </w:rPr>
              <w:t>过程中污泥产生的臭味对周围环境较小。</w:t>
            </w:r>
          </w:p>
          <w:p w14:paraId="3117412E">
            <w:pPr>
              <w:keepNext w:val="0"/>
              <w:keepLines w:val="0"/>
              <w:suppressLineNumbers w:val="0"/>
              <w:spacing w:before="0" w:beforeAutospacing="0" w:after="0" w:afterAutospacing="0" w:line="360" w:lineRule="auto"/>
              <w:ind w:left="0" w:right="0" w:firstLine="482" w:firstLineChars="200"/>
              <w:rPr>
                <w:rFonts w:hint="default" w:eastAsia="宋体"/>
                <w:color w:val="auto"/>
                <w:sz w:val="24"/>
                <w:u w:val="none"/>
                <w:lang w:val="en-US" w:eastAsia="zh-CN"/>
              </w:rPr>
            </w:pPr>
            <w:r>
              <w:rPr>
                <w:rFonts w:hint="eastAsia"/>
                <w:b/>
                <w:color w:val="auto"/>
                <w:sz w:val="24"/>
                <w:u w:val="none"/>
                <w:lang w:val="en-US" w:eastAsia="zh-CN"/>
              </w:rPr>
              <w:t>3</w:t>
            </w:r>
            <w:r>
              <w:rPr>
                <w:rFonts w:hint="eastAsia"/>
                <w:b/>
                <w:color w:val="auto"/>
                <w:sz w:val="24"/>
                <w:u w:val="none"/>
              </w:rPr>
              <w:t>、</w:t>
            </w:r>
            <w:r>
              <w:rPr>
                <w:rFonts w:hint="eastAsia"/>
                <w:b/>
                <w:color w:val="auto"/>
                <w:sz w:val="24"/>
                <w:u w:val="none"/>
                <w:lang w:val="en-US" w:eastAsia="zh-CN"/>
              </w:rPr>
              <w:t>施工期噪声环境响分析</w:t>
            </w:r>
          </w:p>
          <w:p w14:paraId="531BB758">
            <w:pPr>
              <w:keepNext w:val="0"/>
              <w:keepLines w:val="0"/>
              <w:suppressLineNumbers w:val="0"/>
              <w:spacing w:before="0" w:beforeAutospacing="0" w:after="0" w:afterAutospacing="0" w:line="360" w:lineRule="auto"/>
              <w:ind w:left="0" w:right="0" w:firstLine="482" w:firstLineChars="200"/>
              <w:rPr>
                <w:rFonts w:hint="default" w:eastAsia="宋体"/>
                <w:b/>
                <w:bCs/>
                <w:color w:val="auto"/>
                <w:sz w:val="24"/>
                <w:u w:val="none"/>
                <w:lang w:val="en-US" w:eastAsia="zh-CN"/>
              </w:rPr>
            </w:pPr>
            <w:r>
              <w:rPr>
                <w:rFonts w:hint="eastAsia"/>
                <w:b/>
                <w:bCs/>
                <w:color w:val="auto"/>
                <w:sz w:val="24"/>
                <w:highlight w:val="none"/>
                <w:u w:val="none"/>
                <w:lang w:val="en-US" w:eastAsia="zh-CN"/>
              </w:rPr>
              <w:t>3.1</w:t>
            </w:r>
            <w:r>
              <w:rPr>
                <w:rFonts w:hint="eastAsia"/>
                <w:b/>
                <w:bCs/>
                <w:color w:val="auto"/>
                <w:sz w:val="24"/>
                <w:u w:val="none"/>
                <w:lang w:val="en-US" w:eastAsia="zh-CN"/>
              </w:rPr>
              <w:t>施工期噪声</w:t>
            </w:r>
          </w:p>
          <w:p w14:paraId="72EBD0C6">
            <w:pPr>
              <w:keepNext w:val="0"/>
              <w:keepLines w:val="0"/>
              <w:suppressLineNumbers w:val="0"/>
              <w:spacing w:before="0" w:beforeAutospacing="0" w:after="0" w:afterAutospacing="0" w:line="360" w:lineRule="auto"/>
              <w:ind w:left="0" w:right="0" w:firstLine="480" w:firstLineChars="200"/>
              <w:rPr>
                <w:rFonts w:hint="default"/>
                <w:color w:val="FF0000"/>
                <w:sz w:val="24"/>
                <w:u w:val="none"/>
              </w:rPr>
            </w:pPr>
            <w:r>
              <w:rPr>
                <w:rFonts w:hint="default"/>
                <w:color w:val="auto"/>
                <w:sz w:val="24"/>
                <w:u w:val="none"/>
              </w:rPr>
              <w:t>施工期间噪声主要来源于施工机械及交通噪声。作业机械类型较多，施工过程中，因使用各种机械工具和车辆而产生，随着施工结束而消失，具有间断性和暂时性</w:t>
            </w:r>
            <w:r>
              <w:rPr>
                <w:rFonts w:hint="default"/>
                <w:color w:val="FF0000"/>
                <w:sz w:val="24"/>
                <w:u w:val="none"/>
              </w:rPr>
              <w:t>。</w:t>
            </w:r>
          </w:p>
          <w:p w14:paraId="67820BE3">
            <w:pPr>
              <w:keepNext w:val="0"/>
              <w:keepLines w:val="0"/>
              <w:suppressLineNumbers w:val="0"/>
              <w:spacing w:before="0" w:beforeAutospacing="0" w:after="0" w:afterAutospacing="0" w:line="360" w:lineRule="auto"/>
              <w:ind w:left="0" w:right="0" w:firstLine="482" w:firstLineChars="200"/>
              <w:rPr>
                <w:rFonts w:hint="default" w:eastAsia="宋体"/>
                <w:b/>
                <w:bCs/>
                <w:color w:val="auto"/>
                <w:sz w:val="24"/>
                <w:u w:val="single"/>
                <w:lang w:val="en-US" w:eastAsia="zh-CN"/>
              </w:rPr>
            </w:pPr>
            <w:r>
              <w:rPr>
                <w:rFonts w:hint="eastAsia"/>
                <w:b/>
                <w:bCs/>
                <w:color w:val="auto"/>
                <w:sz w:val="24"/>
                <w:highlight w:val="none"/>
                <w:u w:val="none"/>
                <w:lang w:val="en-US" w:eastAsia="zh-CN"/>
              </w:rPr>
              <w:t>3.2</w:t>
            </w:r>
            <w:r>
              <w:rPr>
                <w:rFonts w:hint="eastAsia"/>
                <w:b/>
                <w:bCs/>
                <w:color w:val="auto"/>
                <w:sz w:val="24"/>
                <w:highlight w:val="none"/>
                <w:u w:val="single"/>
                <w:lang w:val="en-US" w:eastAsia="zh-CN"/>
              </w:rPr>
              <w:t>声环境影响预测与评价</w:t>
            </w:r>
          </w:p>
          <w:p w14:paraId="063E0BA0">
            <w:pPr>
              <w:keepNext w:val="0"/>
              <w:keepLines w:val="0"/>
              <w:numPr>
                <w:ilvl w:val="0"/>
                <w:numId w:val="9"/>
              </w:numPr>
              <w:suppressLineNumbers w:val="0"/>
              <w:spacing w:before="0" w:beforeAutospacing="0" w:after="0" w:afterAutospacing="0" w:line="360" w:lineRule="auto"/>
              <w:ind w:left="0" w:right="0" w:rightChars="0" w:firstLine="480" w:firstLineChars="200"/>
              <w:rPr>
                <w:rFonts w:hint="eastAsia"/>
                <w:color w:val="auto"/>
                <w:sz w:val="24"/>
                <w:u w:val="single"/>
                <w:lang w:val="en-US" w:eastAsia="zh-CN"/>
              </w:rPr>
            </w:pPr>
            <w:r>
              <w:rPr>
                <w:rFonts w:hint="eastAsia"/>
                <w:color w:val="auto"/>
                <w:sz w:val="24"/>
                <w:u w:val="single"/>
                <w:lang w:val="en-US" w:eastAsia="zh-CN"/>
              </w:rPr>
              <w:t>预测模式</w:t>
            </w:r>
          </w:p>
          <w:p w14:paraId="0FA027B9">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color w:val="auto"/>
                <w:sz w:val="24"/>
                <w:u w:val="single"/>
                <w:lang w:val="en-US" w:eastAsia="zh-CN"/>
              </w:rPr>
            </w:pPr>
            <w:r>
              <w:rPr>
                <w:rFonts w:hint="eastAsia"/>
                <w:color w:val="auto"/>
                <w:sz w:val="24"/>
                <w:u w:val="single"/>
                <w:lang w:val="en-US" w:eastAsia="zh-CN"/>
              </w:rPr>
              <w:t>1）本项目施工机械产生的施工噪声源可视为点声源。根据点声源噪声衰减模式，可估算出施工期间距声源不同距离处的噪声值。预测模式如下：</w:t>
            </w:r>
          </w:p>
          <w:p w14:paraId="614C57B8">
            <w:pPr>
              <w:keepNext w:val="0"/>
              <w:keepLines w:val="0"/>
              <w:numPr>
                <w:ilvl w:val="0"/>
                <w:numId w:val="0"/>
              </w:numPr>
              <w:suppressLineNumbers w:val="0"/>
              <w:spacing w:before="0" w:beforeAutospacing="0" w:after="0" w:afterAutospacing="0" w:line="360" w:lineRule="auto"/>
              <w:ind w:left="0" w:right="0" w:rightChars="0"/>
              <w:jc w:val="center"/>
              <w:rPr>
                <w:rFonts w:hint="eastAsia"/>
                <w:color w:val="auto"/>
                <w:sz w:val="24"/>
                <w:u w:val="single"/>
                <w:lang w:val="en-US" w:eastAsia="zh-CN"/>
              </w:rPr>
            </w:pPr>
            <w:r>
              <w:rPr>
                <w:rFonts w:hint="eastAsia"/>
                <w:color w:val="auto"/>
                <w:sz w:val="24"/>
                <w:u w:val="single"/>
                <w:lang w:val="en-US" w:eastAsia="zh-CN"/>
              </w:rPr>
              <w:t>L</w:t>
            </w:r>
            <w:r>
              <w:rPr>
                <w:rFonts w:hint="eastAsia"/>
                <w:color w:val="auto"/>
                <w:sz w:val="24"/>
                <w:u w:val="single"/>
                <w:vertAlign w:val="subscript"/>
                <w:lang w:val="en-US" w:eastAsia="zh-CN"/>
              </w:rPr>
              <w:t>p</w:t>
            </w:r>
            <w:r>
              <w:rPr>
                <w:rFonts w:hint="eastAsia"/>
                <w:color w:val="auto"/>
                <w:sz w:val="24"/>
                <w:u w:val="single"/>
                <w:lang w:val="en-US" w:eastAsia="zh-CN"/>
              </w:rPr>
              <w:t>=L</w:t>
            </w:r>
            <w:r>
              <w:rPr>
                <w:rFonts w:hint="eastAsia"/>
                <w:color w:val="auto"/>
                <w:sz w:val="24"/>
                <w:u w:val="single"/>
                <w:vertAlign w:val="subscript"/>
                <w:lang w:val="en-US" w:eastAsia="zh-CN"/>
              </w:rPr>
              <w:t>po</w:t>
            </w:r>
            <w:r>
              <w:rPr>
                <w:rFonts w:hint="eastAsia"/>
                <w:color w:val="auto"/>
                <w:sz w:val="24"/>
                <w:u w:val="single"/>
                <w:lang w:val="en-US" w:eastAsia="zh-CN"/>
              </w:rPr>
              <w:t>-20lg（r/r0）-ΔL</w:t>
            </w:r>
          </w:p>
          <w:p w14:paraId="764E8B7A">
            <w:pPr>
              <w:keepNext w:val="0"/>
              <w:keepLines w:val="0"/>
              <w:numPr>
                <w:ilvl w:val="0"/>
                <w:numId w:val="0"/>
              </w:numPr>
              <w:suppressLineNumbers w:val="0"/>
              <w:spacing w:before="0" w:beforeAutospacing="0" w:after="0" w:afterAutospacing="0" w:line="360" w:lineRule="auto"/>
              <w:ind w:left="0" w:right="0" w:rightChars="0"/>
              <w:rPr>
                <w:rFonts w:hint="eastAsia"/>
                <w:color w:val="auto"/>
                <w:sz w:val="24"/>
                <w:u w:val="single"/>
                <w:lang w:val="en-US" w:eastAsia="zh-CN"/>
              </w:rPr>
            </w:pPr>
            <w:r>
              <w:rPr>
                <w:rFonts w:hint="eastAsia"/>
                <w:color w:val="auto"/>
                <w:sz w:val="24"/>
                <w:u w:val="single"/>
                <w:lang w:val="en-US" w:eastAsia="zh-CN"/>
              </w:rPr>
              <w:t>式中：L</w:t>
            </w:r>
            <w:r>
              <w:rPr>
                <w:rFonts w:hint="eastAsia"/>
                <w:color w:val="auto"/>
                <w:sz w:val="24"/>
                <w:u w:val="single"/>
                <w:vertAlign w:val="subscript"/>
                <w:lang w:val="en-US" w:eastAsia="zh-CN"/>
              </w:rPr>
              <w:t>p</w:t>
            </w:r>
            <w:r>
              <w:rPr>
                <w:rFonts w:hint="eastAsia"/>
                <w:color w:val="auto"/>
                <w:sz w:val="24"/>
                <w:u w:val="single"/>
                <w:lang w:val="en-US" w:eastAsia="zh-CN"/>
              </w:rPr>
              <w:t>—距声源r（m）处声压级，dB（A）；</w:t>
            </w:r>
          </w:p>
          <w:p w14:paraId="19C9B4CD">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color w:val="auto"/>
                <w:sz w:val="24"/>
                <w:u w:val="single"/>
                <w:lang w:val="en-US" w:eastAsia="zh-CN"/>
              </w:rPr>
            </w:pPr>
            <w:r>
              <w:rPr>
                <w:rFonts w:hint="eastAsia"/>
                <w:color w:val="auto"/>
                <w:sz w:val="24"/>
                <w:u w:val="single"/>
                <w:lang w:val="en-US" w:eastAsia="zh-CN"/>
              </w:rPr>
              <w:t>L</w:t>
            </w:r>
            <w:r>
              <w:rPr>
                <w:rFonts w:hint="eastAsia"/>
                <w:color w:val="auto"/>
                <w:sz w:val="24"/>
                <w:u w:val="single"/>
                <w:vertAlign w:val="subscript"/>
                <w:lang w:val="en-US" w:eastAsia="zh-CN"/>
              </w:rPr>
              <w:t>po</w:t>
            </w:r>
            <w:r>
              <w:rPr>
                <w:rFonts w:hint="eastAsia"/>
                <w:color w:val="auto"/>
                <w:sz w:val="24"/>
                <w:u w:val="single"/>
                <w:lang w:val="en-US" w:eastAsia="zh-CN"/>
              </w:rPr>
              <w:t>—距声源r</w:t>
            </w:r>
            <w:r>
              <w:rPr>
                <w:rFonts w:hint="eastAsia"/>
                <w:color w:val="auto"/>
                <w:sz w:val="24"/>
                <w:u w:val="single"/>
                <w:vertAlign w:val="subscript"/>
                <w:lang w:val="en-US" w:eastAsia="zh-CN"/>
              </w:rPr>
              <w:t>0</w:t>
            </w:r>
            <w:r>
              <w:rPr>
                <w:rFonts w:hint="eastAsia"/>
                <w:color w:val="auto"/>
                <w:sz w:val="24"/>
                <w:u w:val="single"/>
                <w:lang w:val="en-US" w:eastAsia="zh-CN"/>
              </w:rPr>
              <w:t>（m）处的声压级，dB（A）；</w:t>
            </w:r>
          </w:p>
          <w:p w14:paraId="2134213F">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color w:val="auto"/>
                <w:sz w:val="24"/>
                <w:u w:val="single"/>
                <w:lang w:val="en-US" w:eastAsia="zh-CN"/>
              </w:rPr>
            </w:pPr>
            <w:r>
              <w:rPr>
                <w:rFonts w:hint="eastAsia"/>
                <w:color w:val="auto"/>
                <w:sz w:val="24"/>
                <w:u w:val="single"/>
                <w:lang w:val="en-US" w:eastAsia="zh-CN"/>
              </w:rPr>
              <w:t>r—距声源的距离，m；</w:t>
            </w:r>
          </w:p>
          <w:p w14:paraId="3F6B278C">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color w:val="auto"/>
                <w:sz w:val="24"/>
                <w:u w:val="single"/>
                <w:lang w:val="en-US" w:eastAsia="zh-CN"/>
              </w:rPr>
            </w:pPr>
            <w:r>
              <w:rPr>
                <w:rFonts w:hint="eastAsia"/>
                <w:color w:val="auto"/>
                <w:sz w:val="24"/>
                <w:u w:val="single"/>
                <w:lang w:val="en-US" w:eastAsia="zh-CN"/>
              </w:rPr>
              <w:t>r</w:t>
            </w:r>
            <w:r>
              <w:rPr>
                <w:rFonts w:hint="eastAsia"/>
                <w:color w:val="auto"/>
                <w:sz w:val="24"/>
                <w:u w:val="single"/>
                <w:vertAlign w:val="subscript"/>
                <w:lang w:val="en-US" w:eastAsia="zh-CN"/>
              </w:rPr>
              <w:t>0</w:t>
            </w:r>
            <w:r>
              <w:rPr>
                <w:rFonts w:hint="eastAsia"/>
                <w:color w:val="auto"/>
                <w:sz w:val="24"/>
                <w:u w:val="single"/>
                <w:lang w:val="en-US" w:eastAsia="zh-CN"/>
              </w:rPr>
              <w:t>—距声源1m；</w:t>
            </w:r>
          </w:p>
          <w:p w14:paraId="4A43695E">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color w:val="auto"/>
                <w:sz w:val="24"/>
                <w:u w:val="single"/>
                <w:lang w:val="en-US" w:eastAsia="zh-CN"/>
              </w:rPr>
            </w:pPr>
            <w:r>
              <w:rPr>
                <w:rFonts w:hint="eastAsia"/>
                <w:color w:val="auto"/>
                <w:sz w:val="24"/>
                <w:u w:val="single"/>
                <w:lang w:val="en-US" w:eastAsia="zh-CN"/>
              </w:rPr>
              <w:t>ΔL—各种衰减量（除发散衰减外），dB（A）。</w:t>
            </w:r>
          </w:p>
          <w:p w14:paraId="6C63E959">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color w:val="auto"/>
                <w:sz w:val="24"/>
                <w:u w:val="single"/>
                <w:lang w:val="en-US" w:eastAsia="zh-CN"/>
              </w:rPr>
            </w:pPr>
            <w:r>
              <w:rPr>
                <w:rFonts w:hint="eastAsia"/>
                <w:color w:val="auto"/>
                <w:sz w:val="24"/>
                <w:u w:val="single"/>
                <w:lang w:val="en-US" w:eastAsia="zh-CN"/>
              </w:rPr>
              <w:t>2）施工期多台机械设备同时运转噪声预测值</w:t>
            </w:r>
          </w:p>
          <w:p w14:paraId="3E524A86">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color w:val="auto"/>
                <w:sz w:val="24"/>
                <w:u w:val="single"/>
                <w:lang w:val="en-US" w:eastAsia="zh-CN"/>
              </w:rPr>
            </w:pPr>
            <w:r>
              <w:rPr>
                <w:rFonts w:hint="eastAsia"/>
                <w:color w:val="auto"/>
                <w:sz w:val="24"/>
                <w:u w:val="single"/>
                <w:lang w:val="en-US" w:eastAsia="zh-CN"/>
              </w:rPr>
              <w:t>预算模式采用噪声级相加模式：L1</w:t>
            </w:r>
            <w:r>
              <w:rPr>
                <w:rFonts w:hint="eastAsia"/>
                <w:color w:val="auto"/>
                <w:sz w:val="24"/>
                <w:u w:val="single"/>
                <w:vertAlign w:val="subscript"/>
                <w:lang w:val="en-US" w:eastAsia="zh-CN"/>
              </w:rPr>
              <w:t>+2+…n</w:t>
            </w:r>
            <w:r>
              <w:rPr>
                <w:rFonts w:hint="eastAsia"/>
                <w:color w:val="auto"/>
                <w:sz w:val="24"/>
                <w:u w:val="single"/>
                <w:lang w:val="en-US" w:eastAsia="zh-CN"/>
              </w:rPr>
              <w:t>＝10lg（10</w:t>
            </w:r>
            <w:r>
              <w:rPr>
                <w:rFonts w:hint="eastAsia"/>
                <w:color w:val="auto"/>
                <w:sz w:val="24"/>
                <w:u w:val="single"/>
                <w:vertAlign w:val="superscript"/>
                <w:lang w:val="en-US" w:eastAsia="zh-CN"/>
              </w:rPr>
              <w:t>L1/10</w:t>
            </w:r>
            <w:r>
              <w:rPr>
                <w:rFonts w:hint="eastAsia"/>
                <w:color w:val="auto"/>
                <w:sz w:val="24"/>
                <w:u w:val="single"/>
                <w:lang w:val="en-US" w:eastAsia="zh-CN"/>
              </w:rPr>
              <w:t>＋10</w:t>
            </w:r>
            <w:r>
              <w:rPr>
                <w:rFonts w:hint="eastAsia"/>
                <w:color w:val="auto"/>
                <w:sz w:val="24"/>
                <w:u w:val="single"/>
                <w:vertAlign w:val="superscript"/>
                <w:lang w:val="en-US" w:eastAsia="zh-CN"/>
              </w:rPr>
              <w:t>L1/10</w:t>
            </w:r>
            <w:r>
              <w:rPr>
                <w:rFonts w:hint="eastAsia"/>
                <w:color w:val="auto"/>
                <w:sz w:val="24"/>
                <w:u w:val="single"/>
                <w:lang w:val="en-US" w:eastAsia="zh-CN"/>
              </w:rPr>
              <w:t>＋…10</w:t>
            </w:r>
            <w:r>
              <w:rPr>
                <w:rFonts w:hint="eastAsia"/>
                <w:color w:val="auto"/>
                <w:sz w:val="24"/>
                <w:u w:val="single"/>
                <w:vertAlign w:val="superscript"/>
                <w:lang w:val="en-US" w:eastAsia="zh-CN"/>
              </w:rPr>
              <w:t>Ln/10</w:t>
            </w:r>
            <w:r>
              <w:rPr>
                <w:rFonts w:hint="eastAsia"/>
                <w:color w:val="auto"/>
                <w:sz w:val="24"/>
                <w:u w:val="single"/>
                <w:lang w:val="en-US" w:eastAsia="zh-CN"/>
              </w:rPr>
              <w:t>）</w:t>
            </w:r>
          </w:p>
          <w:p w14:paraId="2FF50B40">
            <w:pPr>
              <w:keepNext w:val="0"/>
              <w:keepLines w:val="0"/>
              <w:numPr>
                <w:ilvl w:val="0"/>
                <w:numId w:val="0"/>
              </w:numPr>
              <w:suppressLineNumbers w:val="0"/>
              <w:spacing w:before="0" w:beforeAutospacing="0" w:after="0" w:afterAutospacing="0" w:line="360" w:lineRule="auto"/>
              <w:ind w:left="420" w:leftChars="200" w:right="0" w:rightChars="0"/>
              <w:rPr>
                <w:rFonts w:hint="eastAsia"/>
                <w:color w:val="auto"/>
                <w:sz w:val="24"/>
                <w:u w:val="single"/>
                <w:lang w:eastAsia="zh-CN"/>
              </w:rPr>
            </w:pPr>
            <w:r>
              <w:rPr>
                <w:rFonts w:hint="eastAsia"/>
                <w:color w:val="auto"/>
                <w:sz w:val="24"/>
                <w:u w:val="single"/>
                <w:lang w:eastAsia="zh-CN"/>
              </w:rPr>
              <w:t>（</w:t>
            </w:r>
            <w:r>
              <w:rPr>
                <w:rFonts w:hint="eastAsia"/>
                <w:color w:val="auto"/>
                <w:sz w:val="24"/>
                <w:u w:val="single"/>
                <w:lang w:val="en-US" w:eastAsia="zh-CN"/>
              </w:rPr>
              <w:t>2</w:t>
            </w:r>
            <w:r>
              <w:rPr>
                <w:rFonts w:hint="eastAsia"/>
                <w:color w:val="auto"/>
                <w:sz w:val="24"/>
                <w:u w:val="single"/>
                <w:lang w:eastAsia="zh-CN"/>
              </w:rPr>
              <w:t>）</w:t>
            </w:r>
            <w:r>
              <w:rPr>
                <w:rFonts w:hint="eastAsia"/>
                <w:color w:val="auto"/>
                <w:sz w:val="24"/>
                <w:u w:val="single"/>
                <w:lang w:val="en-US" w:eastAsia="zh-CN"/>
              </w:rPr>
              <w:t>评价标准</w:t>
            </w:r>
          </w:p>
          <w:p w14:paraId="13D7C693">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color w:val="auto"/>
                <w:sz w:val="24"/>
                <w:u w:val="single"/>
                <w:lang w:eastAsia="zh-CN"/>
              </w:rPr>
            </w:pPr>
            <w:r>
              <w:rPr>
                <w:rFonts w:hint="eastAsia"/>
                <w:color w:val="auto"/>
                <w:sz w:val="24"/>
                <w:u w:val="single"/>
                <w:lang w:val="en-US" w:eastAsia="zh-CN"/>
              </w:rPr>
              <w:t>施工期噪声执行《建筑施工厂界环境噪声排放标准》（GB12523-2011）表1之排放标准，具体见下表。</w:t>
            </w:r>
          </w:p>
          <w:p w14:paraId="2975CCD3">
            <w:pPr>
              <w:keepNext w:val="0"/>
              <w:keepLines w:val="0"/>
              <w:numPr>
                <w:ilvl w:val="0"/>
                <w:numId w:val="0"/>
              </w:numPr>
              <w:suppressLineNumbers w:val="0"/>
              <w:spacing w:before="0" w:beforeAutospacing="0" w:after="0" w:afterAutospacing="0" w:line="240" w:lineRule="auto"/>
              <w:ind w:left="0" w:right="0" w:rightChars="0"/>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表4-2  建筑施工场界环境噪声排放标准  单位：dB（A）</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81"/>
              <w:gridCol w:w="3581"/>
            </w:tblGrid>
            <w:tr w14:paraId="142E6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86" w:type="dxa"/>
                  <w:vAlign w:val="center"/>
                </w:tcPr>
                <w:p w14:paraId="4C389BE6">
                  <w:pPr>
                    <w:keepNext w:val="0"/>
                    <w:keepLines w:val="0"/>
                    <w:numPr>
                      <w:ilvl w:val="0"/>
                      <w:numId w:val="0"/>
                    </w:numPr>
                    <w:suppressLineNumbers w:val="0"/>
                    <w:spacing w:before="0" w:beforeAutospacing="0" w:after="0" w:afterAutospacing="0" w:line="240" w:lineRule="auto"/>
                    <w:ind w:left="0" w:right="0" w:rightChars="0"/>
                    <w:jc w:val="center"/>
                    <w:rPr>
                      <w:rFonts w:hint="default" w:eastAsia="宋体"/>
                      <w:b/>
                      <w:bCs/>
                      <w:color w:val="auto"/>
                      <w:sz w:val="21"/>
                      <w:szCs w:val="21"/>
                      <w:u w:val="single"/>
                      <w:vertAlign w:val="baseline"/>
                      <w:lang w:val="en-US" w:eastAsia="zh-CN"/>
                    </w:rPr>
                  </w:pPr>
                  <w:r>
                    <w:rPr>
                      <w:rFonts w:hint="eastAsia"/>
                      <w:b/>
                      <w:bCs/>
                      <w:color w:val="auto"/>
                      <w:sz w:val="21"/>
                      <w:szCs w:val="21"/>
                      <w:u w:val="single"/>
                      <w:vertAlign w:val="baseline"/>
                      <w:lang w:val="en-US" w:eastAsia="zh-CN"/>
                    </w:rPr>
                    <w:t>昼间</w:t>
                  </w:r>
                </w:p>
              </w:tc>
              <w:tc>
                <w:tcPr>
                  <w:tcW w:w="3586" w:type="dxa"/>
                  <w:vAlign w:val="center"/>
                </w:tcPr>
                <w:p w14:paraId="7B1ACF43">
                  <w:pPr>
                    <w:keepNext w:val="0"/>
                    <w:keepLines w:val="0"/>
                    <w:numPr>
                      <w:ilvl w:val="0"/>
                      <w:numId w:val="0"/>
                    </w:numPr>
                    <w:suppressLineNumbers w:val="0"/>
                    <w:spacing w:before="0" w:beforeAutospacing="0" w:after="0" w:afterAutospacing="0" w:line="240" w:lineRule="auto"/>
                    <w:ind w:left="0" w:right="0" w:rightChars="0"/>
                    <w:jc w:val="center"/>
                    <w:rPr>
                      <w:rFonts w:hint="eastAsia" w:eastAsia="宋体"/>
                      <w:b/>
                      <w:bCs/>
                      <w:color w:val="auto"/>
                      <w:sz w:val="21"/>
                      <w:szCs w:val="21"/>
                      <w:u w:val="single"/>
                      <w:vertAlign w:val="baseline"/>
                      <w:lang w:val="en-US" w:eastAsia="zh-CN"/>
                    </w:rPr>
                  </w:pPr>
                  <w:r>
                    <w:rPr>
                      <w:rFonts w:hint="eastAsia"/>
                      <w:b/>
                      <w:bCs/>
                      <w:color w:val="auto"/>
                      <w:sz w:val="21"/>
                      <w:szCs w:val="21"/>
                      <w:u w:val="single"/>
                      <w:vertAlign w:val="baseline"/>
                      <w:lang w:val="en-US" w:eastAsia="zh-CN"/>
                    </w:rPr>
                    <w:t>夜间</w:t>
                  </w:r>
                </w:p>
              </w:tc>
            </w:tr>
            <w:tr w14:paraId="49AB1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86" w:type="dxa"/>
                  <w:vAlign w:val="center"/>
                </w:tcPr>
                <w:p w14:paraId="587CB4FB">
                  <w:pPr>
                    <w:keepNext w:val="0"/>
                    <w:keepLines w:val="0"/>
                    <w:numPr>
                      <w:ilvl w:val="0"/>
                      <w:numId w:val="0"/>
                    </w:numPr>
                    <w:suppressLineNumbers w:val="0"/>
                    <w:spacing w:before="0" w:beforeAutospacing="0" w:after="0" w:afterAutospacing="0" w:line="240" w:lineRule="auto"/>
                    <w:ind w:left="0" w:right="0" w:rightChars="0"/>
                    <w:jc w:val="center"/>
                    <w:rPr>
                      <w:rFonts w:hint="default" w:eastAsia="宋体"/>
                      <w:color w:val="auto"/>
                      <w:sz w:val="21"/>
                      <w:szCs w:val="21"/>
                      <w:u w:val="single"/>
                      <w:vertAlign w:val="baseline"/>
                      <w:lang w:val="en-US" w:eastAsia="zh-CN"/>
                    </w:rPr>
                  </w:pPr>
                  <w:r>
                    <w:rPr>
                      <w:rFonts w:hint="eastAsia"/>
                      <w:color w:val="auto"/>
                      <w:sz w:val="21"/>
                      <w:szCs w:val="21"/>
                      <w:u w:val="single"/>
                      <w:vertAlign w:val="baseline"/>
                      <w:lang w:val="en-US" w:eastAsia="zh-CN"/>
                    </w:rPr>
                    <w:t>70</w:t>
                  </w:r>
                </w:p>
              </w:tc>
              <w:tc>
                <w:tcPr>
                  <w:tcW w:w="3586" w:type="dxa"/>
                  <w:vAlign w:val="center"/>
                </w:tcPr>
                <w:p w14:paraId="6A1E4A64">
                  <w:pPr>
                    <w:keepNext w:val="0"/>
                    <w:keepLines w:val="0"/>
                    <w:numPr>
                      <w:ilvl w:val="0"/>
                      <w:numId w:val="0"/>
                    </w:numPr>
                    <w:suppressLineNumbers w:val="0"/>
                    <w:spacing w:before="0" w:beforeAutospacing="0" w:after="0" w:afterAutospacing="0" w:line="240" w:lineRule="auto"/>
                    <w:ind w:left="0" w:right="0" w:rightChars="0"/>
                    <w:jc w:val="center"/>
                    <w:rPr>
                      <w:rFonts w:hint="default" w:eastAsia="宋体"/>
                      <w:color w:val="auto"/>
                      <w:sz w:val="21"/>
                      <w:szCs w:val="21"/>
                      <w:u w:val="single"/>
                      <w:vertAlign w:val="baseline"/>
                      <w:lang w:val="en-US" w:eastAsia="zh-CN"/>
                    </w:rPr>
                  </w:pPr>
                  <w:r>
                    <w:rPr>
                      <w:rFonts w:hint="eastAsia"/>
                      <w:color w:val="auto"/>
                      <w:sz w:val="21"/>
                      <w:szCs w:val="21"/>
                      <w:u w:val="single"/>
                      <w:vertAlign w:val="baseline"/>
                      <w:lang w:val="en-US" w:eastAsia="zh-CN"/>
                    </w:rPr>
                    <w:t>55</w:t>
                  </w:r>
                </w:p>
              </w:tc>
            </w:tr>
          </w:tbl>
          <w:p w14:paraId="61E85C4A">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eastAsia="宋体"/>
                <w:color w:val="auto"/>
                <w:sz w:val="24"/>
                <w:u w:val="single"/>
                <w:lang w:val="en-US" w:eastAsia="zh-CN"/>
              </w:rPr>
            </w:pPr>
            <w:r>
              <w:rPr>
                <w:rFonts w:hint="eastAsia"/>
                <w:color w:val="auto"/>
                <w:sz w:val="24"/>
                <w:u w:val="single"/>
                <w:lang w:eastAsia="zh-CN"/>
              </w:rPr>
              <w:t>（</w:t>
            </w:r>
            <w:r>
              <w:rPr>
                <w:rFonts w:hint="eastAsia"/>
                <w:color w:val="auto"/>
                <w:sz w:val="24"/>
                <w:u w:val="single"/>
                <w:lang w:val="en-US" w:eastAsia="zh-CN"/>
              </w:rPr>
              <w:t>3</w:t>
            </w:r>
            <w:r>
              <w:rPr>
                <w:rFonts w:hint="eastAsia"/>
                <w:color w:val="auto"/>
                <w:sz w:val="24"/>
                <w:u w:val="single"/>
                <w:lang w:eastAsia="zh-CN"/>
              </w:rPr>
              <w:t>）</w:t>
            </w:r>
            <w:r>
              <w:rPr>
                <w:rFonts w:hint="eastAsia"/>
                <w:color w:val="auto"/>
                <w:sz w:val="24"/>
                <w:u w:val="single"/>
                <w:lang w:val="en-US" w:eastAsia="zh-CN"/>
              </w:rPr>
              <w:t>预测结果</w:t>
            </w:r>
          </w:p>
          <w:p w14:paraId="037650F0">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color w:val="auto"/>
                <w:sz w:val="24"/>
                <w:u w:val="single"/>
              </w:rPr>
            </w:pPr>
            <w:r>
              <w:rPr>
                <w:rFonts w:hint="default"/>
                <w:color w:val="auto"/>
                <w:sz w:val="24"/>
                <w:u w:val="single"/>
              </w:rPr>
              <w:t>根据噪声预测模式，利用噪声预测公式可求得各类施工机械产生的声压值，见下表。</w:t>
            </w:r>
          </w:p>
          <w:p w14:paraId="1F6A20D8">
            <w:pPr>
              <w:keepNext w:val="0"/>
              <w:keepLines w:val="0"/>
              <w:numPr>
                <w:ilvl w:val="0"/>
                <w:numId w:val="0"/>
              </w:numPr>
              <w:suppressLineNumbers w:val="0"/>
              <w:spacing w:before="0" w:beforeAutospacing="0" w:after="0" w:afterAutospacing="0" w:line="240" w:lineRule="auto"/>
              <w:ind w:left="0" w:right="0" w:rightChars="0"/>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表4-3  主要施工机械噪声影响预测结果统计表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4"/>
              <w:gridCol w:w="637"/>
              <w:gridCol w:w="647"/>
              <w:gridCol w:w="647"/>
              <w:gridCol w:w="647"/>
              <w:gridCol w:w="647"/>
              <w:gridCol w:w="647"/>
              <w:gridCol w:w="695"/>
              <w:gridCol w:w="695"/>
              <w:gridCol w:w="696"/>
            </w:tblGrid>
            <w:tr w14:paraId="565B5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vMerge w:val="restart"/>
                  <w:vAlign w:val="center"/>
                </w:tcPr>
                <w:p w14:paraId="78241A72">
                  <w:pPr>
                    <w:keepNext w:val="0"/>
                    <w:keepLines w:val="0"/>
                    <w:numPr>
                      <w:ilvl w:val="0"/>
                      <w:numId w:val="0"/>
                    </w:numPr>
                    <w:suppressLineNumbers w:val="0"/>
                    <w:spacing w:before="0" w:beforeAutospacing="0" w:after="0" w:afterAutospacing="0" w:line="240" w:lineRule="auto"/>
                    <w:ind w:left="0" w:right="0" w:rightChars="0"/>
                    <w:jc w:val="center"/>
                    <w:rPr>
                      <w:rFonts w:hint="default" w:eastAsia="宋体"/>
                      <w:b/>
                      <w:bCs/>
                      <w:color w:val="auto"/>
                      <w:sz w:val="21"/>
                      <w:szCs w:val="21"/>
                      <w:u w:val="single"/>
                      <w:vertAlign w:val="baseline"/>
                      <w:lang w:val="en-US" w:eastAsia="zh-CN"/>
                    </w:rPr>
                  </w:pPr>
                  <w:r>
                    <w:rPr>
                      <w:rFonts w:hint="eastAsia"/>
                      <w:b/>
                      <w:bCs/>
                      <w:color w:val="auto"/>
                      <w:sz w:val="21"/>
                      <w:szCs w:val="21"/>
                      <w:u w:val="single"/>
                      <w:vertAlign w:val="baseline"/>
                      <w:lang w:val="en-US" w:eastAsia="zh-CN"/>
                    </w:rPr>
                    <w:t>机械</w:t>
                  </w:r>
                </w:p>
              </w:tc>
              <w:tc>
                <w:tcPr>
                  <w:tcW w:w="5878" w:type="dxa"/>
                  <w:gridSpan w:val="9"/>
                  <w:vAlign w:val="center"/>
                </w:tcPr>
                <w:p w14:paraId="5D02495C">
                  <w:pPr>
                    <w:keepNext w:val="0"/>
                    <w:keepLines w:val="0"/>
                    <w:numPr>
                      <w:ilvl w:val="0"/>
                      <w:numId w:val="0"/>
                    </w:numPr>
                    <w:suppressLineNumbers w:val="0"/>
                    <w:spacing w:before="0" w:beforeAutospacing="0" w:after="0" w:afterAutospacing="0" w:line="240" w:lineRule="auto"/>
                    <w:ind w:left="0" w:right="0" w:rightChars="0"/>
                    <w:jc w:val="center"/>
                    <w:rPr>
                      <w:rFonts w:hint="eastAsia"/>
                      <w:b/>
                      <w:bCs/>
                      <w:color w:val="auto"/>
                      <w:sz w:val="21"/>
                      <w:szCs w:val="21"/>
                      <w:u w:val="single"/>
                      <w:vertAlign w:val="baseline"/>
                      <w:lang w:val="en-US" w:eastAsia="zh-CN"/>
                    </w:rPr>
                  </w:pPr>
                  <w:r>
                    <w:rPr>
                      <w:rFonts w:hint="eastAsia"/>
                      <w:b/>
                      <w:bCs/>
                      <w:color w:val="auto"/>
                      <w:sz w:val="21"/>
                      <w:szCs w:val="21"/>
                      <w:u w:val="single"/>
                      <w:lang w:val="en-US" w:eastAsia="zh-CN"/>
                    </w:rPr>
                    <w:t>不同距离的施工机械噪声预测dB（A）</w:t>
                  </w:r>
                </w:p>
              </w:tc>
            </w:tr>
            <w:tr w14:paraId="2F8A8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1284" w:type="dxa"/>
                  <w:vMerge w:val="continue"/>
                  <w:vAlign w:val="center"/>
                </w:tcPr>
                <w:p w14:paraId="621E4533">
                  <w:pPr>
                    <w:keepNext w:val="0"/>
                    <w:keepLines w:val="0"/>
                    <w:numPr>
                      <w:ilvl w:val="0"/>
                      <w:numId w:val="0"/>
                    </w:numPr>
                    <w:suppressLineNumbers w:val="0"/>
                    <w:spacing w:before="0" w:beforeAutospacing="0" w:after="0" w:afterAutospacing="0" w:line="240" w:lineRule="auto"/>
                    <w:ind w:left="0" w:right="0" w:rightChars="0"/>
                    <w:jc w:val="center"/>
                    <w:rPr>
                      <w:rFonts w:hint="default" w:eastAsia="宋体"/>
                      <w:color w:val="auto"/>
                      <w:sz w:val="21"/>
                      <w:szCs w:val="21"/>
                      <w:u w:val="single"/>
                      <w:vertAlign w:val="baseline"/>
                      <w:lang w:val="en-US" w:eastAsia="zh-CN"/>
                    </w:rPr>
                  </w:pPr>
                </w:p>
              </w:tc>
              <w:tc>
                <w:tcPr>
                  <w:tcW w:w="653" w:type="dxa"/>
                  <w:vAlign w:val="center"/>
                </w:tcPr>
                <w:p w14:paraId="4F0AE347">
                  <w:pPr>
                    <w:keepNext w:val="0"/>
                    <w:keepLines w:val="0"/>
                    <w:numPr>
                      <w:ilvl w:val="0"/>
                      <w:numId w:val="0"/>
                    </w:numPr>
                    <w:suppressLineNumbers w:val="0"/>
                    <w:spacing w:before="0" w:beforeAutospacing="0" w:after="0" w:afterAutospacing="0" w:line="240" w:lineRule="auto"/>
                    <w:ind w:left="0" w:right="0" w:rightChars="0"/>
                    <w:jc w:val="center"/>
                    <w:rPr>
                      <w:rFonts w:hint="default" w:eastAsia="宋体"/>
                      <w:color w:val="auto"/>
                      <w:sz w:val="21"/>
                      <w:szCs w:val="21"/>
                      <w:u w:val="single"/>
                      <w:vertAlign w:val="baseline"/>
                      <w:lang w:val="en-US" w:eastAsia="zh-CN"/>
                    </w:rPr>
                  </w:pPr>
                  <w:r>
                    <w:rPr>
                      <w:rFonts w:hint="eastAsia"/>
                      <w:color w:val="auto"/>
                      <w:sz w:val="21"/>
                      <w:szCs w:val="21"/>
                      <w:u w:val="single"/>
                      <w:vertAlign w:val="baseline"/>
                      <w:lang w:val="en-US" w:eastAsia="zh-CN"/>
                    </w:rPr>
                    <w:t>5m</w:t>
                  </w:r>
                </w:p>
              </w:tc>
              <w:tc>
                <w:tcPr>
                  <w:tcW w:w="653" w:type="dxa"/>
                  <w:vAlign w:val="center"/>
                </w:tcPr>
                <w:p w14:paraId="65EC4458">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10m</w:t>
                  </w:r>
                </w:p>
              </w:tc>
              <w:tc>
                <w:tcPr>
                  <w:tcW w:w="653" w:type="dxa"/>
                  <w:vAlign w:val="center"/>
                </w:tcPr>
                <w:p w14:paraId="6928CA06">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20m</w:t>
                  </w:r>
                </w:p>
              </w:tc>
              <w:tc>
                <w:tcPr>
                  <w:tcW w:w="653" w:type="dxa"/>
                  <w:vAlign w:val="center"/>
                </w:tcPr>
                <w:p w14:paraId="405ADD6E">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40m</w:t>
                  </w:r>
                </w:p>
              </w:tc>
              <w:tc>
                <w:tcPr>
                  <w:tcW w:w="653" w:type="dxa"/>
                  <w:vAlign w:val="center"/>
                </w:tcPr>
                <w:p w14:paraId="6BC27F0D">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60m</w:t>
                  </w:r>
                </w:p>
              </w:tc>
              <w:tc>
                <w:tcPr>
                  <w:tcW w:w="653" w:type="dxa"/>
                  <w:vAlign w:val="center"/>
                </w:tcPr>
                <w:p w14:paraId="1192DAB6">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80m</w:t>
                  </w:r>
                </w:p>
              </w:tc>
              <w:tc>
                <w:tcPr>
                  <w:tcW w:w="653" w:type="dxa"/>
                  <w:vAlign w:val="center"/>
                </w:tcPr>
                <w:p w14:paraId="4C334A11">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100m</w:t>
                  </w:r>
                </w:p>
              </w:tc>
              <w:tc>
                <w:tcPr>
                  <w:tcW w:w="653" w:type="dxa"/>
                  <w:vAlign w:val="center"/>
                </w:tcPr>
                <w:p w14:paraId="6ADD3483">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150m</w:t>
                  </w:r>
                </w:p>
              </w:tc>
              <w:tc>
                <w:tcPr>
                  <w:tcW w:w="654" w:type="dxa"/>
                  <w:vAlign w:val="center"/>
                </w:tcPr>
                <w:p w14:paraId="414B7222">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200m</w:t>
                  </w:r>
                </w:p>
              </w:tc>
            </w:tr>
            <w:tr w14:paraId="5B6B4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1284" w:type="dxa"/>
                  <w:vAlign w:val="center"/>
                </w:tcPr>
                <w:p w14:paraId="2C9DB7B2">
                  <w:pPr>
                    <w:keepNext w:val="0"/>
                    <w:keepLines w:val="0"/>
                    <w:numPr>
                      <w:ilvl w:val="0"/>
                      <w:numId w:val="0"/>
                    </w:numPr>
                    <w:suppressLineNumbers w:val="0"/>
                    <w:spacing w:before="0" w:beforeAutospacing="0" w:after="0" w:afterAutospacing="0" w:line="240" w:lineRule="auto"/>
                    <w:ind w:left="0" w:right="0" w:rightChars="0"/>
                    <w:jc w:val="center"/>
                    <w:rPr>
                      <w:rFonts w:hint="eastAsia"/>
                      <w:color w:val="auto"/>
                      <w:sz w:val="21"/>
                      <w:szCs w:val="21"/>
                      <w:u w:val="single"/>
                      <w:vertAlign w:val="baseline"/>
                      <w:lang w:val="en-US" w:eastAsia="zh-CN"/>
                    </w:rPr>
                  </w:pPr>
                  <w:r>
                    <w:rPr>
                      <w:rFonts w:hint="default" w:eastAsia="宋体"/>
                      <w:color w:val="auto"/>
                      <w:sz w:val="21"/>
                      <w:szCs w:val="21"/>
                      <w:u w:val="single"/>
                      <w:vertAlign w:val="baseline"/>
                      <w:lang w:val="en-US" w:eastAsia="zh-CN"/>
                    </w:rPr>
                    <w:t>挖掘机</w:t>
                  </w:r>
                </w:p>
              </w:tc>
              <w:tc>
                <w:tcPr>
                  <w:tcW w:w="653" w:type="dxa"/>
                  <w:vAlign w:val="center"/>
                </w:tcPr>
                <w:p w14:paraId="6BE1E495">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84</w:t>
                  </w:r>
                </w:p>
              </w:tc>
              <w:tc>
                <w:tcPr>
                  <w:tcW w:w="653" w:type="dxa"/>
                  <w:vAlign w:val="center"/>
                </w:tcPr>
                <w:p w14:paraId="5D5F9B2E">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70</w:t>
                  </w:r>
                </w:p>
              </w:tc>
              <w:tc>
                <w:tcPr>
                  <w:tcW w:w="653" w:type="dxa"/>
                  <w:vAlign w:val="center"/>
                </w:tcPr>
                <w:p w14:paraId="1A01D773">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60.4</w:t>
                  </w:r>
                </w:p>
              </w:tc>
              <w:tc>
                <w:tcPr>
                  <w:tcW w:w="653" w:type="dxa"/>
                  <w:vAlign w:val="center"/>
                </w:tcPr>
                <w:p w14:paraId="090FB7D3">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53.1</w:t>
                  </w:r>
                </w:p>
              </w:tc>
              <w:tc>
                <w:tcPr>
                  <w:tcW w:w="653" w:type="dxa"/>
                  <w:vAlign w:val="center"/>
                </w:tcPr>
                <w:p w14:paraId="0DC41BFA">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49.1</w:t>
                  </w:r>
                </w:p>
              </w:tc>
              <w:tc>
                <w:tcPr>
                  <w:tcW w:w="653" w:type="dxa"/>
                  <w:vAlign w:val="center"/>
                </w:tcPr>
                <w:p w14:paraId="57766202">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46.5</w:t>
                  </w:r>
                </w:p>
              </w:tc>
              <w:tc>
                <w:tcPr>
                  <w:tcW w:w="653" w:type="dxa"/>
                  <w:vAlign w:val="center"/>
                </w:tcPr>
                <w:p w14:paraId="41FE248B">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44.4</w:t>
                  </w:r>
                </w:p>
              </w:tc>
              <w:tc>
                <w:tcPr>
                  <w:tcW w:w="653" w:type="dxa"/>
                  <w:vAlign w:val="center"/>
                </w:tcPr>
                <w:p w14:paraId="4A398ED5">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40.8</w:t>
                  </w:r>
                </w:p>
              </w:tc>
              <w:tc>
                <w:tcPr>
                  <w:tcW w:w="654" w:type="dxa"/>
                  <w:vAlign w:val="center"/>
                </w:tcPr>
                <w:p w14:paraId="5881276B">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38.2</w:t>
                  </w:r>
                </w:p>
              </w:tc>
            </w:tr>
            <w:tr w14:paraId="1AEF5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14:paraId="57298E2A">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长臂挖掘机</w:t>
                  </w:r>
                </w:p>
              </w:tc>
              <w:tc>
                <w:tcPr>
                  <w:tcW w:w="653" w:type="dxa"/>
                  <w:vAlign w:val="center"/>
                </w:tcPr>
                <w:p w14:paraId="6DC2132A">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84</w:t>
                  </w:r>
                </w:p>
              </w:tc>
              <w:tc>
                <w:tcPr>
                  <w:tcW w:w="653" w:type="dxa"/>
                  <w:vAlign w:val="center"/>
                </w:tcPr>
                <w:p w14:paraId="55216F29">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70</w:t>
                  </w:r>
                </w:p>
              </w:tc>
              <w:tc>
                <w:tcPr>
                  <w:tcW w:w="653" w:type="dxa"/>
                  <w:vAlign w:val="center"/>
                </w:tcPr>
                <w:p w14:paraId="0FF0ED2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60.4</w:t>
                  </w:r>
                </w:p>
              </w:tc>
              <w:tc>
                <w:tcPr>
                  <w:tcW w:w="653" w:type="dxa"/>
                  <w:vAlign w:val="center"/>
                </w:tcPr>
                <w:p w14:paraId="19D00BA5">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53.1</w:t>
                  </w:r>
                </w:p>
              </w:tc>
              <w:tc>
                <w:tcPr>
                  <w:tcW w:w="653" w:type="dxa"/>
                  <w:vAlign w:val="center"/>
                </w:tcPr>
                <w:p w14:paraId="22B819E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49.1</w:t>
                  </w:r>
                </w:p>
              </w:tc>
              <w:tc>
                <w:tcPr>
                  <w:tcW w:w="653" w:type="dxa"/>
                  <w:vAlign w:val="center"/>
                </w:tcPr>
                <w:p w14:paraId="35F042D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46.5</w:t>
                  </w:r>
                </w:p>
              </w:tc>
              <w:tc>
                <w:tcPr>
                  <w:tcW w:w="653" w:type="dxa"/>
                  <w:vAlign w:val="center"/>
                </w:tcPr>
                <w:p w14:paraId="70BB3C9A">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44.4</w:t>
                  </w:r>
                </w:p>
              </w:tc>
              <w:tc>
                <w:tcPr>
                  <w:tcW w:w="653" w:type="dxa"/>
                  <w:vAlign w:val="center"/>
                </w:tcPr>
                <w:p w14:paraId="01F60EAB">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40.8</w:t>
                  </w:r>
                </w:p>
              </w:tc>
              <w:tc>
                <w:tcPr>
                  <w:tcW w:w="654" w:type="dxa"/>
                  <w:vAlign w:val="center"/>
                </w:tcPr>
                <w:p w14:paraId="4A1E22B6">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38.2</w:t>
                  </w:r>
                </w:p>
              </w:tc>
            </w:tr>
            <w:tr w14:paraId="3ADB8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14:paraId="7D319474">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装载车</w:t>
                  </w:r>
                </w:p>
              </w:tc>
              <w:tc>
                <w:tcPr>
                  <w:tcW w:w="653" w:type="dxa"/>
                  <w:vAlign w:val="center"/>
                </w:tcPr>
                <w:p w14:paraId="5006743A">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85</w:t>
                  </w:r>
                </w:p>
              </w:tc>
              <w:tc>
                <w:tcPr>
                  <w:tcW w:w="653" w:type="dxa"/>
                  <w:vAlign w:val="center"/>
                </w:tcPr>
                <w:p w14:paraId="655A0E59">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71</w:t>
                  </w:r>
                </w:p>
              </w:tc>
              <w:tc>
                <w:tcPr>
                  <w:tcW w:w="653" w:type="dxa"/>
                  <w:vAlign w:val="center"/>
                </w:tcPr>
                <w:p w14:paraId="7F7A9972">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61.4</w:t>
                  </w:r>
                </w:p>
              </w:tc>
              <w:tc>
                <w:tcPr>
                  <w:tcW w:w="653" w:type="dxa"/>
                  <w:vAlign w:val="center"/>
                </w:tcPr>
                <w:p w14:paraId="7C415133">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54.1</w:t>
                  </w:r>
                </w:p>
              </w:tc>
              <w:tc>
                <w:tcPr>
                  <w:tcW w:w="653" w:type="dxa"/>
                  <w:vAlign w:val="center"/>
                </w:tcPr>
                <w:p w14:paraId="28AF2BE9">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50.1</w:t>
                  </w:r>
                </w:p>
              </w:tc>
              <w:tc>
                <w:tcPr>
                  <w:tcW w:w="653" w:type="dxa"/>
                  <w:vAlign w:val="center"/>
                </w:tcPr>
                <w:p w14:paraId="6C7811E0">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47.5</w:t>
                  </w:r>
                </w:p>
              </w:tc>
              <w:tc>
                <w:tcPr>
                  <w:tcW w:w="653" w:type="dxa"/>
                  <w:vAlign w:val="center"/>
                </w:tcPr>
                <w:p w14:paraId="1773C2AD">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45.4</w:t>
                  </w:r>
                </w:p>
              </w:tc>
              <w:tc>
                <w:tcPr>
                  <w:tcW w:w="653" w:type="dxa"/>
                  <w:vAlign w:val="center"/>
                </w:tcPr>
                <w:p w14:paraId="48A7D0BB">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41.8</w:t>
                  </w:r>
                </w:p>
              </w:tc>
              <w:tc>
                <w:tcPr>
                  <w:tcW w:w="654" w:type="dxa"/>
                  <w:vAlign w:val="center"/>
                </w:tcPr>
                <w:p w14:paraId="7339463B">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39.2</w:t>
                  </w:r>
                </w:p>
              </w:tc>
            </w:tr>
            <w:tr w14:paraId="41C6B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14:paraId="27BC9CC5">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自卸车</w:t>
                  </w:r>
                </w:p>
              </w:tc>
              <w:tc>
                <w:tcPr>
                  <w:tcW w:w="653" w:type="dxa"/>
                  <w:vAlign w:val="center"/>
                </w:tcPr>
                <w:p w14:paraId="1B2697E9">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86</w:t>
                  </w:r>
                </w:p>
              </w:tc>
              <w:tc>
                <w:tcPr>
                  <w:tcW w:w="653" w:type="dxa"/>
                  <w:vAlign w:val="center"/>
                </w:tcPr>
                <w:p w14:paraId="63334664">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72</w:t>
                  </w:r>
                </w:p>
              </w:tc>
              <w:tc>
                <w:tcPr>
                  <w:tcW w:w="653" w:type="dxa"/>
                  <w:vAlign w:val="center"/>
                </w:tcPr>
                <w:p w14:paraId="68F7C8E7">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62.4</w:t>
                  </w:r>
                </w:p>
              </w:tc>
              <w:tc>
                <w:tcPr>
                  <w:tcW w:w="653" w:type="dxa"/>
                  <w:vAlign w:val="center"/>
                </w:tcPr>
                <w:p w14:paraId="1BB2A169">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55.1</w:t>
                  </w:r>
                </w:p>
              </w:tc>
              <w:tc>
                <w:tcPr>
                  <w:tcW w:w="653" w:type="dxa"/>
                  <w:vAlign w:val="center"/>
                </w:tcPr>
                <w:p w14:paraId="60FCCDD4">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51.1</w:t>
                  </w:r>
                </w:p>
              </w:tc>
              <w:tc>
                <w:tcPr>
                  <w:tcW w:w="653" w:type="dxa"/>
                  <w:vAlign w:val="center"/>
                </w:tcPr>
                <w:p w14:paraId="429B4AD0">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48.5</w:t>
                  </w:r>
                </w:p>
              </w:tc>
              <w:tc>
                <w:tcPr>
                  <w:tcW w:w="653" w:type="dxa"/>
                  <w:vAlign w:val="center"/>
                </w:tcPr>
                <w:p w14:paraId="590AB52C">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46.4</w:t>
                  </w:r>
                </w:p>
              </w:tc>
              <w:tc>
                <w:tcPr>
                  <w:tcW w:w="653" w:type="dxa"/>
                  <w:vAlign w:val="center"/>
                </w:tcPr>
                <w:p w14:paraId="0D7B118C">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42.8</w:t>
                  </w:r>
                </w:p>
              </w:tc>
              <w:tc>
                <w:tcPr>
                  <w:tcW w:w="654" w:type="dxa"/>
                  <w:vAlign w:val="center"/>
                </w:tcPr>
                <w:p w14:paraId="3CF88C48">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40.2</w:t>
                  </w:r>
                </w:p>
              </w:tc>
            </w:tr>
            <w:tr w14:paraId="3D2C9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vAlign w:val="center"/>
                </w:tcPr>
                <w:p w14:paraId="4E6DC08E">
                  <w:pPr>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u w:val="single"/>
                      <w:vertAlign w:val="baseline"/>
                      <w:lang w:val="en-US" w:eastAsia="zh-CN" w:bidi="ar-SA"/>
                    </w:rPr>
                  </w:pPr>
                  <w:r>
                    <w:rPr>
                      <w:rFonts w:hint="eastAsia"/>
                      <w:color w:val="auto"/>
                      <w:sz w:val="21"/>
                      <w:szCs w:val="21"/>
                      <w:u w:val="single"/>
                      <w:vertAlign w:val="baseline"/>
                      <w:lang w:val="en-US" w:eastAsia="zh-CN"/>
                    </w:rPr>
                    <w:t>水泵</w:t>
                  </w:r>
                </w:p>
              </w:tc>
              <w:tc>
                <w:tcPr>
                  <w:tcW w:w="653" w:type="dxa"/>
                  <w:vAlign w:val="center"/>
                </w:tcPr>
                <w:p w14:paraId="20215775">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90</w:t>
                  </w:r>
                </w:p>
              </w:tc>
              <w:tc>
                <w:tcPr>
                  <w:tcW w:w="653" w:type="dxa"/>
                  <w:vAlign w:val="center"/>
                </w:tcPr>
                <w:p w14:paraId="3A35687A">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b/>
                      <w:bCs/>
                      <w:color w:val="auto"/>
                      <w:sz w:val="21"/>
                      <w:szCs w:val="21"/>
                      <w:u w:val="single"/>
                      <w:vertAlign w:val="baseline"/>
                      <w:lang w:val="en-US" w:eastAsia="zh-CN"/>
                    </w:rPr>
                    <w:t>76</w:t>
                  </w:r>
                </w:p>
              </w:tc>
              <w:tc>
                <w:tcPr>
                  <w:tcW w:w="653" w:type="dxa"/>
                  <w:vAlign w:val="center"/>
                </w:tcPr>
                <w:p w14:paraId="55AA2697">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66.4</w:t>
                  </w:r>
                </w:p>
              </w:tc>
              <w:tc>
                <w:tcPr>
                  <w:tcW w:w="653" w:type="dxa"/>
                  <w:vAlign w:val="center"/>
                </w:tcPr>
                <w:p w14:paraId="451068D1">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59.1</w:t>
                  </w:r>
                </w:p>
              </w:tc>
              <w:tc>
                <w:tcPr>
                  <w:tcW w:w="653" w:type="dxa"/>
                  <w:vAlign w:val="center"/>
                </w:tcPr>
                <w:p w14:paraId="2713E868">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55.1</w:t>
                  </w:r>
                </w:p>
              </w:tc>
              <w:tc>
                <w:tcPr>
                  <w:tcW w:w="653" w:type="dxa"/>
                  <w:vAlign w:val="center"/>
                </w:tcPr>
                <w:p w14:paraId="5630D1CD">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52.5</w:t>
                  </w:r>
                </w:p>
              </w:tc>
              <w:tc>
                <w:tcPr>
                  <w:tcW w:w="653" w:type="dxa"/>
                  <w:vAlign w:val="center"/>
                </w:tcPr>
                <w:p w14:paraId="5A05B947">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50.4</w:t>
                  </w:r>
                </w:p>
              </w:tc>
              <w:tc>
                <w:tcPr>
                  <w:tcW w:w="653" w:type="dxa"/>
                  <w:vAlign w:val="center"/>
                </w:tcPr>
                <w:p w14:paraId="11CF1B93">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46.8</w:t>
                  </w:r>
                </w:p>
              </w:tc>
              <w:tc>
                <w:tcPr>
                  <w:tcW w:w="654" w:type="dxa"/>
                  <w:vAlign w:val="center"/>
                </w:tcPr>
                <w:p w14:paraId="04406906">
                  <w:pPr>
                    <w:keepNext w:val="0"/>
                    <w:keepLines w:val="0"/>
                    <w:numPr>
                      <w:ilvl w:val="0"/>
                      <w:numId w:val="0"/>
                    </w:numPr>
                    <w:suppressLineNumbers w:val="0"/>
                    <w:spacing w:before="0" w:beforeAutospacing="0" w:after="0" w:afterAutospacing="0" w:line="240" w:lineRule="auto"/>
                    <w:ind w:left="0" w:right="0" w:rightChars="0"/>
                    <w:jc w:val="center"/>
                    <w:rPr>
                      <w:rFonts w:hint="default"/>
                      <w:color w:val="auto"/>
                      <w:sz w:val="21"/>
                      <w:szCs w:val="21"/>
                      <w:u w:val="single"/>
                      <w:vertAlign w:val="baseline"/>
                      <w:lang w:val="en-US" w:eastAsia="zh-CN"/>
                    </w:rPr>
                  </w:pPr>
                  <w:r>
                    <w:rPr>
                      <w:rFonts w:hint="eastAsia"/>
                      <w:color w:val="auto"/>
                      <w:sz w:val="21"/>
                      <w:szCs w:val="21"/>
                      <w:u w:val="single"/>
                      <w:vertAlign w:val="baseline"/>
                      <w:lang w:val="en-US" w:eastAsia="zh-CN"/>
                    </w:rPr>
                    <w:t>44.2</w:t>
                  </w:r>
                </w:p>
              </w:tc>
            </w:tr>
          </w:tbl>
          <w:p w14:paraId="64391F81">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color w:val="auto"/>
                <w:sz w:val="24"/>
                <w:u w:val="single"/>
              </w:rPr>
            </w:pPr>
            <w:r>
              <w:rPr>
                <w:rFonts w:hint="default"/>
                <w:color w:val="auto"/>
                <w:sz w:val="24"/>
                <w:u w:val="single"/>
              </w:rPr>
              <w:t>按《建筑施工场界环境噪声排放标准》（GB12523-2011）规定，昼间噪声限值为70dB，夜间为55dB。施工机械噪声预测结果显示：在不采取措施情况下，项目施工噪声影响范围为源强</w:t>
            </w:r>
            <w:r>
              <w:rPr>
                <w:rFonts w:hint="eastAsia"/>
                <w:color w:val="auto"/>
                <w:sz w:val="24"/>
                <w:u w:val="single"/>
                <w:lang w:val="en-US" w:eastAsia="zh-CN"/>
              </w:rPr>
              <w:t>2</w:t>
            </w:r>
            <w:r>
              <w:rPr>
                <w:rFonts w:hint="default"/>
                <w:color w:val="auto"/>
                <w:sz w:val="24"/>
                <w:u w:val="single"/>
              </w:rPr>
              <w:t>0m范围（夜间不施工）。根据现场踏勘，部分居民沿</w:t>
            </w:r>
            <w:r>
              <w:rPr>
                <w:rFonts w:hint="eastAsia"/>
                <w:color w:val="auto"/>
                <w:sz w:val="24"/>
                <w:u w:val="single"/>
                <w:lang w:val="en-US" w:eastAsia="zh-CN"/>
              </w:rPr>
              <w:t>河岸、道路两岸</w:t>
            </w:r>
            <w:r>
              <w:rPr>
                <w:rFonts w:hint="default"/>
                <w:color w:val="auto"/>
                <w:sz w:val="24"/>
                <w:u w:val="single"/>
              </w:rPr>
              <w:t>居住，在本项目施工场地周边</w:t>
            </w:r>
            <w:r>
              <w:rPr>
                <w:rFonts w:hint="eastAsia"/>
                <w:color w:val="auto"/>
                <w:sz w:val="24"/>
                <w:u w:val="single"/>
                <w:lang w:val="en-US" w:eastAsia="zh-CN"/>
              </w:rPr>
              <w:t>5-10</w:t>
            </w:r>
            <w:r>
              <w:rPr>
                <w:rFonts w:hint="default"/>
                <w:color w:val="auto"/>
                <w:sz w:val="24"/>
                <w:u w:val="single"/>
              </w:rPr>
              <w:t>m</w:t>
            </w:r>
            <w:r>
              <w:rPr>
                <w:rFonts w:hint="eastAsia"/>
                <w:color w:val="auto"/>
                <w:sz w:val="24"/>
                <w:u w:val="single"/>
                <w:lang w:val="en-US" w:eastAsia="zh-CN"/>
              </w:rPr>
              <w:t>范围</w:t>
            </w:r>
            <w:r>
              <w:rPr>
                <w:rFonts w:hint="default"/>
                <w:color w:val="auto"/>
                <w:sz w:val="24"/>
                <w:u w:val="single"/>
              </w:rPr>
              <w:t>，为减小施工噪声对周边敏感点的影响，本次环评要求项目施工时须：</w:t>
            </w:r>
          </w:p>
          <w:p w14:paraId="4E40ABBA">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color w:val="auto"/>
                <w:sz w:val="24"/>
                <w:u w:val="single"/>
              </w:rPr>
            </w:pPr>
            <w:r>
              <w:rPr>
                <w:rFonts w:hint="default"/>
                <w:color w:val="auto"/>
                <w:sz w:val="24"/>
                <w:u w:val="single"/>
              </w:rPr>
              <w:t>①将高噪声设备布置在尽量远离敏感目标的位置；且控制同时作业的高噪声设备的数量，避免局部声级过高；</w:t>
            </w:r>
          </w:p>
          <w:p w14:paraId="6D97B7FA">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color w:val="auto"/>
                <w:sz w:val="24"/>
                <w:u w:val="single"/>
              </w:rPr>
            </w:pPr>
            <w:r>
              <w:rPr>
                <w:rFonts w:hint="default"/>
                <w:color w:val="auto"/>
                <w:sz w:val="24"/>
                <w:u w:val="single"/>
              </w:rPr>
              <w:t>②施工场地周边或存在敏感目标的方向设置隔声屏障、围挡等；</w:t>
            </w:r>
          </w:p>
          <w:p w14:paraId="6EB8C70D">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color w:val="auto"/>
                <w:sz w:val="24"/>
                <w:u w:val="single"/>
              </w:rPr>
            </w:pPr>
            <w:r>
              <w:rPr>
                <w:rFonts w:hint="default"/>
                <w:color w:val="auto"/>
                <w:sz w:val="24"/>
                <w:u w:val="single"/>
              </w:rPr>
              <w:t>③施工时间尽量安排在昼间</w:t>
            </w:r>
            <w:r>
              <w:rPr>
                <w:rFonts w:hint="eastAsia"/>
                <w:color w:val="auto"/>
                <w:sz w:val="24"/>
                <w:u w:val="single"/>
                <w:lang w:eastAsia="zh-CN"/>
              </w:rPr>
              <w:t>（</w:t>
            </w:r>
            <w:r>
              <w:rPr>
                <w:rFonts w:hint="default"/>
                <w:color w:val="auto"/>
                <w:sz w:val="24"/>
                <w:u w:val="single"/>
              </w:rPr>
              <w:t>8:00-12:00，14:00-22:00，午休时间段禁止施工</w:t>
            </w:r>
            <w:r>
              <w:rPr>
                <w:rFonts w:hint="eastAsia"/>
                <w:color w:val="auto"/>
                <w:sz w:val="24"/>
                <w:u w:val="single"/>
                <w:lang w:eastAsia="zh-CN"/>
              </w:rPr>
              <w:t>）</w:t>
            </w:r>
            <w:r>
              <w:rPr>
                <w:rFonts w:hint="default"/>
                <w:color w:val="auto"/>
                <w:sz w:val="24"/>
                <w:u w:val="single"/>
              </w:rPr>
              <w:t>作业或对各种施工机械作业时间加以适当调整；禁止夜间施工及运输。</w:t>
            </w:r>
          </w:p>
          <w:p w14:paraId="5E1D35AF">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eastAsia="宋体"/>
                <w:color w:val="auto"/>
                <w:sz w:val="24"/>
                <w:u w:val="single"/>
                <w:lang w:val="en-US" w:eastAsia="zh-CN"/>
              </w:rPr>
            </w:pPr>
            <w:r>
              <w:rPr>
                <w:rFonts w:hint="eastAsia"/>
                <w:color w:val="auto"/>
                <w:sz w:val="24"/>
                <w:u w:val="single"/>
                <w:lang w:val="en-US" w:eastAsia="zh-CN"/>
              </w:rPr>
              <w:t>④施工时间对附近居民进行通知，同时向相应管理部门进行报备。</w:t>
            </w:r>
          </w:p>
          <w:p w14:paraId="4ECC768C">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color w:val="FF0000"/>
                <w:sz w:val="24"/>
                <w:u w:val="single"/>
              </w:rPr>
            </w:pPr>
            <w:r>
              <w:rPr>
                <w:rFonts w:hint="default"/>
                <w:color w:val="auto"/>
                <w:sz w:val="24"/>
                <w:u w:val="single"/>
              </w:rPr>
              <w:t>采取上述措施后，施工期噪声对周围声环境的影响不大</w:t>
            </w:r>
            <w:r>
              <w:rPr>
                <w:rFonts w:hint="eastAsia"/>
                <w:color w:val="auto"/>
                <w:sz w:val="24"/>
                <w:u w:val="single"/>
                <w:lang w:eastAsia="zh-CN"/>
              </w:rPr>
              <w:t>。</w:t>
            </w:r>
          </w:p>
          <w:p w14:paraId="6EF6631C">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color w:val="auto"/>
                <w:sz w:val="24"/>
                <w:highlight w:val="none"/>
                <w:u w:val="single"/>
              </w:rPr>
            </w:pPr>
            <w:r>
              <w:rPr>
                <w:rFonts w:hint="default" w:ascii="Times New Roman" w:hAnsi="Times New Roman" w:eastAsia="宋体" w:cs="Times New Roman"/>
                <w:b/>
                <w:color w:val="auto"/>
                <w:sz w:val="24"/>
                <w:highlight w:val="none"/>
                <w:u w:val="single"/>
                <w:lang w:val="en-US" w:eastAsia="zh-CN"/>
              </w:rPr>
              <w:t>4、</w:t>
            </w:r>
            <w:r>
              <w:rPr>
                <w:rFonts w:hint="default" w:ascii="Times New Roman" w:hAnsi="Times New Roman" w:eastAsia="宋体" w:cs="Times New Roman"/>
                <w:b/>
                <w:color w:val="auto"/>
                <w:sz w:val="24"/>
                <w:highlight w:val="none"/>
                <w:u w:val="single"/>
              </w:rPr>
              <w:t>固体废物环境影响分析</w:t>
            </w:r>
          </w:p>
          <w:p w14:paraId="289FB788">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u w:val="single"/>
              </w:rPr>
            </w:pPr>
            <w:r>
              <w:rPr>
                <w:rFonts w:hint="default" w:ascii="Times New Roman" w:hAnsi="Times New Roman" w:eastAsia="宋体" w:cs="Times New Roman"/>
                <w:color w:val="auto"/>
                <w:sz w:val="24"/>
                <w:highlight w:val="none"/>
                <w:u w:val="single"/>
              </w:rPr>
              <w:t>施工期固体废物主要为清淤过程中产生的清淤垃圾、淤泥</w:t>
            </w:r>
            <w:r>
              <w:rPr>
                <w:rFonts w:hint="eastAsia" w:cs="Times New Roman"/>
                <w:color w:val="auto"/>
                <w:sz w:val="24"/>
                <w:highlight w:val="none"/>
                <w:u w:val="single"/>
                <w:lang w:eastAsia="zh-CN"/>
              </w:rPr>
              <w:t>，</w:t>
            </w:r>
            <w:r>
              <w:rPr>
                <w:rFonts w:hint="default" w:ascii="Times New Roman" w:hAnsi="Times New Roman" w:eastAsia="宋体" w:cs="Times New Roman"/>
                <w:color w:val="auto"/>
                <w:sz w:val="24"/>
                <w:highlight w:val="none"/>
                <w:u w:val="single"/>
              </w:rPr>
              <w:t>管</w:t>
            </w:r>
            <w:r>
              <w:rPr>
                <w:rFonts w:hint="default" w:ascii="Times New Roman" w:hAnsi="Times New Roman" w:eastAsia="宋体" w:cs="Times New Roman"/>
                <w:color w:val="auto"/>
                <w:sz w:val="24"/>
                <w:highlight w:val="none"/>
                <w:u w:val="single"/>
                <w:lang w:val="en-US" w:eastAsia="zh-CN"/>
              </w:rPr>
              <w:t>沟</w:t>
            </w:r>
            <w:r>
              <w:rPr>
                <w:rFonts w:hint="default" w:ascii="Times New Roman" w:hAnsi="Times New Roman" w:eastAsia="宋体" w:cs="Times New Roman"/>
                <w:color w:val="auto"/>
                <w:sz w:val="24"/>
                <w:highlight w:val="none"/>
                <w:u w:val="single"/>
              </w:rPr>
              <w:t>工程中产生的建筑垃圾以及施工人员的生活垃圾。</w:t>
            </w:r>
          </w:p>
          <w:p w14:paraId="3346AE23">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color w:val="auto"/>
                <w:sz w:val="24"/>
                <w:u w:val="single"/>
                <w:lang w:val="en-US" w:eastAsia="zh-CN"/>
              </w:rPr>
            </w:pPr>
            <w:r>
              <w:rPr>
                <w:rFonts w:hint="default" w:ascii="Times New Roman" w:hAnsi="Times New Roman" w:eastAsia="宋体" w:cs="Times New Roman"/>
                <w:b/>
                <w:bCs/>
                <w:color w:val="auto"/>
                <w:sz w:val="24"/>
                <w:u w:val="single"/>
                <w:lang w:val="en-US" w:eastAsia="zh-CN"/>
              </w:rPr>
              <w:t>4.1清淤垃圾</w:t>
            </w:r>
          </w:p>
          <w:p w14:paraId="57D37276">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single"/>
                <w:lang w:val="en-US" w:eastAsia="zh-CN"/>
              </w:rPr>
            </w:pPr>
            <w:r>
              <w:rPr>
                <w:rFonts w:hint="default" w:ascii="Times New Roman" w:hAnsi="Times New Roman" w:eastAsia="宋体" w:cs="Times New Roman"/>
                <w:color w:val="auto"/>
                <w:sz w:val="24"/>
                <w:u w:val="single"/>
                <w:lang w:val="en-US" w:eastAsia="zh-CN"/>
              </w:rPr>
              <w:t>管道清淤过程中清理出来的生活垃圾或杂草，并交由环卫部门处理。</w:t>
            </w:r>
          </w:p>
          <w:p w14:paraId="3A92B4F0">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u w:val="single"/>
                <w:lang w:val="en-US" w:eastAsia="zh-CN"/>
              </w:rPr>
            </w:pPr>
            <w:r>
              <w:rPr>
                <w:rFonts w:hint="default" w:ascii="Times New Roman" w:hAnsi="Times New Roman" w:eastAsia="宋体" w:cs="Times New Roman"/>
                <w:b/>
                <w:bCs/>
                <w:color w:val="auto"/>
                <w:sz w:val="24"/>
                <w:u w:val="single"/>
                <w:lang w:val="en-US" w:eastAsia="zh-CN"/>
              </w:rPr>
              <w:t>4.2</w:t>
            </w:r>
            <w:r>
              <w:rPr>
                <w:rFonts w:hint="eastAsia" w:cs="Times New Roman"/>
                <w:b/>
                <w:bCs/>
                <w:color w:val="auto"/>
                <w:sz w:val="24"/>
                <w:u w:val="single"/>
                <w:lang w:val="en-US" w:eastAsia="zh-CN"/>
              </w:rPr>
              <w:t>淤泥</w:t>
            </w:r>
          </w:p>
          <w:p w14:paraId="0325E4AE">
            <w:pPr>
              <w:keepNext w:val="0"/>
              <w:keepLines w:val="0"/>
              <w:suppressLineNumbers w:val="0"/>
              <w:spacing w:before="0" w:beforeAutospacing="0" w:after="0" w:afterAutospacing="0" w:line="360" w:lineRule="auto"/>
              <w:ind w:left="0" w:right="0" w:firstLine="480" w:firstLineChars="200"/>
              <w:rPr>
                <w:rFonts w:hint="default" w:cs="Times New Roman"/>
                <w:color w:val="auto"/>
                <w:sz w:val="24"/>
                <w:u w:val="single"/>
                <w:lang w:val="en-US" w:eastAsia="zh-CN"/>
              </w:rPr>
            </w:pPr>
            <w:r>
              <w:rPr>
                <w:rFonts w:hint="default" w:ascii="Times New Roman" w:hAnsi="Times New Roman" w:eastAsia="宋体" w:cs="Times New Roman"/>
                <w:color w:val="auto"/>
                <w:sz w:val="24"/>
                <w:u w:val="single"/>
              </w:rPr>
              <w:t>本项目</w:t>
            </w:r>
            <w:r>
              <w:rPr>
                <w:rFonts w:hint="eastAsia" w:cs="Times New Roman"/>
                <w:color w:val="auto"/>
                <w:sz w:val="24"/>
                <w:u w:val="single"/>
                <w:lang w:val="en-US" w:eastAsia="zh-CN"/>
              </w:rPr>
              <w:t>清淤</w:t>
            </w:r>
            <w:r>
              <w:rPr>
                <w:rFonts w:hint="default" w:ascii="Times New Roman" w:hAnsi="Times New Roman" w:eastAsia="宋体" w:cs="Times New Roman"/>
                <w:color w:val="auto"/>
                <w:sz w:val="24"/>
                <w:u w:val="single"/>
              </w:rPr>
              <w:t>产生的</w:t>
            </w:r>
            <w:r>
              <w:rPr>
                <w:rFonts w:hint="eastAsia" w:cs="Times New Roman"/>
                <w:color w:val="auto"/>
                <w:sz w:val="24"/>
                <w:u w:val="single"/>
                <w:lang w:val="en-US" w:eastAsia="zh-CN"/>
              </w:rPr>
              <w:t>淤泥量为39414</w:t>
            </w:r>
            <w:r>
              <w:rPr>
                <w:rFonts w:hint="default" w:ascii="Times New Roman" w:hAnsi="Times New Roman" w:eastAsia="宋体" w:cs="Times New Roman"/>
                <w:color w:val="auto"/>
                <w:sz w:val="24"/>
                <w:u w:val="single"/>
              </w:rPr>
              <w:t>万m³</w:t>
            </w:r>
            <w:r>
              <w:rPr>
                <w:rFonts w:hint="eastAsia" w:cs="Times New Roman"/>
                <w:color w:val="auto"/>
                <w:sz w:val="24"/>
                <w:u w:val="single"/>
                <w:lang w:eastAsia="zh-CN"/>
              </w:rPr>
              <w:t>，依据《土壤环境质量 建设用地土壤污染风险管控标准》（GB 36600-2018）</w:t>
            </w:r>
            <w:r>
              <w:rPr>
                <w:rFonts w:hint="eastAsia" w:cs="Times New Roman"/>
                <w:color w:val="auto"/>
                <w:sz w:val="24"/>
                <w:u w:val="single"/>
                <w:lang w:val="en-US" w:eastAsia="zh-CN"/>
              </w:rPr>
              <w:t>对比底泥补测结果可知，项目淤泥污染物含量低于标准限值，满足《城镇污水处理厂污泥处置 制砖用泥质》（GB/T 25031-2010），可直接资源化利用。</w:t>
            </w:r>
          </w:p>
          <w:p w14:paraId="3C705070">
            <w:pPr>
              <w:keepNext w:val="0"/>
              <w:keepLines w:val="0"/>
              <w:suppressLineNumbers w:val="0"/>
              <w:spacing w:before="0" w:beforeAutospacing="0" w:after="0" w:afterAutospacing="0" w:line="360" w:lineRule="auto"/>
              <w:ind w:left="0" w:right="0" w:firstLine="480" w:firstLineChars="200"/>
              <w:rPr>
                <w:rFonts w:hint="eastAsia" w:cs="Times New Roman"/>
                <w:color w:val="auto"/>
                <w:sz w:val="24"/>
                <w:u w:val="single"/>
                <w:lang w:val="en-US" w:eastAsia="zh-CN"/>
              </w:rPr>
            </w:pPr>
            <w:r>
              <w:rPr>
                <w:rFonts w:hint="eastAsia" w:cs="Times New Roman"/>
                <w:color w:val="auto"/>
                <w:sz w:val="24"/>
                <w:u w:val="single"/>
                <w:lang w:val="en-US" w:eastAsia="zh-CN"/>
              </w:rPr>
              <w:t>故本项目淤泥经“石灰调理+板框压滤脱水”后泥饼暂存，后续直接交给其他公司进行资源化利用；清淤过程中产生的垃圾及施工人员生活垃圾集中分类收集，交由当地环卫部门处理处置。</w:t>
            </w:r>
          </w:p>
          <w:p w14:paraId="26C70C3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single"/>
              </w:rPr>
            </w:pPr>
            <w:r>
              <w:rPr>
                <w:rFonts w:hint="default" w:ascii="Times New Roman" w:hAnsi="Times New Roman" w:eastAsia="宋体" w:cs="Times New Roman"/>
                <w:color w:val="auto"/>
                <w:sz w:val="24"/>
                <w:u w:val="single"/>
              </w:rPr>
              <w:t>采取上述措施后，本项目清淤物对项目周边环境影响不大。</w:t>
            </w:r>
          </w:p>
          <w:p w14:paraId="72313961">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u w:val="single"/>
              </w:rPr>
            </w:pPr>
            <w:r>
              <w:rPr>
                <w:rFonts w:hint="default" w:ascii="Times New Roman" w:hAnsi="Times New Roman" w:eastAsia="宋体" w:cs="Times New Roman"/>
                <w:b/>
                <w:bCs/>
                <w:color w:val="auto"/>
                <w:sz w:val="24"/>
                <w:u w:val="single"/>
                <w:lang w:val="en-US" w:eastAsia="zh-CN"/>
              </w:rPr>
              <w:t>4.3</w:t>
            </w:r>
            <w:r>
              <w:rPr>
                <w:rFonts w:hint="default" w:ascii="Times New Roman" w:hAnsi="Times New Roman" w:eastAsia="宋体" w:cs="Times New Roman"/>
                <w:b/>
                <w:bCs/>
                <w:color w:val="auto"/>
                <w:sz w:val="24"/>
                <w:u w:val="single"/>
              </w:rPr>
              <w:t>建筑垃圾</w:t>
            </w:r>
          </w:p>
          <w:p w14:paraId="04695710">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single"/>
              </w:rPr>
            </w:pPr>
            <w:r>
              <w:rPr>
                <w:rFonts w:hint="default" w:ascii="Times New Roman" w:hAnsi="Times New Roman" w:eastAsia="宋体" w:cs="Times New Roman"/>
                <w:color w:val="auto"/>
                <w:sz w:val="24"/>
                <w:u w:val="single"/>
              </w:rPr>
              <w:t>建筑垃圾主要有废弃包装袋、钢筋、砂石、石块等。施工期将建筑垃圾集中收集后将能回收的废材料、废包装以及废弃管件下料及时出售给废品回收公司处理，不能回收的建筑垃圾运往</w:t>
            </w:r>
            <w:r>
              <w:rPr>
                <w:rFonts w:hint="eastAsia" w:cs="Times New Roman"/>
                <w:color w:val="auto"/>
                <w:sz w:val="24"/>
                <w:u w:val="single"/>
                <w:lang w:val="en-US" w:eastAsia="zh-CN"/>
              </w:rPr>
              <w:t>临湘</w:t>
            </w:r>
            <w:r>
              <w:rPr>
                <w:rFonts w:hint="default" w:ascii="Times New Roman" w:hAnsi="Times New Roman" w:eastAsia="宋体" w:cs="Times New Roman"/>
                <w:color w:val="auto"/>
                <w:sz w:val="24"/>
                <w:u w:val="single"/>
              </w:rPr>
              <w:t>市建筑垃圾指定填埋场。</w:t>
            </w:r>
          </w:p>
          <w:p w14:paraId="13086F76">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u w:val="single"/>
              </w:rPr>
            </w:pPr>
            <w:r>
              <w:rPr>
                <w:rFonts w:hint="default" w:ascii="Times New Roman" w:hAnsi="Times New Roman" w:eastAsia="宋体" w:cs="Times New Roman"/>
                <w:b/>
                <w:bCs/>
                <w:color w:val="auto"/>
                <w:sz w:val="24"/>
                <w:u w:val="single"/>
                <w:lang w:val="en-US" w:eastAsia="zh-CN"/>
              </w:rPr>
              <w:t>4.4</w:t>
            </w:r>
            <w:r>
              <w:rPr>
                <w:rFonts w:hint="default" w:ascii="Times New Roman" w:hAnsi="Times New Roman" w:eastAsia="宋体" w:cs="Times New Roman"/>
                <w:b/>
                <w:bCs/>
                <w:color w:val="auto"/>
                <w:sz w:val="24"/>
                <w:u w:val="single"/>
              </w:rPr>
              <w:t>生活垃圾</w:t>
            </w:r>
          </w:p>
          <w:p w14:paraId="0FE58B4D">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single"/>
              </w:rPr>
            </w:pPr>
            <w:r>
              <w:rPr>
                <w:rFonts w:hint="default" w:ascii="Times New Roman" w:hAnsi="Times New Roman" w:eastAsia="宋体" w:cs="Times New Roman"/>
                <w:color w:val="auto"/>
                <w:sz w:val="24"/>
                <w:u w:val="single"/>
              </w:rPr>
              <w:t>本项目</w:t>
            </w:r>
            <w:r>
              <w:rPr>
                <w:rFonts w:hint="eastAsia" w:cs="Times New Roman"/>
                <w:color w:val="auto"/>
                <w:sz w:val="24"/>
                <w:u w:val="single"/>
                <w:lang w:val="en-US" w:eastAsia="zh-CN"/>
              </w:rPr>
              <w:t>生</w:t>
            </w:r>
            <w:r>
              <w:rPr>
                <w:rFonts w:hint="default" w:ascii="Times New Roman" w:hAnsi="Times New Roman" w:eastAsia="宋体" w:cs="Times New Roman"/>
                <w:color w:val="auto"/>
                <w:sz w:val="24"/>
                <w:u w:val="single"/>
              </w:rPr>
              <w:t>活垃圾量设置垃圾桶</w:t>
            </w:r>
            <w:r>
              <w:rPr>
                <w:rFonts w:hint="eastAsia" w:cs="Times New Roman"/>
                <w:color w:val="auto"/>
                <w:sz w:val="24"/>
                <w:u w:val="single"/>
                <w:lang w:val="en-US" w:eastAsia="zh-CN"/>
              </w:rPr>
              <w:t>收集</w:t>
            </w:r>
            <w:r>
              <w:rPr>
                <w:rFonts w:hint="default" w:ascii="Times New Roman" w:hAnsi="Times New Roman" w:eastAsia="宋体" w:cs="Times New Roman"/>
                <w:color w:val="auto"/>
                <w:sz w:val="24"/>
                <w:u w:val="single"/>
              </w:rPr>
              <w:t>，经统一收集后由环卫部门清运处理，对项目周边的环境影响不大。</w:t>
            </w:r>
          </w:p>
          <w:p w14:paraId="004EDEF0">
            <w:pPr>
              <w:keepNext w:val="0"/>
              <w:keepLines w:val="0"/>
              <w:suppressLineNumbers w:val="0"/>
              <w:spacing w:before="0" w:beforeAutospacing="0" w:after="0" w:afterAutospacing="0" w:line="360" w:lineRule="auto"/>
              <w:ind w:left="0" w:right="0" w:firstLine="480" w:firstLineChars="200"/>
              <w:rPr>
                <w:rFonts w:hint="eastAsia"/>
                <w:color w:val="auto"/>
                <w:sz w:val="24"/>
                <w:u w:val="single"/>
              </w:rPr>
            </w:pPr>
            <w:r>
              <w:rPr>
                <w:rFonts w:hint="default"/>
                <w:color w:val="auto"/>
                <w:sz w:val="24"/>
                <w:u w:val="single"/>
              </w:rPr>
              <w:t>采取上述措施后，项目施工期固体废物对</w:t>
            </w:r>
            <w:r>
              <w:rPr>
                <w:rFonts w:hint="eastAsia"/>
                <w:color w:val="auto"/>
                <w:sz w:val="24"/>
                <w:u w:val="single"/>
              </w:rPr>
              <w:t>周边</w:t>
            </w:r>
            <w:r>
              <w:rPr>
                <w:rFonts w:hint="default"/>
                <w:color w:val="auto"/>
                <w:sz w:val="24"/>
                <w:u w:val="single"/>
              </w:rPr>
              <w:t>环境影响小。</w:t>
            </w:r>
          </w:p>
          <w:p w14:paraId="5989F541">
            <w:pPr>
              <w:keepNext w:val="0"/>
              <w:keepLines w:val="0"/>
              <w:suppressLineNumbers w:val="0"/>
              <w:spacing w:before="0" w:beforeAutospacing="0" w:after="0" w:afterAutospacing="0" w:line="360" w:lineRule="auto"/>
              <w:ind w:left="0" w:right="0" w:firstLine="482" w:firstLineChars="200"/>
              <w:rPr>
                <w:rFonts w:hint="default"/>
                <w:b/>
                <w:color w:val="auto"/>
                <w:sz w:val="24"/>
                <w:highlight w:val="none"/>
                <w:u w:val="single"/>
              </w:rPr>
            </w:pPr>
            <w:r>
              <w:rPr>
                <w:rFonts w:hint="eastAsia"/>
                <w:b/>
                <w:bCs/>
                <w:color w:val="auto"/>
                <w:sz w:val="24"/>
                <w:highlight w:val="none"/>
                <w:u w:val="single"/>
                <w:lang w:val="en-US" w:eastAsia="zh-CN"/>
              </w:rPr>
              <w:t>5</w:t>
            </w:r>
            <w:r>
              <w:rPr>
                <w:rFonts w:hint="eastAsia"/>
                <w:b/>
                <w:bCs/>
                <w:color w:val="auto"/>
                <w:sz w:val="24"/>
                <w:highlight w:val="none"/>
                <w:u w:val="single"/>
              </w:rPr>
              <w:t>、</w:t>
            </w:r>
            <w:r>
              <w:rPr>
                <w:rFonts w:hint="eastAsia"/>
                <w:b/>
                <w:bCs/>
                <w:color w:val="auto"/>
                <w:sz w:val="24"/>
                <w:highlight w:val="none"/>
                <w:u w:val="single"/>
                <w:lang w:val="en-US" w:eastAsia="zh-CN"/>
              </w:rPr>
              <w:t>施工期</w:t>
            </w:r>
            <w:r>
              <w:rPr>
                <w:rFonts w:hint="eastAsia"/>
                <w:b/>
                <w:bCs/>
                <w:color w:val="auto"/>
                <w:sz w:val="24"/>
                <w:highlight w:val="none"/>
                <w:u w:val="single"/>
              </w:rPr>
              <w:t>生</w:t>
            </w:r>
            <w:r>
              <w:rPr>
                <w:rFonts w:hint="eastAsia"/>
                <w:b/>
                <w:color w:val="auto"/>
                <w:sz w:val="24"/>
                <w:highlight w:val="none"/>
                <w:u w:val="single"/>
              </w:rPr>
              <w:t>态环境影响分析</w:t>
            </w:r>
          </w:p>
          <w:p w14:paraId="166EE50A">
            <w:pPr>
              <w:keepNext w:val="0"/>
              <w:keepLines w:val="0"/>
              <w:suppressLineNumbers w:val="0"/>
              <w:spacing w:before="0" w:beforeAutospacing="0" w:after="0" w:afterAutospacing="0" w:line="360" w:lineRule="auto"/>
              <w:ind w:left="0" w:right="0" w:firstLine="482" w:firstLineChars="200"/>
              <w:rPr>
                <w:rFonts w:hint="eastAsia"/>
                <w:b/>
                <w:bCs/>
                <w:color w:val="auto"/>
                <w:sz w:val="24"/>
                <w:highlight w:val="none"/>
                <w:u w:val="single"/>
              </w:rPr>
            </w:pPr>
            <w:r>
              <w:rPr>
                <w:rFonts w:hint="eastAsia"/>
                <w:b/>
                <w:bCs/>
                <w:color w:val="auto"/>
                <w:sz w:val="24"/>
                <w:highlight w:val="none"/>
                <w:u w:val="single"/>
                <w:lang w:val="en-US" w:eastAsia="zh-CN"/>
              </w:rPr>
              <w:t>5.1施工期对水生生物的影响分析</w:t>
            </w:r>
          </w:p>
          <w:p w14:paraId="5C312FDC">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default"/>
                <w:color w:val="auto"/>
                <w:sz w:val="24"/>
                <w:highlight w:val="none"/>
                <w:u w:val="single"/>
              </w:rPr>
              <w:t>项目的施工</w:t>
            </w:r>
            <w:r>
              <w:rPr>
                <w:rFonts w:hint="eastAsia"/>
                <w:color w:val="auto"/>
                <w:sz w:val="24"/>
                <w:highlight w:val="none"/>
                <w:u w:val="single"/>
                <w:lang w:val="en-US" w:eastAsia="zh-CN"/>
              </w:rPr>
              <w:t>清淤期间，</w:t>
            </w:r>
            <w:r>
              <w:rPr>
                <w:rFonts w:hint="default"/>
                <w:color w:val="auto"/>
                <w:sz w:val="24"/>
                <w:highlight w:val="none"/>
                <w:u w:val="single"/>
              </w:rPr>
              <w:t>底泥被挖走后，由自然演替而来的渠床环境将会改变。清淤工程引起的环境变化会直接影响到水生生物的生存、繁殖和分布，造成一部分水生生物死亡，生物量和净生产量下降，生物多样性减少，好氧浮游生物、鱼类、底栖动物会因环境的恶化而死亡，从而造成整个水生生态系统一系列的变化</w:t>
            </w:r>
            <w:r>
              <w:rPr>
                <w:rFonts w:hint="eastAsia"/>
                <w:color w:val="auto"/>
                <w:sz w:val="24"/>
                <w:highlight w:val="none"/>
                <w:u w:val="single"/>
                <w:lang w:eastAsia="zh-CN"/>
              </w:rPr>
              <w:t>，</w:t>
            </w:r>
            <w:r>
              <w:rPr>
                <w:rFonts w:hint="eastAsia"/>
                <w:color w:val="auto"/>
                <w:sz w:val="24"/>
                <w:highlight w:val="none"/>
                <w:u w:val="single"/>
                <w:lang w:val="en-US" w:eastAsia="zh-CN"/>
              </w:rPr>
              <w:t>但</w:t>
            </w:r>
            <w:r>
              <w:rPr>
                <w:rFonts w:hint="default"/>
                <w:color w:val="auto"/>
                <w:sz w:val="24"/>
                <w:highlight w:val="none"/>
                <w:u w:val="single"/>
              </w:rPr>
              <w:t>这些影响基本都是短期不利的，但同时也是可逆的，而且影响时间较短，在施工结束后，</w:t>
            </w:r>
            <w:r>
              <w:rPr>
                <w:rFonts w:hint="eastAsia"/>
                <w:color w:val="auto"/>
                <w:sz w:val="24"/>
                <w:highlight w:val="none"/>
                <w:u w:val="single"/>
                <w:lang w:val="en-US" w:eastAsia="zh-CN"/>
              </w:rPr>
              <w:t>清除淤泥</w:t>
            </w:r>
            <w:r>
              <w:rPr>
                <w:rFonts w:hint="default"/>
                <w:color w:val="auto"/>
                <w:sz w:val="24"/>
                <w:highlight w:val="none"/>
                <w:u w:val="single"/>
              </w:rPr>
              <w:t>会改善河流条件，减缓</w:t>
            </w:r>
            <w:r>
              <w:rPr>
                <w:rFonts w:hint="eastAsia"/>
                <w:color w:val="auto"/>
                <w:sz w:val="24"/>
                <w:highlight w:val="none"/>
                <w:u w:val="single"/>
                <w:lang w:val="en-US" w:eastAsia="zh-CN"/>
              </w:rPr>
              <w:t>水体</w:t>
            </w:r>
            <w:r>
              <w:rPr>
                <w:rFonts w:hint="default"/>
                <w:color w:val="auto"/>
                <w:sz w:val="24"/>
                <w:highlight w:val="none"/>
                <w:u w:val="single"/>
              </w:rPr>
              <w:t>富营养化</w:t>
            </w:r>
            <w:r>
              <w:rPr>
                <w:rFonts w:hint="eastAsia"/>
                <w:color w:val="auto"/>
                <w:sz w:val="24"/>
                <w:highlight w:val="none"/>
                <w:u w:val="single"/>
                <w:lang w:eastAsia="zh-CN"/>
              </w:rPr>
              <w:t>，</w:t>
            </w:r>
            <w:r>
              <w:rPr>
                <w:rFonts w:hint="default"/>
                <w:color w:val="auto"/>
                <w:sz w:val="24"/>
                <w:highlight w:val="none"/>
                <w:u w:val="single"/>
              </w:rPr>
              <w:t>水质将会得到较大改善，因施工造成的水生生态系统的破坏将会得到恢复</w:t>
            </w:r>
            <w:r>
              <w:rPr>
                <w:rFonts w:hint="eastAsia"/>
                <w:color w:val="auto"/>
                <w:sz w:val="24"/>
                <w:highlight w:val="none"/>
                <w:u w:val="single"/>
                <w:lang w:val="en-US" w:eastAsia="zh-CN"/>
              </w:rPr>
              <w:t>甚至优化</w:t>
            </w:r>
            <w:r>
              <w:rPr>
                <w:rFonts w:hint="default"/>
                <w:color w:val="auto"/>
                <w:sz w:val="24"/>
                <w:highlight w:val="none"/>
                <w:u w:val="single"/>
              </w:rPr>
              <w:t>。</w:t>
            </w:r>
          </w:p>
          <w:p w14:paraId="22B2AB1B">
            <w:pPr>
              <w:keepNext w:val="0"/>
              <w:keepLines w:val="0"/>
              <w:suppressLineNumbers w:val="0"/>
              <w:spacing w:before="0" w:beforeAutospacing="0" w:after="0" w:afterAutospacing="0" w:line="360" w:lineRule="auto"/>
              <w:ind w:left="0" w:right="0" w:firstLine="482" w:firstLineChars="200"/>
              <w:rPr>
                <w:rFonts w:hint="default"/>
                <w:b/>
                <w:bCs/>
                <w:color w:val="auto"/>
                <w:sz w:val="24"/>
                <w:highlight w:val="none"/>
                <w:u w:val="single"/>
              </w:rPr>
            </w:pPr>
            <w:r>
              <w:rPr>
                <w:rFonts w:hint="default"/>
                <w:b/>
                <w:bCs/>
                <w:color w:val="auto"/>
                <w:sz w:val="24"/>
                <w:highlight w:val="none"/>
                <w:u w:val="single"/>
              </w:rPr>
              <w:t>5.2施工期对陆生动植物的影响分析</w:t>
            </w:r>
          </w:p>
          <w:p w14:paraId="2EA605C7">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default"/>
                <w:color w:val="auto"/>
                <w:sz w:val="24"/>
                <w:highlight w:val="none"/>
                <w:u w:val="single"/>
              </w:rPr>
              <w:t>对陆生植物的影响主要源于工程临时占地，施工占地将导致工程涉及区内杂草类面积直接减少，造成局部区域的植被破坏，生物量降低。在工程涉及区内暂未发现重点保护植物及古木大树分布。受工程影响的陆生植被均为一般常见种，这些植被在周边地区均有广泛分布，不存在因局部植被损失而导致该植物种群消失的可能性。另外，完工后也将对临时施工便道进行复垦或植被恢复，可使工程影响区内植被在较短的时间内得到较好的恢复。由于本工程各单元沿线周边现有野生动物以湿地和城市常见动物为主，主要为鸟类、鼠、昆虫、蛙、蛇类等。施工期间，工程开挖以及施工机械运行等将导致区域水环境、环境空气质量和声环境质量有所下降，对工程涉及区内的部分蛙类、蛇类、蜥蜴类和鼠类动物产生不利影响。由于这些陆生动物均为常见物种，适宜能力较强，在受到不利影响后，大多会主动向周边适宜生境中迁移，且工程规模较小，施工时段短。因此，工程施工对陆生动物的影响不大。</w:t>
            </w:r>
          </w:p>
          <w:p w14:paraId="0B5706DF">
            <w:pPr>
              <w:keepNext w:val="0"/>
              <w:keepLines w:val="0"/>
              <w:suppressLineNumbers w:val="0"/>
              <w:spacing w:before="0" w:beforeAutospacing="0" w:after="0" w:afterAutospacing="0" w:line="360" w:lineRule="auto"/>
              <w:ind w:left="0" w:right="0" w:firstLine="482" w:firstLineChars="200"/>
              <w:rPr>
                <w:rFonts w:hint="eastAsia" w:eastAsia="宋体"/>
                <w:b/>
                <w:bCs/>
                <w:color w:val="auto"/>
                <w:sz w:val="24"/>
                <w:highlight w:val="none"/>
                <w:u w:val="single"/>
                <w:lang w:val="en-US" w:eastAsia="zh-CN"/>
              </w:rPr>
            </w:pPr>
            <w:r>
              <w:rPr>
                <w:rFonts w:hint="default"/>
                <w:b/>
                <w:bCs/>
                <w:color w:val="auto"/>
                <w:sz w:val="24"/>
                <w:highlight w:val="none"/>
                <w:u w:val="single"/>
              </w:rPr>
              <w:t>5.3 施工期对水土</w:t>
            </w:r>
            <w:r>
              <w:rPr>
                <w:rFonts w:hint="eastAsia"/>
                <w:b/>
                <w:bCs/>
                <w:color w:val="auto"/>
                <w:sz w:val="24"/>
                <w:highlight w:val="none"/>
                <w:u w:val="single"/>
                <w:lang w:val="en-US" w:eastAsia="zh-CN"/>
              </w:rPr>
              <w:t>流失</w:t>
            </w:r>
            <w:r>
              <w:rPr>
                <w:rFonts w:hint="default"/>
                <w:b/>
                <w:bCs/>
                <w:color w:val="auto"/>
                <w:sz w:val="24"/>
                <w:highlight w:val="none"/>
                <w:u w:val="single"/>
              </w:rPr>
              <w:t>的影响</w:t>
            </w:r>
            <w:r>
              <w:rPr>
                <w:rFonts w:hint="eastAsia"/>
                <w:b/>
                <w:bCs/>
                <w:color w:val="auto"/>
                <w:sz w:val="24"/>
                <w:highlight w:val="none"/>
                <w:u w:val="single"/>
                <w:lang w:val="en-US" w:eastAsia="zh-CN"/>
              </w:rPr>
              <w:t>分析</w:t>
            </w:r>
          </w:p>
          <w:p w14:paraId="533E03D8">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default"/>
                <w:color w:val="auto"/>
                <w:sz w:val="24"/>
                <w:highlight w:val="none"/>
                <w:u w:val="single"/>
              </w:rPr>
              <w:t>本项目主要对</w:t>
            </w:r>
            <w:r>
              <w:rPr>
                <w:rFonts w:hint="eastAsia"/>
                <w:color w:val="auto"/>
                <w:sz w:val="24"/>
                <w:highlight w:val="none"/>
                <w:u w:val="single"/>
                <w:lang w:val="en-US" w:eastAsia="zh-CN"/>
              </w:rPr>
              <w:t>雨水行泄通道</w:t>
            </w:r>
            <w:r>
              <w:rPr>
                <w:rFonts w:hint="default"/>
                <w:color w:val="auto"/>
                <w:sz w:val="24"/>
                <w:highlight w:val="none"/>
                <w:u w:val="single"/>
              </w:rPr>
              <w:t>进行清障疏浚</w:t>
            </w:r>
            <w:r>
              <w:rPr>
                <w:rFonts w:hint="eastAsia"/>
                <w:color w:val="auto"/>
                <w:sz w:val="24"/>
                <w:highlight w:val="none"/>
                <w:u w:val="single"/>
                <w:lang w:val="en-US" w:eastAsia="zh-CN"/>
              </w:rPr>
              <w:t>以及对内涝点</w:t>
            </w:r>
            <w:r>
              <w:rPr>
                <w:rFonts w:hint="default"/>
                <w:color w:val="auto"/>
                <w:sz w:val="24"/>
                <w:highlight w:val="none"/>
                <w:u w:val="single"/>
              </w:rPr>
              <w:t>管道工程的开挖。项目建设过程中河道清淤等施工工作必然扰动区域内的原地表，损坏原地表底泥、土壤、植被，并形成松散堆积体，易造成新的水土流失。工程在施工过程中尽量减少占地范围，从而减少新增水土流失的可能性。项目建设所需借方来源为其他项目调配，砂石材料计划全部外购，以随填随运的方式，直接运抵填筑场地，余方计划以随挖随运的方式，直接清运至合法的堆放场地，暂未清运或填筑的土方，临时堆放在开挖与填筑区域一侧。</w:t>
            </w:r>
          </w:p>
          <w:p w14:paraId="4546605D">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default"/>
                <w:color w:val="auto"/>
                <w:sz w:val="24"/>
                <w:highlight w:val="none"/>
                <w:u w:val="single"/>
              </w:rPr>
              <w:t>本项目所带来的效益是显著的，但可能造成的水土流失危害也是不容忽视的。根据本项目所在地区的地形、地质、土壤、植被以及施工特点，造成的水土流失危害主要表现在以下几个方面：</w:t>
            </w:r>
          </w:p>
          <w:p w14:paraId="020178B3">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eastAsia"/>
                <w:color w:val="auto"/>
                <w:sz w:val="24"/>
                <w:highlight w:val="none"/>
                <w:u w:val="single"/>
                <w:lang w:val="en-US" w:eastAsia="zh-CN"/>
              </w:rPr>
              <w:t>1）</w:t>
            </w:r>
            <w:r>
              <w:rPr>
                <w:rFonts w:hint="default"/>
                <w:color w:val="auto"/>
                <w:sz w:val="24"/>
                <w:highlight w:val="none"/>
                <w:u w:val="single"/>
              </w:rPr>
              <w:t>污染水体</w:t>
            </w:r>
          </w:p>
          <w:p w14:paraId="52733E43">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default"/>
                <w:color w:val="auto"/>
                <w:sz w:val="24"/>
                <w:highlight w:val="none"/>
                <w:u w:val="single"/>
              </w:rPr>
              <w:t>项目施工过程中将进行大量淤积物开挖和搬运以及施工营地的地表清理，开挖的淤积物和地表清理出的土方等若不及时处理，随意堆置，暴雨时会被冲入施工区周围的水体、河流，造成水体污染。</w:t>
            </w:r>
          </w:p>
          <w:p w14:paraId="2A85503F">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default"/>
                <w:color w:val="auto"/>
                <w:sz w:val="24"/>
                <w:highlight w:val="none"/>
                <w:u w:val="single"/>
              </w:rPr>
              <w:t>2</w:t>
            </w:r>
            <w:r>
              <w:rPr>
                <w:rFonts w:hint="eastAsia"/>
                <w:color w:val="auto"/>
                <w:sz w:val="24"/>
                <w:highlight w:val="none"/>
                <w:u w:val="single"/>
                <w:lang w:eastAsia="zh-CN"/>
              </w:rPr>
              <w:t>）</w:t>
            </w:r>
            <w:r>
              <w:rPr>
                <w:rFonts w:hint="default"/>
                <w:color w:val="auto"/>
                <w:sz w:val="24"/>
                <w:highlight w:val="none"/>
                <w:u w:val="single"/>
              </w:rPr>
              <w:t>诱发多种形式的水力侵蚀</w:t>
            </w:r>
          </w:p>
          <w:p w14:paraId="13BF5FE6">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default"/>
                <w:color w:val="auto"/>
                <w:sz w:val="24"/>
                <w:highlight w:val="none"/>
                <w:u w:val="single"/>
              </w:rPr>
              <w:t>项目施工期间是水土流失最严重的时期。本工程涉及到河道清淤疏浚</w:t>
            </w:r>
            <w:r>
              <w:rPr>
                <w:rFonts w:hint="eastAsia"/>
                <w:color w:val="auto"/>
                <w:sz w:val="24"/>
                <w:highlight w:val="none"/>
                <w:u w:val="single"/>
                <w:lang w:val="en-US" w:eastAsia="zh-CN"/>
              </w:rPr>
              <w:t>等</w:t>
            </w:r>
            <w:r>
              <w:rPr>
                <w:rFonts w:hint="default"/>
                <w:color w:val="auto"/>
                <w:sz w:val="24"/>
                <w:highlight w:val="none"/>
                <w:u w:val="single"/>
              </w:rPr>
              <w:t>，建设过程中，如不做好施工期间的临时防护和相应的管理措施，在施工区域内将产生雨滴击溅侵蚀、面蚀等多种形式的水土流失；如不及时清理，会加剧水土流失的进一步发展。</w:t>
            </w:r>
          </w:p>
          <w:p w14:paraId="0EB7B53E">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default"/>
                <w:color w:val="auto"/>
                <w:sz w:val="24"/>
                <w:highlight w:val="none"/>
                <w:u w:val="single"/>
              </w:rPr>
              <w:t>3</w:t>
            </w:r>
            <w:r>
              <w:rPr>
                <w:rFonts w:hint="eastAsia"/>
                <w:color w:val="auto"/>
                <w:sz w:val="24"/>
                <w:highlight w:val="none"/>
                <w:u w:val="single"/>
                <w:lang w:eastAsia="zh-CN"/>
              </w:rPr>
              <w:t>）</w:t>
            </w:r>
            <w:r>
              <w:rPr>
                <w:rFonts w:hint="default"/>
                <w:color w:val="auto"/>
                <w:sz w:val="24"/>
                <w:highlight w:val="none"/>
                <w:u w:val="single"/>
              </w:rPr>
              <w:t>降低底泥、土壤肥力，影响周边景观工程</w:t>
            </w:r>
          </w:p>
          <w:p w14:paraId="0176766F">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default"/>
                <w:color w:val="auto"/>
                <w:sz w:val="24"/>
                <w:highlight w:val="none"/>
                <w:u w:val="single"/>
              </w:rPr>
              <w:t>项目建设导致河道底泥环境以及施工营地地表植被遭到破坏，可能使上游河道底泥受到雨水等冲刷至下游或施工营地表层土壤流失，影响河道植被的生长和土地资源的再生利用。另外，本工程弃土以及运输车辆遗撒，如不及时清理不仅容易产生水土流失，而且还将影响周边景观环境；随意堆放的临时弃土会也破坏周边景观。</w:t>
            </w:r>
          </w:p>
          <w:p w14:paraId="5E631812">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default"/>
                <w:color w:val="auto"/>
                <w:sz w:val="24"/>
                <w:highlight w:val="none"/>
                <w:u w:val="single"/>
              </w:rPr>
              <w:t>由于本工程会造成以上这些水土流失危害，所以必须采取相应的水土保护措施。本环评建议施工应注意如下几点：施工过程中的临时占地和破坏的原有植物、绿化带，除在施工中应采取防护措施外，竣工后应及时采取复垦绿化措施，并做好相应的水土保持防护措施。</w:t>
            </w:r>
          </w:p>
          <w:p w14:paraId="60F61B60">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u w:val="single"/>
                <w:lang w:val="en-US" w:eastAsia="zh-CN"/>
              </w:rPr>
            </w:pPr>
            <w:r>
              <w:rPr>
                <w:rFonts w:hint="eastAsia"/>
                <w:color w:val="auto"/>
                <w:sz w:val="24"/>
                <w:highlight w:val="none"/>
                <w:u w:val="single"/>
                <w:lang w:val="en-US" w:eastAsia="zh-CN"/>
              </w:rPr>
              <w:t>根据《临湘市城区雨水调蓄及行泄通道工程项目水土保持方案报告书》内容</w:t>
            </w:r>
            <w:r>
              <w:rPr>
                <w:rFonts w:hint="default"/>
                <w:color w:val="auto"/>
                <w:sz w:val="24"/>
                <w:highlight w:val="none"/>
                <w:u w:val="single"/>
              </w:rPr>
              <w:t>水土保持措施工程量</w:t>
            </w:r>
            <w:r>
              <w:rPr>
                <w:rFonts w:hint="eastAsia"/>
                <w:color w:val="auto"/>
                <w:sz w:val="24"/>
                <w:highlight w:val="none"/>
                <w:u w:val="single"/>
                <w:lang w:val="en-US" w:eastAsia="zh-CN"/>
              </w:rPr>
              <w:t>如下：</w:t>
            </w:r>
          </w:p>
          <w:p w14:paraId="79072590">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u w:val="single"/>
                <w:lang w:val="en-US" w:eastAsia="zh-CN"/>
              </w:rPr>
            </w:pPr>
            <w:r>
              <w:rPr>
                <w:rFonts w:hint="default"/>
                <w:color w:val="auto"/>
                <w:sz w:val="24"/>
                <w:highlight w:val="none"/>
                <w:u w:val="single"/>
                <w:lang w:eastAsia="zh-CN"/>
              </w:rPr>
              <w:t>①</w:t>
            </w:r>
            <w:r>
              <w:rPr>
                <w:rFonts w:hint="eastAsia"/>
                <w:color w:val="auto"/>
                <w:sz w:val="24"/>
                <w:highlight w:val="none"/>
                <w:u w:val="single"/>
                <w:lang w:val="en-US" w:eastAsia="zh-CN"/>
              </w:rPr>
              <w:t>临时排水措施</w:t>
            </w:r>
          </w:p>
          <w:p w14:paraId="092A27F4">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u w:val="single"/>
                <w:lang w:val="en-US" w:eastAsia="zh-CN"/>
              </w:rPr>
            </w:pPr>
            <w:r>
              <w:rPr>
                <w:rFonts w:hint="eastAsia"/>
                <w:color w:val="auto"/>
                <w:sz w:val="24"/>
                <w:highlight w:val="none"/>
                <w:u w:val="single"/>
                <w:lang w:val="en-US" w:eastAsia="zh-CN"/>
              </w:rPr>
              <w:t>建设单位已于项目区围墙内四周布设了临时排水沟，于施工临建区内布设了部分临时排水沟，排导该区域内的汇流。临时排水措施有利于迅速疏导基坑周边地表的汇流，避免汇流夹带泥沙漫溢，便于机械设备与人员施工，属于水土保持工程，纳入水土流失防治措施体系。</w:t>
            </w:r>
          </w:p>
          <w:p w14:paraId="2E18595E">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u w:val="single"/>
                <w:lang w:val="en-US" w:eastAsia="zh-CN"/>
              </w:rPr>
            </w:pPr>
            <w:r>
              <w:rPr>
                <w:rFonts w:hint="default"/>
                <w:color w:val="auto"/>
                <w:sz w:val="24"/>
                <w:highlight w:val="none"/>
                <w:u w:val="single"/>
                <w:lang w:eastAsia="zh-CN"/>
              </w:rPr>
              <w:t>②</w:t>
            </w:r>
            <w:r>
              <w:rPr>
                <w:rFonts w:hint="eastAsia"/>
                <w:color w:val="auto"/>
                <w:sz w:val="24"/>
                <w:highlight w:val="none"/>
                <w:u w:val="single"/>
                <w:lang w:val="en-US" w:eastAsia="zh-CN"/>
              </w:rPr>
              <w:t>临时沉砂工程</w:t>
            </w:r>
          </w:p>
          <w:p w14:paraId="0CC5409B">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u w:val="single"/>
                <w:lang w:val="en-US" w:eastAsia="zh-CN"/>
              </w:rPr>
            </w:pPr>
            <w:r>
              <w:rPr>
                <w:rFonts w:hint="eastAsia"/>
                <w:color w:val="auto"/>
                <w:sz w:val="24"/>
                <w:highlight w:val="none"/>
                <w:u w:val="single"/>
                <w:lang w:val="en-US" w:eastAsia="zh-CN"/>
              </w:rPr>
              <w:t>建设单位已于排水出口处布设了临时沉砂池过滤泥沙。沉砂池可有效过滤汇流中的泥沙，避免汇流夹带泥沙直接排入周边市政管网，属于水土保持工程，纳入水土流失防治措施体系。</w:t>
            </w:r>
          </w:p>
          <w:p w14:paraId="7C91AA92">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u w:val="single"/>
                <w:lang w:val="en-US" w:eastAsia="zh-CN"/>
              </w:rPr>
            </w:pPr>
            <w:r>
              <w:rPr>
                <w:rFonts w:hint="default"/>
                <w:color w:val="auto"/>
                <w:sz w:val="24"/>
                <w:highlight w:val="none"/>
                <w:u w:val="single"/>
                <w:lang w:eastAsia="zh-CN"/>
              </w:rPr>
              <w:t>③</w:t>
            </w:r>
            <w:r>
              <w:rPr>
                <w:rFonts w:hint="eastAsia"/>
                <w:color w:val="auto"/>
                <w:sz w:val="24"/>
                <w:highlight w:val="none"/>
                <w:u w:val="single"/>
                <w:lang w:val="en-US" w:eastAsia="zh-CN"/>
              </w:rPr>
              <w:t>临时覆盖措施</w:t>
            </w:r>
          </w:p>
          <w:p w14:paraId="5BB3D6D1">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u w:val="single"/>
                <w:lang w:val="en-US" w:eastAsia="zh-CN"/>
              </w:rPr>
            </w:pPr>
            <w:r>
              <w:rPr>
                <w:rFonts w:hint="eastAsia"/>
                <w:color w:val="auto"/>
                <w:sz w:val="24"/>
                <w:highlight w:val="none"/>
                <w:u w:val="single"/>
                <w:lang w:val="en-US" w:eastAsia="zh-CN"/>
              </w:rPr>
              <w:t>建设单位已于部分裸露区域布设了防尘网，防尘网能有效防止雨水对裸露区域、堆土表面的冲刷，具有水土保持功能，属于水土保持工程，纳入水土流失防治措施体系。</w:t>
            </w:r>
          </w:p>
          <w:p w14:paraId="1B289F09">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u w:val="single"/>
                <w:lang w:val="en-US" w:eastAsia="zh-CN"/>
              </w:rPr>
            </w:pPr>
            <w:r>
              <w:rPr>
                <w:rFonts w:hint="default"/>
                <w:color w:val="auto"/>
                <w:sz w:val="24"/>
                <w:highlight w:val="none"/>
                <w:u w:val="single"/>
                <w:lang w:eastAsia="zh-CN"/>
              </w:rPr>
              <w:t>④</w:t>
            </w:r>
            <w:r>
              <w:rPr>
                <w:rFonts w:hint="eastAsia"/>
                <w:color w:val="auto"/>
                <w:sz w:val="24"/>
                <w:highlight w:val="none"/>
                <w:u w:val="single"/>
                <w:lang w:val="en-US" w:eastAsia="zh-CN"/>
              </w:rPr>
              <w:t>绿化措施</w:t>
            </w:r>
          </w:p>
          <w:p w14:paraId="6F5362E3">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u w:val="single"/>
                <w:lang w:val="en-US" w:eastAsia="zh-CN"/>
              </w:rPr>
            </w:pPr>
            <w:r>
              <w:rPr>
                <w:rFonts w:hint="eastAsia"/>
                <w:color w:val="auto"/>
                <w:sz w:val="24"/>
                <w:highlight w:val="none"/>
                <w:u w:val="single"/>
                <w:lang w:val="en-US" w:eastAsia="zh-CN"/>
              </w:rPr>
              <w:t>主体设计对项目区内、建筑四周等区域布设景观绿化，建筑顶部布设屋顶绿化，绿化措施有效拦截雨水，并加以充分利用，防止雨滴击溅。同时，也增加了地表入渗，有利于项目区的水土保持。本项目的绿化措施具有水土保持功能，属于水土保持工程，纳入水土流失防治措施体系。</w:t>
            </w:r>
          </w:p>
          <w:p w14:paraId="2ABA2FE6">
            <w:pPr>
              <w:keepNext w:val="0"/>
              <w:keepLines w:val="0"/>
              <w:suppressLineNumbers w:val="0"/>
              <w:spacing w:before="0" w:beforeAutospacing="0" w:after="0" w:afterAutospacing="0" w:line="360" w:lineRule="auto"/>
              <w:ind w:left="0" w:right="0" w:firstLine="480" w:firstLineChars="200"/>
              <w:rPr>
                <w:rFonts w:hint="eastAsia" w:eastAsia="宋体"/>
                <w:color w:val="auto"/>
                <w:sz w:val="24"/>
                <w:highlight w:val="none"/>
                <w:u w:val="single"/>
                <w:lang w:val="en-US" w:eastAsia="zh-CN"/>
              </w:rPr>
            </w:pPr>
            <w:r>
              <w:rPr>
                <w:rFonts w:hint="default"/>
                <w:color w:val="auto"/>
                <w:sz w:val="24"/>
                <w:highlight w:val="none"/>
                <w:u w:val="single"/>
              </w:rPr>
              <w:t>工程措施</w:t>
            </w:r>
            <w:r>
              <w:rPr>
                <w:rFonts w:hint="eastAsia"/>
                <w:color w:val="auto"/>
                <w:sz w:val="24"/>
                <w:highlight w:val="none"/>
                <w:u w:val="single"/>
                <w:lang w:eastAsia="zh-CN"/>
              </w:rPr>
              <w:t>：</w:t>
            </w:r>
            <w:r>
              <w:rPr>
                <w:rFonts w:hint="default"/>
                <w:color w:val="auto"/>
                <w:sz w:val="24"/>
                <w:highlight w:val="none"/>
                <w:u w:val="single"/>
              </w:rPr>
              <w:t>土地整治103170m</w:t>
            </w:r>
            <w:r>
              <w:rPr>
                <w:rFonts w:hint="eastAsia"/>
                <w:color w:val="auto"/>
                <w:sz w:val="24"/>
                <w:highlight w:val="none"/>
                <w:u w:val="single"/>
                <w:vertAlign w:val="superscript"/>
                <w:lang w:val="en-US" w:eastAsia="zh-CN"/>
              </w:rPr>
              <w:t>2</w:t>
            </w:r>
            <w:r>
              <w:rPr>
                <w:rFonts w:hint="default"/>
                <w:color w:val="auto"/>
                <w:sz w:val="24"/>
                <w:highlight w:val="none"/>
                <w:u w:val="single"/>
              </w:rPr>
              <w:t>，表土剥离及回填27047.7m</w:t>
            </w:r>
            <w:r>
              <w:rPr>
                <w:rFonts w:hint="eastAsia"/>
                <w:color w:val="auto"/>
                <w:sz w:val="24"/>
                <w:highlight w:val="none"/>
                <w:u w:val="single"/>
                <w:vertAlign w:val="superscript"/>
                <w:lang w:val="en-US" w:eastAsia="zh-CN"/>
              </w:rPr>
              <w:t>3</w:t>
            </w:r>
          </w:p>
          <w:p w14:paraId="2B2CF0B2">
            <w:pPr>
              <w:keepNext w:val="0"/>
              <w:keepLines w:val="0"/>
              <w:suppressLineNumbers w:val="0"/>
              <w:spacing w:before="0" w:beforeAutospacing="0" w:after="0" w:afterAutospacing="0" w:line="360" w:lineRule="auto"/>
              <w:ind w:left="0" w:right="0" w:firstLine="480" w:firstLineChars="200"/>
              <w:rPr>
                <w:rFonts w:hint="default"/>
              </w:rPr>
            </w:pPr>
            <w:r>
              <w:rPr>
                <w:rFonts w:hint="default"/>
                <w:color w:val="auto"/>
                <w:sz w:val="24"/>
                <w:highlight w:val="none"/>
                <w:u w:val="single"/>
              </w:rPr>
              <w:t>植物措施</w:t>
            </w:r>
            <w:r>
              <w:rPr>
                <w:rFonts w:hint="eastAsia"/>
                <w:color w:val="auto"/>
                <w:sz w:val="24"/>
                <w:highlight w:val="none"/>
                <w:u w:val="single"/>
                <w:lang w:eastAsia="zh-CN"/>
              </w:rPr>
              <w:t>：</w:t>
            </w:r>
            <w:r>
              <w:rPr>
                <w:rFonts w:hint="default"/>
                <w:color w:val="auto"/>
                <w:sz w:val="24"/>
                <w:highlight w:val="none"/>
                <w:u w:val="single"/>
              </w:rPr>
              <w:t>植草砖护坡6353</w:t>
            </w:r>
            <w:r>
              <w:rPr>
                <w:rFonts w:hint="eastAsia"/>
                <w:color w:val="auto"/>
                <w:sz w:val="24"/>
                <w:highlight w:val="none"/>
                <w:u w:val="single"/>
                <w:lang w:val="en-US" w:eastAsia="zh-CN"/>
              </w:rPr>
              <w:t>m</w:t>
            </w:r>
            <w:r>
              <w:rPr>
                <w:rFonts w:hint="eastAsia"/>
                <w:color w:val="auto"/>
                <w:sz w:val="24"/>
                <w:highlight w:val="none"/>
                <w:u w:val="single"/>
                <w:vertAlign w:val="superscript"/>
                <w:lang w:val="en-US" w:eastAsia="zh-CN"/>
              </w:rPr>
              <w:t>2</w:t>
            </w:r>
            <w:r>
              <w:rPr>
                <w:rFonts w:hint="default"/>
                <w:color w:val="auto"/>
                <w:sz w:val="24"/>
                <w:highlight w:val="none"/>
                <w:u w:val="single"/>
              </w:rPr>
              <w:t>，撒播草籽8559m</w:t>
            </w:r>
            <w:r>
              <w:rPr>
                <w:rFonts w:hint="eastAsia"/>
                <w:color w:val="auto"/>
                <w:sz w:val="24"/>
                <w:highlight w:val="none"/>
                <w:u w:val="single"/>
                <w:vertAlign w:val="superscript"/>
                <w:lang w:val="en-US" w:eastAsia="zh-CN"/>
              </w:rPr>
              <w:t>2</w:t>
            </w:r>
            <w:r>
              <w:rPr>
                <w:rFonts w:hint="default"/>
                <w:color w:val="auto"/>
                <w:sz w:val="24"/>
                <w:highlight w:val="none"/>
                <w:u w:val="single"/>
              </w:rPr>
              <w:t>，综合绿化恢复61200m</w:t>
            </w:r>
            <w:r>
              <w:rPr>
                <w:rFonts w:hint="eastAsia"/>
                <w:color w:val="auto"/>
                <w:sz w:val="24"/>
                <w:highlight w:val="none"/>
                <w:u w:val="single"/>
                <w:vertAlign w:val="superscript"/>
                <w:lang w:val="en-US" w:eastAsia="zh-CN"/>
              </w:rPr>
              <w:t>2</w:t>
            </w:r>
            <w:r>
              <w:rPr>
                <w:rFonts w:hint="default"/>
                <w:color w:val="auto"/>
                <w:sz w:val="24"/>
                <w:highlight w:val="none"/>
                <w:u w:val="single"/>
              </w:rPr>
              <w:t>。临时措施</w:t>
            </w:r>
            <w:r>
              <w:rPr>
                <w:rFonts w:hint="eastAsia"/>
                <w:color w:val="auto"/>
                <w:sz w:val="24"/>
                <w:highlight w:val="none"/>
                <w:u w:val="single"/>
                <w:lang w:eastAsia="zh-CN"/>
              </w:rPr>
              <w:t>：</w:t>
            </w:r>
            <w:r>
              <w:rPr>
                <w:rFonts w:hint="default"/>
                <w:color w:val="auto"/>
                <w:sz w:val="24"/>
                <w:highlight w:val="none"/>
                <w:u w:val="single"/>
              </w:rPr>
              <w:t>临时排水沟9173m、临时沉沙池24个、密目网覆盖18649</w:t>
            </w:r>
            <w:r>
              <w:rPr>
                <w:rFonts w:hint="eastAsia"/>
                <w:color w:val="auto"/>
                <w:sz w:val="24"/>
                <w:highlight w:val="none"/>
                <w:u w:val="single"/>
                <w:lang w:val="en-US" w:eastAsia="zh-CN"/>
              </w:rPr>
              <w:t>m</w:t>
            </w:r>
            <w:r>
              <w:rPr>
                <w:rFonts w:hint="eastAsia"/>
                <w:color w:val="auto"/>
                <w:sz w:val="24"/>
                <w:highlight w:val="none"/>
                <w:u w:val="single"/>
                <w:vertAlign w:val="superscript"/>
                <w:lang w:val="en-US" w:eastAsia="zh-CN"/>
              </w:rPr>
              <w:t>2</w:t>
            </w:r>
            <w:r>
              <w:rPr>
                <w:rFonts w:hint="default"/>
                <w:color w:val="auto"/>
                <w:sz w:val="24"/>
                <w:highlight w:val="none"/>
                <w:u w:val="single"/>
              </w:rPr>
              <w:t>。</w:t>
            </w:r>
          </w:p>
          <w:p w14:paraId="5681BD93">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u w:val="single"/>
              </w:rPr>
            </w:pPr>
            <w:r>
              <w:rPr>
                <w:rFonts w:hint="default"/>
                <w:color w:val="auto"/>
                <w:sz w:val="24"/>
                <w:highlight w:val="none"/>
                <w:u w:val="single"/>
              </w:rPr>
              <w:t>该方案将结合主体工程设计的水土保持措施，因地制宜的新增临时排水、沉砂池、临时拦挡与覆盖等水土流失防治措施，综合防治项目建设形成的水土流失。</w:t>
            </w:r>
          </w:p>
          <w:p w14:paraId="7DDE87E0">
            <w:pPr>
              <w:keepNext w:val="0"/>
              <w:keepLines w:val="0"/>
              <w:suppressLineNumbers w:val="0"/>
              <w:spacing w:before="0" w:beforeAutospacing="0" w:after="0" w:afterAutospacing="0" w:line="360" w:lineRule="auto"/>
              <w:ind w:left="0" w:right="0" w:firstLine="482" w:firstLineChars="200"/>
              <w:rPr>
                <w:rFonts w:hint="eastAsia" w:eastAsia="宋体"/>
                <w:b/>
                <w:bCs/>
                <w:color w:val="auto"/>
                <w:sz w:val="24"/>
                <w:highlight w:val="none"/>
                <w:u w:val="none"/>
                <w:lang w:val="en-US" w:eastAsia="zh-CN"/>
              </w:rPr>
            </w:pPr>
            <w:r>
              <w:rPr>
                <w:rFonts w:hint="default"/>
                <w:b/>
                <w:bCs/>
                <w:color w:val="auto"/>
                <w:sz w:val="24"/>
                <w:highlight w:val="none"/>
                <w:u w:val="none"/>
              </w:rPr>
              <w:t>5.</w:t>
            </w:r>
            <w:r>
              <w:rPr>
                <w:rFonts w:hint="eastAsia"/>
                <w:b/>
                <w:bCs/>
                <w:color w:val="auto"/>
                <w:sz w:val="24"/>
                <w:highlight w:val="none"/>
                <w:u w:val="none"/>
                <w:lang w:val="en-US" w:eastAsia="zh-CN"/>
              </w:rPr>
              <w:t>4</w:t>
            </w:r>
            <w:r>
              <w:rPr>
                <w:rFonts w:hint="default"/>
                <w:b/>
                <w:bCs/>
                <w:color w:val="auto"/>
                <w:sz w:val="24"/>
                <w:highlight w:val="none"/>
                <w:u w:val="none"/>
              </w:rPr>
              <w:t xml:space="preserve"> 施工期对</w:t>
            </w:r>
            <w:r>
              <w:rPr>
                <w:rFonts w:hint="eastAsia"/>
                <w:b/>
                <w:bCs/>
                <w:color w:val="auto"/>
                <w:sz w:val="24"/>
                <w:highlight w:val="none"/>
                <w:u w:val="none"/>
                <w:lang w:val="en-US" w:eastAsia="zh-CN"/>
              </w:rPr>
              <w:t>土地利用</w:t>
            </w:r>
            <w:r>
              <w:rPr>
                <w:rFonts w:hint="default"/>
                <w:b/>
                <w:bCs/>
                <w:color w:val="auto"/>
                <w:sz w:val="24"/>
                <w:highlight w:val="none"/>
                <w:u w:val="none"/>
              </w:rPr>
              <w:t>的影响</w:t>
            </w:r>
            <w:r>
              <w:rPr>
                <w:rFonts w:hint="eastAsia"/>
                <w:b/>
                <w:bCs/>
                <w:color w:val="auto"/>
                <w:sz w:val="24"/>
                <w:highlight w:val="none"/>
                <w:u w:val="none"/>
                <w:lang w:val="en-US" w:eastAsia="zh-CN"/>
              </w:rPr>
              <w:t>分析</w:t>
            </w:r>
          </w:p>
          <w:p w14:paraId="314D2AC2">
            <w:pPr>
              <w:keepNext w:val="0"/>
              <w:keepLines w:val="0"/>
              <w:suppressLineNumbers w:val="0"/>
              <w:spacing w:before="0" w:beforeAutospacing="0" w:after="0" w:afterAutospacing="0" w:line="360" w:lineRule="auto"/>
              <w:ind w:left="0" w:right="0" w:firstLine="480" w:firstLineChars="200"/>
              <w:rPr>
                <w:rFonts w:hint="eastAsia" w:eastAsia="宋体"/>
                <w:b/>
                <w:bCs/>
                <w:color w:val="auto"/>
                <w:kern w:val="0"/>
                <w:sz w:val="24"/>
                <w:highlight w:val="none"/>
                <w:u w:val="none"/>
                <w:lang w:val="zh-CN" w:eastAsia="zh-CN"/>
              </w:rPr>
            </w:pPr>
            <w:r>
              <w:rPr>
                <w:rFonts w:hint="default"/>
                <w:color w:val="auto"/>
                <w:sz w:val="24"/>
                <w:highlight w:val="none"/>
                <w:u w:val="none"/>
              </w:rPr>
              <w:t>本项目土地利用总规模较小且不存在拆迁</w:t>
            </w:r>
            <w:r>
              <w:rPr>
                <w:rFonts w:hint="eastAsia"/>
                <w:color w:val="auto"/>
                <w:sz w:val="24"/>
                <w:highlight w:val="none"/>
                <w:u w:val="none"/>
                <w:lang w:eastAsia="zh-CN"/>
              </w:rPr>
              <w:t>。</w:t>
            </w:r>
          </w:p>
          <w:p w14:paraId="5B3313EF">
            <w:pPr>
              <w:keepNext w:val="0"/>
              <w:keepLines w:val="0"/>
              <w:suppressLineNumbers w:val="0"/>
              <w:spacing w:before="0" w:beforeAutospacing="0" w:after="0" w:afterAutospacing="0" w:line="360" w:lineRule="auto"/>
              <w:ind w:left="0" w:right="0" w:firstLine="480" w:firstLineChars="200"/>
              <w:rPr>
                <w:rFonts w:hint="default"/>
                <w:b/>
                <w:bCs/>
                <w:color w:val="auto"/>
                <w:kern w:val="0"/>
                <w:sz w:val="24"/>
                <w:highlight w:val="yellow"/>
                <w:u w:val="none"/>
                <w:lang w:val="zh-CN"/>
              </w:rPr>
            </w:pPr>
            <w:r>
              <w:rPr>
                <w:rFonts w:hint="default"/>
                <w:b w:val="0"/>
                <w:bCs w:val="0"/>
                <w:color w:val="auto"/>
                <w:kern w:val="0"/>
                <w:sz w:val="24"/>
                <w:highlight w:val="none"/>
                <w:u w:val="none"/>
                <w:lang w:val="zh-CN"/>
              </w:rPr>
              <w:t>根据现场踏勘，本项目施工以及物料运输可依托现有</w:t>
            </w:r>
            <w:r>
              <w:rPr>
                <w:rFonts w:hint="eastAsia"/>
                <w:b w:val="0"/>
                <w:bCs w:val="0"/>
                <w:color w:val="auto"/>
                <w:kern w:val="0"/>
                <w:sz w:val="24"/>
                <w:highlight w:val="none"/>
                <w:u w:val="none"/>
                <w:lang w:val="en-US" w:eastAsia="zh-CN"/>
              </w:rPr>
              <w:t>道路</w:t>
            </w:r>
            <w:r>
              <w:rPr>
                <w:rFonts w:hint="default"/>
                <w:b w:val="0"/>
                <w:bCs w:val="0"/>
                <w:color w:val="auto"/>
                <w:kern w:val="0"/>
                <w:sz w:val="24"/>
                <w:highlight w:val="none"/>
                <w:u w:val="none"/>
                <w:lang w:val="zh-CN"/>
              </w:rPr>
              <w:t>，无需建设临时施工道路。因此，本项目临时占地主要为</w:t>
            </w:r>
            <w:r>
              <w:rPr>
                <w:rFonts w:hint="eastAsia"/>
                <w:b w:val="0"/>
                <w:bCs w:val="0"/>
                <w:color w:val="auto"/>
                <w:kern w:val="0"/>
                <w:sz w:val="24"/>
                <w:highlight w:val="none"/>
                <w:u w:val="none"/>
                <w:lang w:val="en-US" w:eastAsia="zh-CN"/>
              </w:rPr>
              <w:t>临时脱水场</w:t>
            </w:r>
            <w:r>
              <w:rPr>
                <w:rFonts w:hint="default"/>
                <w:b w:val="0"/>
                <w:bCs w:val="0"/>
                <w:color w:val="auto"/>
                <w:kern w:val="0"/>
                <w:sz w:val="24"/>
                <w:highlight w:val="none"/>
                <w:u w:val="none"/>
                <w:lang w:val="zh-CN"/>
              </w:rPr>
              <w:t>。临时占地的影响主要是施工期对地表植被的破坏及使用过程中地面硬化而使植被恢复困难。本项目通过采取在施工前剥离表土并妥善保存表层土，加强施工期的管理，严禁随意扩大占压面积；在施工结束后及时清理场地，并进行表土覆盖，播撒绿植种子等复绿工作，使临时占地内的植被逐渐恢复。项目施工过程中对临时占地的影响是短暂的，经采取绿化恢复措施后，临时占地区的绿化将逐渐恢复</w:t>
            </w:r>
            <w:r>
              <w:rPr>
                <w:rFonts w:hint="default"/>
                <w:b/>
                <w:bCs/>
                <w:color w:val="auto"/>
                <w:kern w:val="0"/>
                <w:sz w:val="24"/>
                <w:highlight w:val="none"/>
                <w:u w:val="none"/>
                <w:lang w:val="zh-CN"/>
              </w:rPr>
              <w:t>。</w:t>
            </w:r>
          </w:p>
          <w:p w14:paraId="562CFAA7">
            <w:pPr>
              <w:keepNext w:val="0"/>
              <w:keepLines w:val="0"/>
              <w:suppressLineNumbers w:val="0"/>
              <w:spacing w:before="0" w:beforeAutospacing="0" w:after="0" w:afterAutospacing="0" w:line="360" w:lineRule="auto"/>
              <w:ind w:left="0" w:right="0" w:firstLine="482" w:firstLineChars="200"/>
              <w:rPr>
                <w:rFonts w:hint="default"/>
                <w:b/>
                <w:bCs/>
                <w:color w:val="auto"/>
                <w:kern w:val="0"/>
                <w:sz w:val="24"/>
                <w:u w:val="none"/>
                <w:lang w:val="zh-CN"/>
              </w:rPr>
            </w:pPr>
            <w:r>
              <w:rPr>
                <w:rFonts w:hint="eastAsia"/>
                <w:b/>
                <w:bCs/>
                <w:color w:val="auto"/>
                <w:kern w:val="0"/>
                <w:sz w:val="24"/>
                <w:u w:val="none"/>
                <w:lang w:val="en-US" w:eastAsia="zh-CN"/>
              </w:rPr>
              <w:t xml:space="preserve">5.5 </w:t>
            </w:r>
            <w:r>
              <w:rPr>
                <w:rFonts w:hint="default"/>
                <w:b/>
                <w:bCs/>
                <w:color w:val="auto"/>
                <w:kern w:val="0"/>
                <w:sz w:val="24"/>
                <w:u w:val="none"/>
                <w:lang w:val="zh-CN"/>
              </w:rPr>
              <w:t>施工期运输路线环境影响分析</w:t>
            </w:r>
          </w:p>
          <w:p w14:paraId="6D7FC93D">
            <w:pPr>
              <w:keepNext w:val="0"/>
              <w:keepLines w:val="0"/>
              <w:suppressLineNumbers w:val="0"/>
              <w:spacing w:before="0" w:beforeAutospacing="0" w:after="0" w:afterAutospacing="0" w:line="360" w:lineRule="auto"/>
              <w:ind w:left="0" w:right="0" w:firstLine="480" w:firstLineChars="200"/>
              <w:rPr>
                <w:rFonts w:hint="default"/>
                <w:color w:val="auto"/>
                <w:kern w:val="0"/>
                <w:sz w:val="24"/>
                <w:u w:val="single"/>
                <w:lang w:val="zh-CN"/>
              </w:rPr>
            </w:pPr>
            <w:r>
              <w:rPr>
                <w:rFonts w:hint="default"/>
                <w:color w:val="auto"/>
                <w:kern w:val="0"/>
                <w:sz w:val="24"/>
                <w:u w:val="single"/>
                <w:lang w:val="zh-CN"/>
              </w:rPr>
              <w:t>运输车辆行驶过程中产生尾气和施工机械产生的燃油废气，主要污染物为SO</w:t>
            </w:r>
            <w:r>
              <w:rPr>
                <w:rFonts w:hint="default"/>
                <w:color w:val="auto"/>
                <w:kern w:val="0"/>
                <w:sz w:val="24"/>
                <w:u w:val="single"/>
                <w:vertAlign w:val="subscript"/>
                <w:lang w:val="zh-CN"/>
              </w:rPr>
              <w:t>2</w:t>
            </w:r>
            <w:r>
              <w:rPr>
                <w:rFonts w:hint="default"/>
                <w:color w:val="auto"/>
                <w:kern w:val="0"/>
                <w:sz w:val="24"/>
                <w:u w:val="single"/>
                <w:lang w:val="zh-CN"/>
              </w:rPr>
              <w:t>、CO、NOx、TSP，因施工机械的流动性特点，施工废气对周边影响小。</w:t>
            </w:r>
          </w:p>
          <w:p w14:paraId="1107B797">
            <w:pPr>
              <w:keepNext w:val="0"/>
              <w:keepLines w:val="0"/>
              <w:suppressLineNumbers w:val="0"/>
              <w:spacing w:before="0" w:beforeAutospacing="0" w:after="0" w:afterAutospacing="0" w:line="360" w:lineRule="auto"/>
              <w:ind w:left="0" w:right="0" w:firstLine="480" w:firstLineChars="200"/>
              <w:rPr>
                <w:rFonts w:hint="default"/>
                <w:color w:val="auto"/>
                <w:kern w:val="0"/>
                <w:sz w:val="24"/>
                <w:u w:val="single"/>
                <w:lang w:val="zh-CN"/>
              </w:rPr>
            </w:pPr>
            <w:r>
              <w:rPr>
                <w:rFonts w:hint="default"/>
                <w:color w:val="auto"/>
                <w:kern w:val="0"/>
                <w:sz w:val="24"/>
                <w:u w:val="single"/>
                <w:lang w:val="zh-CN"/>
              </w:rPr>
              <w:t>本项目在选择施工机械和车辆时尽量选用低能耗、低污染排放的设备，不使用废气排放超标的车辆；加强机械和车辆的管理和维护，减少因机械和车辆状况不佳造成的空气污染。运输车辆的废气是沿交通路线排放，施工机械的废气基本以点源形式排放。</w:t>
            </w:r>
          </w:p>
          <w:p w14:paraId="22F51BF8">
            <w:pPr>
              <w:keepNext w:val="0"/>
              <w:keepLines w:val="0"/>
              <w:suppressLineNumbers w:val="0"/>
              <w:spacing w:before="0" w:beforeAutospacing="0" w:after="0" w:afterAutospacing="0" w:line="360" w:lineRule="auto"/>
              <w:ind w:left="0" w:right="0" w:firstLine="480" w:firstLineChars="200"/>
              <w:rPr>
                <w:rFonts w:hint="default"/>
                <w:color w:val="auto"/>
                <w:kern w:val="0"/>
                <w:sz w:val="24"/>
                <w:u w:val="single"/>
                <w:lang w:val="zh-CN"/>
              </w:rPr>
            </w:pPr>
            <w:r>
              <w:rPr>
                <w:rFonts w:hint="default"/>
                <w:color w:val="auto"/>
                <w:kern w:val="0"/>
                <w:sz w:val="24"/>
                <w:u w:val="single"/>
                <w:lang w:val="zh-CN"/>
              </w:rPr>
              <w:t>由于施工区空气流通性好，排放废气中的各项污染物能够很快扩散，不会引起局部大气环境质量的恶化。加之废气排放的不连续性和工程施工期有限，排放的废气对区域的环境空气质量影响是较小的。</w:t>
            </w:r>
          </w:p>
          <w:p w14:paraId="41EA9804">
            <w:pPr>
              <w:keepNext w:val="0"/>
              <w:keepLines w:val="0"/>
              <w:suppressLineNumbers w:val="0"/>
              <w:spacing w:before="0" w:beforeAutospacing="0" w:after="0" w:afterAutospacing="0" w:line="360" w:lineRule="auto"/>
              <w:ind w:left="0" w:right="0" w:firstLine="480" w:firstLineChars="200"/>
              <w:rPr>
                <w:rFonts w:hint="default"/>
                <w:color w:val="auto"/>
                <w:sz w:val="24"/>
                <w:u w:val="single"/>
                <w:lang w:val="en-US" w:eastAsia="zh-CN"/>
              </w:rPr>
            </w:pPr>
            <w:r>
              <w:rPr>
                <w:rFonts w:hint="default"/>
                <w:color w:val="auto"/>
                <w:sz w:val="24"/>
                <w:u w:val="single"/>
                <w:lang w:val="en-US" w:eastAsia="zh-CN"/>
              </w:rPr>
              <w:t>砂石等材料运输时封闭或严密覆盖；运送各种建筑材料的车辆必须应有遮盖和防护措施，防止尘土飞扬、洒落和流溢；对于施工场地内易产生扬尘的材料在雨天和大风日应用篷布遮盖。车辆驶出装、卸场地前用水将车厢和轮胎冲洗干净；运输车辆行使路线尽量避开环境敏感点。</w:t>
            </w:r>
          </w:p>
          <w:p w14:paraId="7340E217">
            <w:pPr>
              <w:keepNext w:val="0"/>
              <w:keepLines w:val="0"/>
              <w:suppressLineNumbers w:val="0"/>
              <w:spacing w:before="0" w:beforeAutospacing="0" w:after="0" w:afterAutospacing="0" w:line="360" w:lineRule="auto"/>
              <w:ind w:left="0" w:right="0" w:firstLine="480" w:firstLineChars="200"/>
              <w:rPr>
                <w:rFonts w:hint="default"/>
                <w:color w:val="auto"/>
                <w:sz w:val="24"/>
                <w:u w:val="single"/>
                <w:lang w:val="en-US" w:eastAsia="zh-CN"/>
              </w:rPr>
            </w:pPr>
            <w:r>
              <w:rPr>
                <w:rFonts w:hint="default"/>
                <w:color w:val="auto"/>
                <w:sz w:val="24"/>
                <w:u w:val="single"/>
                <w:lang w:val="en-US" w:eastAsia="zh-CN"/>
              </w:rPr>
              <w:t>对运输车辆及时进行清理，减少车辆行驶过程中产生的扬尘。</w:t>
            </w:r>
          </w:p>
          <w:p w14:paraId="645A370C">
            <w:pPr>
              <w:keepNext w:val="0"/>
              <w:keepLines w:val="0"/>
              <w:suppressLineNumbers w:val="0"/>
              <w:spacing w:before="0" w:beforeAutospacing="0" w:after="0" w:afterAutospacing="0" w:line="360" w:lineRule="auto"/>
              <w:ind w:left="0" w:right="0" w:firstLine="480" w:firstLineChars="200"/>
              <w:rPr>
                <w:rFonts w:hint="default"/>
                <w:color w:val="auto"/>
                <w:sz w:val="24"/>
                <w:u w:val="single"/>
                <w:lang w:eastAsia="zh-CN"/>
              </w:rPr>
            </w:pPr>
            <w:r>
              <w:rPr>
                <w:rFonts w:hint="default"/>
                <w:color w:val="auto"/>
                <w:sz w:val="24"/>
                <w:u w:val="single"/>
                <w:lang w:val="en-US" w:eastAsia="zh-CN"/>
              </w:rPr>
              <w:t>施工运输车辆要选用具有尾气排放环保合格证的车辆，确保尾气排放达标。施工运输车辆行驶路线尽量避开周边居民集中区、学校和医院等敏感点，行驶距离居民集中区、学校和医院等敏感车速控制在5公</w:t>
            </w:r>
            <w:r>
              <w:rPr>
                <w:rFonts w:hint="default"/>
                <w:color w:val="auto"/>
                <w:sz w:val="24"/>
                <w:u w:val="single"/>
                <w:lang w:eastAsia="zh-CN"/>
              </w:rPr>
              <w:t>里</w:t>
            </w:r>
            <w:r>
              <w:rPr>
                <w:rFonts w:hint="default"/>
                <w:color w:val="auto"/>
                <w:sz w:val="24"/>
                <w:u w:val="single"/>
                <w:lang w:val="en-US" w:eastAsia="zh-CN"/>
              </w:rPr>
              <w:t>每小时以下，同时，禁止鸣笛</w:t>
            </w:r>
            <w:r>
              <w:rPr>
                <w:rFonts w:hint="default"/>
                <w:color w:val="auto"/>
                <w:sz w:val="24"/>
                <w:u w:val="single"/>
                <w:lang w:eastAsia="zh-CN"/>
              </w:rPr>
              <w:t>。</w:t>
            </w:r>
          </w:p>
          <w:p w14:paraId="6F8C29A8">
            <w:pPr>
              <w:keepNext w:val="0"/>
              <w:keepLines w:val="0"/>
              <w:suppressLineNumbers w:val="0"/>
              <w:spacing w:before="0" w:beforeAutospacing="0" w:after="0" w:afterAutospacing="0" w:line="360" w:lineRule="auto"/>
              <w:ind w:left="0" w:right="0" w:firstLine="480" w:firstLineChars="200"/>
              <w:rPr>
                <w:rFonts w:hint="default"/>
                <w:color w:val="auto"/>
                <w:kern w:val="0"/>
                <w:sz w:val="24"/>
                <w:u w:val="single"/>
                <w:lang w:val="zh-CN"/>
              </w:rPr>
            </w:pPr>
            <w:r>
              <w:rPr>
                <w:rFonts w:hint="default"/>
                <w:color w:val="auto"/>
                <w:kern w:val="0"/>
                <w:sz w:val="24"/>
                <w:u w:val="single"/>
                <w:lang w:val="zh-CN"/>
              </w:rPr>
              <w:t>通过采取上述措施后，运输过程对环境的影响较小。</w:t>
            </w:r>
          </w:p>
          <w:p w14:paraId="08DC9ADC">
            <w:pPr>
              <w:keepNext w:val="0"/>
              <w:keepLines w:val="0"/>
              <w:suppressLineNumbers w:val="0"/>
              <w:spacing w:before="0" w:beforeAutospacing="0" w:after="0" w:afterAutospacing="0" w:line="360" w:lineRule="auto"/>
              <w:ind w:left="0" w:right="0" w:firstLine="480" w:firstLineChars="200"/>
              <w:rPr>
                <w:rFonts w:hint="default"/>
                <w:color w:val="auto"/>
                <w:spacing w:val="-2"/>
                <w:sz w:val="24"/>
                <w:u w:val="none"/>
              </w:rPr>
            </w:pPr>
            <w:r>
              <w:rPr>
                <w:rFonts w:hint="default"/>
                <w:color w:val="auto"/>
                <w:kern w:val="0"/>
                <w:sz w:val="24"/>
                <w:u w:val="none"/>
                <w:lang w:val="zh-CN"/>
              </w:rPr>
              <w:t>根据环境现状监测，项目所在地环境质量良好。项目施工期产生的施工机械噪声、施工期产生的施工扬尘、车辆运输过程中产生的扬尘，在采取对应的环保措施后，不会成为污染隐患。综上，本项目的</w:t>
            </w:r>
            <w:r>
              <w:rPr>
                <w:rFonts w:hint="eastAsia"/>
                <w:color w:val="auto"/>
                <w:kern w:val="0"/>
                <w:sz w:val="24"/>
                <w:u w:val="none"/>
                <w:lang w:val="en-US" w:eastAsia="zh-CN"/>
              </w:rPr>
              <w:t>实施</w:t>
            </w:r>
            <w:r>
              <w:rPr>
                <w:rFonts w:hint="default"/>
                <w:color w:val="auto"/>
                <w:kern w:val="0"/>
                <w:sz w:val="24"/>
                <w:u w:val="none"/>
                <w:lang w:val="zh-CN"/>
              </w:rPr>
              <w:t>不会降低区域环境质量，满足环境质量基本要求。</w:t>
            </w:r>
          </w:p>
        </w:tc>
      </w:tr>
      <w:tr w14:paraId="5A0B75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24" w:type="pct"/>
            <w:tcMar>
              <w:left w:w="28" w:type="dxa"/>
              <w:right w:w="28" w:type="dxa"/>
            </w:tcMar>
            <w:vAlign w:val="center"/>
          </w:tcPr>
          <w:p w14:paraId="59AA0039">
            <w:pPr>
              <w:pStyle w:val="23"/>
              <w:keepNext w:val="0"/>
              <w:keepLines w:val="0"/>
              <w:suppressLineNumbers w:val="0"/>
              <w:adjustRightInd w:val="0"/>
              <w:snapToGrid w:val="0"/>
              <w:spacing w:before="0" w:beforeAutospacing="0" w:after="0" w:afterAutospacing="0"/>
              <w:ind w:left="0" w:right="0"/>
              <w:jc w:val="center"/>
              <w:rPr>
                <w:rFonts w:hint="default" w:cs="宋体"/>
                <w:b/>
                <w:color w:val="auto"/>
                <w:szCs w:val="24"/>
                <w:u w:val="none"/>
              </w:rPr>
            </w:pPr>
            <w:r>
              <w:rPr>
                <w:rFonts w:hint="eastAsia" w:cs="宋体"/>
                <w:b/>
                <w:color w:val="auto"/>
                <w:spacing w:val="10"/>
                <w:szCs w:val="24"/>
                <w:u w:val="none"/>
              </w:rPr>
              <w:t>运营期生态环境影响分析</w:t>
            </w:r>
          </w:p>
        </w:tc>
        <w:tc>
          <w:tcPr>
            <w:tcW w:w="4376" w:type="pct"/>
          </w:tcPr>
          <w:p w14:paraId="2E2F6E2D">
            <w:pPr>
              <w:keepNext w:val="0"/>
              <w:keepLines w:val="0"/>
              <w:suppressLineNumbers w:val="0"/>
              <w:spacing w:before="0" w:beforeAutospacing="0" w:after="0" w:afterAutospacing="0" w:line="360" w:lineRule="auto"/>
              <w:ind w:left="0" w:right="0" w:firstLine="480" w:firstLineChars="200"/>
              <w:rPr>
                <w:rFonts w:hint="default"/>
                <w:color w:val="auto"/>
                <w:kern w:val="0"/>
                <w:sz w:val="24"/>
                <w:u w:val="single"/>
                <w:lang w:val="zh-CN"/>
              </w:rPr>
            </w:pPr>
            <w:r>
              <w:rPr>
                <w:rFonts w:hint="default"/>
                <w:color w:val="auto"/>
                <w:kern w:val="0"/>
                <w:sz w:val="24"/>
                <w:u w:val="single"/>
                <w:lang w:val="zh-CN"/>
              </w:rPr>
              <w:t>本项目运营期间主要环境影响是对水环境、生态环境、社会环境的正面影响</w:t>
            </w:r>
            <w:r>
              <w:rPr>
                <w:rFonts w:hint="eastAsia"/>
                <w:color w:val="auto"/>
                <w:kern w:val="0"/>
                <w:sz w:val="24"/>
                <w:u w:val="single"/>
                <w:lang w:val="zh-CN"/>
              </w:rPr>
              <w:t>。</w:t>
            </w:r>
          </w:p>
          <w:p w14:paraId="5A9FE28D">
            <w:pPr>
              <w:keepNext w:val="0"/>
              <w:keepLines w:val="0"/>
              <w:suppressLineNumbers w:val="0"/>
              <w:spacing w:before="0" w:beforeAutospacing="0" w:after="0" w:afterAutospacing="0" w:line="360" w:lineRule="auto"/>
              <w:ind w:left="0" w:right="0" w:firstLine="472" w:firstLineChars="200"/>
              <w:jc w:val="left"/>
              <w:rPr>
                <w:rFonts w:hint="eastAsia"/>
                <w:color w:val="auto"/>
                <w:spacing w:val="-2"/>
                <w:sz w:val="24"/>
                <w:u w:val="single"/>
                <w:lang w:eastAsia="zh-CN"/>
              </w:rPr>
            </w:pPr>
            <w:r>
              <w:rPr>
                <w:rFonts w:hint="default"/>
                <w:color w:val="auto"/>
                <w:spacing w:val="-2"/>
                <w:sz w:val="24"/>
                <w:u w:val="single"/>
              </w:rPr>
              <w:t>本项目主要生态环境影响在施工期，项目施工完成后运营期不涉及废气、废水、固废等污染物的产生</w:t>
            </w:r>
            <w:r>
              <w:rPr>
                <w:rFonts w:hint="eastAsia"/>
                <w:color w:val="auto"/>
                <w:spacing w:val="-2"/>
                <w:sz w:val="24"/>
                <w:u w:val="single"/>
                <w:lang w:eastAsia="zh-CN"/>
              </w:rPr>
              <w:t>，</w:t>
            </w:r>
            <w:r>
              <w:rPr>
                <w:rFonts w:hint="default"/>
                <w:color w:val="auto"/>
                <w:spacing w:val="-2"/>
                <w:sz w:val="24"/>
                <w:u w:val="single"/>
              </w:rPr>
              <w:t>运营期的噪声主要来源于水泵机组、电机、管道振动及阀门启闭等设备运行，可能对周边居民区、学校等敏感目标造成干扰</w:t>
            </w:r>
            <w:r>
              <w:rPr>
                <w:rFonts w:hint="eastAsia"/>
                <w:color w:val="auto"/>
                <w:spacing w:val="-2"/>
                <w:sz w:val="24"/>
                <w:u w:val="single"/>
                <w:lang w:eastAsia="zh-CN"/>
              </w:rPr>
              <w:t>，通过设备选型优化、隔声工程及智能监控结合定期维护（</w:t>
            </w:r>
            <w:r>
              <w:rPr>
                <w:rFonts w:hint="eastAsia"/>
                <w:color w:val="auto"/>
                <w:spacing w:val="-2"/>
                <w:sz w:val="24"/>
                <w:u w:val="single"/>
                <w:lang w:val="en-US" w:eastAsia="zh-CN"/>
              </w:rPr>
              <w:t>定期维护委托设备单位进行同时负责固废的产生及处置</w:t>
            </w:r>
            <w:r>
              <w:rPr>
                <w:rFonts w:hint="eastAsia"/>
                <w:color w:val="auto"/>
                <w:spacing w:val="-2"/>
                <w:sz w:val="24"/>
                <w:u w:val="single"/>
                <w:lang w:eastAsia="zh-CN"/>
              </w:rPr>
              <w:t>）与公众沟通，最大限度减少对周边环境的影响。</w:t>
            </w:r>
          </w:p>
          <w:p w14:paraId="4B0E9BCE">
            <w:pPr>
              <w:keepNext w:val="0"/>
              <w:keepLines w:val="0"/>
              <w:suppressLineNumbers w:val="0"/>
              <w:spacing w:before="0" w:beforeAutospacing="0" w:after="0" w:afterAutospacing="0" w:line="360" w:lineRule="auto"/>
              <w:ind w:left="0" w:right="0" w:firstLine="472" w:firstLineChars="200"/>
              <w:jc w:val="left"/>
              <w:rPr>
                <w:rFonts w:hint="eastAsia" w:ascii="宋体" w:hAnsi="宋体" w:cs="宋体"/>
                <w:color w:val="auto"/>
                <w:sz w:val="24"/>
                <w:szCs w:val="24"/>
                <w:u w:val="single"/>
                <w:lang w:eastAsia="zh-CN"/>
              </w:rPr>
            </w:pPr>
            <w:r>
              <w:rPr>
                <w:rFonts w:hint="default"/>
                <w:color w:val="auto"/>
                <w:spacing w:val="-2"/>
                <w:sz w:val="24"/>
                <w:u w:val="single"/>
              </w:rPr>
              <w:t>因此，运营过程中对周边环境无明显影响。</w:t>
            </w:r>
            <w:r>
              <w:rPr>
                <w:rFonts w:hint="default" w:ascii="宋体" w:hAnsi="宋体" w:eastAsia="宋体" w:cs="宋体"/>
                <w:color w:val="auto"/>
                <w:sz w:val="24"/>
                <w:szCs w:val="24"/>
                <w:u w:val="single"/>
              </w:rPr>
              <w:t>项目完成后，将对</w:t>
            </w:r>
            <w:r>
              <w:rPr>
                <w:rFonts w:hint="eastAsia" w:ascii="宋体" w:hAnsi="宋体" w:cs="宋体"/>
                <w:color w:val="auto"/>
                <w:sz w:val="24"/>
                <w:szCs w:val="24"/>
                <w:u w:val="single"/>
                <w:lang w:val="en-US" w:eastAsia="zh-CN"/>
              </w:rPr>
              <w:t>临湘</w:t>
            </w:r>
            <w:r>
              <w:rPr>
                <w:rFonts w:hint="default" w:ascii="宋体" w:hAnsi="宋体" w:eastAsia="宋体" w:cs="宋体"/>
                <w:color w:val="auto"/>
                <w:sz w:val="24"/>
                <w:szCs w:val="24"/>
                <w:u w:val="single"/>
              </w:rPr>
              <w:t>市市区的水环境及社会经济持续发展产生长期的正面影响。本项目的实施，清理河道淤泥提高河流的行洪能力</w:t>
            </w:r>
            <w:r>
              <w:rPr>
                <w:rFonts w:hint="eastAsia" w:ascii="宋体" w:hAnsi="宋体" w:cs="宋体"/>
                <w:color w:val="auto"/>
                <w:sz w:val="24"/>
                <w:szCs w:val="24"/>
                <w:u w:val="single"/>
                <w:lang w:eastAsia="zh-CN"/>
              </w:rPr>
              <w:t>，</w:t>
            </w:r>
            <w:r>
              <w:rPr>
                <w:rFonts w:hint="eastAsia" w:ascii="宋体" w:hAnsi="宋体" w:cs="宋体"/>
                <w:color w:val="auto"/>
                <w:sz w:val="24"/>
                <w:szCs w:val="24"/>
                <w:u w:val="single"/>
                <w:lang w:val="en-US" w:eastAsia="zh-CN"/>
              </w:rPr>
              <w:t>改善城区内涝达到雨污分流</w:t>
            </w:r>
            <w:r>
              <w:rPr>
                <w:rFonts w:hint="default" w:ascii="宋体" w:hAnsi="宋体" w:eastAsia="宋体" w:cs="宋体"/>
                <w:color w:val="auto"/>
                <w:sz w:val="24"/>
                <w:szCs w:val="24"/>
                <w:u w:val="single"/>
              </w:rPr>
              <w:t>；项目的建设进一步消除城区逢雨必涝、污水横流的问题，使得区域内水质稳步提升，最终达到水绿岸清、鱼翔浅底的效果</w:t>
            </w:r>
            <w:r>
              <w:rPr>
                <w:rFonts w:hint="eastAsia" w:ascii="宋体" w:hAnsi="宋体" w:cs="宋体"/>
                <w:color w:val="auto"/>
                <w:sz w:val="24"/>
                <w:szCs w:val="24"/>
                <w:u w:val="single"/>
                <w:lang w:eastAsia="zh-CN"/>
              </w:rPr>
              <w:t>。</w:t>
            </w:r>
          </w:p>
          <w:p w14:paraId="53CDBCB0">
            <w:pPr>
              <w:keepNext w:val="0"/>
              <w:keepLines w:val="0"/>
              <w:suppressLineNumbers w:val="0"/>
              <w:spacing w:before="0" w:beforeAutospacing="0" w:after="0" w:afterAutospacing="0" w:line="360" w:lineRule="auto"/>
              <w:ind w:left="0" w:right="0" w:firstLine="480" w:firstLineChars="200"/>
              <w:jc w:val="left"/>
              <w:rPr>
                <w:rFonts w:hint="default"/>
                <w:bCs/>
                <w:color w:val="auto"/>
                <w:sz w:val="24"/>
                <w:u w:val="none"/>
              </w:rPr>
            </w:pPr>
            <w:r>
              <w:rPr>
                <w:rFonts w:hint="default" w:ascii="宋体" w:hAnsi="宋体" w:eastAsia="宋体" w:cs="宋体"/>
                <w:color w:val="auto"/>
                <w:sz w:val="24"/>
                <w:szCs w:val="24"/>
                <w:u w:val="single"/>
              </w:rPr>
              <w:t>本项目的实施，不仅有利于加快水生态修复步伐，</w:t>
            </w:r>
            <w:r>
              <w:rPr>
                <w:rFonts w:hint="eastAsia" w:ascii="宋体" w:hAnsi="宋体" w:cs="宋体"/>
                <w:color w:val="auto"/>
                <w:sz w:val="24"/>
                <w:szCs w:val="24"/>
                <w:u w:val="single"/>
                <w:lang w:val="en-US" w:eastAsia="zh-CN"/>
              </w:rPr>
              <w:t>还</w:t>
            </w:r>
            <w:r>
              <w:rPr>
                <w:rFonts w:hint="default" w:ascii="宋体" w:hAnsi="宋体" w:eastAsia="宋体" w:cs="宋体"/>
                <w:color w:val="auto"/>
                <w:sz w:val="24"/>
                <w:szCs w:val="24"/>
                <w:u w:val="single"/>
              </w:rPr>
              <w:t>有利于加快</w:t>
            </w:r>
            <w:r>
              <w:rPr>
                <w:rFonts w:hint="eastAsia" w:ascii="宋体" w:hAnsi="宋体" w:cs="宋体"/>
                <w:color w:val="auto"/>
                <w:sz w:val="24"/>
                <w:szCs w:val="24"/>
                <w:u w:val="single"/>
                <w:lang w:val="en-US" w:eastAsia="zh-CN"/>
              </w:rPr>
              <w:t>城区排水</w:t>
            </w:r>
            <w:r>
              <w:rPr>
                <w:rFonts w:hint="default" w:ascii="宋体" w:hAnsi="宋体" w:eastAsia="宋体" w:cs="宋体"/>
                <w:color w:val="auto"/>
                <w:sz w:val="24"/>
                <w:szCs w:val="24"/>
                <w:u w:val="single"/>
              </w:rPr>
              <w:t>综合整治步伐，</w:t>
            </w:r>
            <w:r>
              <w:rPr>
                <w:rFonts w:hint="eastAsia" w:ascii="宋体" w:hAnsi="宋体" w:cs="宋体"/>
                <w:color w:val="auto"/>
                <w:sz w:val="24"/>
                <w:szCs w:val="24"/>
                <w:u w:val="single"/>
                <w:lang w:val="en-US" w:eastAsia="zh-CN"/>
              </w:rPr>
              <w:t>同时</w:t>
            </w:r>
            <w:r>
              <w:rPr>
                <w:rFonts w:hint="default" w:ascii="宋体" w:hAnsi="宋体" w:eastAsia="宋体" w:cs="宋体"/>
                <w:color w:val="auto"/>
                <w:sz w:val="24"/>
                <w:szCs w:val="24"/>
                <w:u w:val="single"/>
              </w:rPr>
              <w:t>对改善</w:t>
            </w:r>
            <w:r>
              <w:rPr>
                <w:rFonts w:hint="eastAsia" w:ascii="宋体" w:hAnsi="宋体" w:cs="宋体"/>
                <w:color w:val="auto"/>
                <w:sz w:val="24"/>
                <w:szCs w:val="24"/>
                <w:u w:val="single"/>
                <w:lang w:val="en-US" w:eastAsia="zh-CN"/>
              </w:rPr>
              <w:t>居民</w:t>
            </w:r>
            <w:r>
              <w:rPr>
                <w:rFonts w:hint="default" w:ascii="宋体" w:hAnsi="宋体" w:eastAsia="宋体" w:cs="宋体"/>
                <w:color w:val="auto"/>
                <w:sz w:val="24"/>
                <w:szCs w:val="24"/>
                <w:u w:val="single"/>
              </w:rPr>
              <w:t>居住环境，提高</w:t>
            </w:r>
            <w:r>
              <w:rPr>
                <w:rFonts w:hint="eastAsia" w:ascii="宋体" w:hAnsi="宋体" w:cs="宋体"/>
                <w:color w:val="auto"/>
                <w:sz w:val="24"/>
                <w:szCs w:val="24"/>
                <w:u w:val="single"/>
                <w:lang w:val="en-US" w:eastAsia="zh-CN"/>
              </w:rPr>
              <w:t>居民</w:t>
            </w:r>
            <w:r>
              <w:rPr>
                <w:rFonts w:hint="default" w:ascii="宋体" w:hAnsi="宋体" w:eastAsia="宋体" w:cs="宋体"/>
                <w:color w:val="auto"/>
                <w:sz w:val="24"/>
                <w:szCs w:val="24"/>
                <w:u w:val="single"/>
              </w:rPr>
              <w:t>生活质量具有促进作用。</w:t>
            </w:r>
          </w:p>
        </w:tc>
      </w:tr>
      <w:tr w14:paraId="34125B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624" w:type="pct"/>
            <w:vAlign w:val="center"/>
          </w:tcPr>
          <w:p w14:paraId="052E489A">
            <w:pPr>
              <w:pStyle w:val="23"/>
              <w:keepNext w:val="0"/>
              <w:keepLines w:val="0"/>
              <w:suppressLineNumbers w:val="0"/>
              <w:adjustRightInd w:val="0"/>
              <w:snapToGrid w:val="0"/>
              <w:spacing w:before="0" w:beforeAutospacing="0" w:after="0" w:afterAutospacing="0"/>
              <w:ind w:left="0" w:right="0"/>
              <w:jc w:val="center"/>
              <w:rPr>
                <w:rFonts w:hint="default" w:cs="宋体"/>
                <w:b/>
                <w:color w:val="auto"/>
                <w:szCs w:val="24"/>
                <w:u w:val="none"/>
              </w:rPr>
            </w:pPr>
            <w:r>
              <w:rPr>
                <w:rFonts w:hint="eastAsia" w:cs="宋体"/>
                <w:b/>
                <w:color w:val="auto"/>
                <w:szCs w:val="24"/>
                <w:u w:val="none"/>
              </w:rPr>
              <w:t>选址选线环境合理性分析</w:t>
            </w:r>
          </w:p>
        </w:tc>
        <w:tc>
          <w:tcPr>
            <w:tcW w:w="4376" w:type="pct"/>
          </w:tcPr>
          <w:p w14:paraId="20317CC6">
            <w:pPr>
              <w:keepNext w:val="0"/>
              <w:keepLines w:val="0"/>
              <w:suppressLineNumbers w:val="0"/>
              <w:adjustRightInd w:val="0"/>
              <w:snapToGrid w:val="0"/>
              <w:spacing w:before="0" w:beforeAutospacing="0" w:after="0" w:afterAutospacing="0" w:line="360" w:lineRule="auto"/>
              <w:ind w:left="0" w:right="0" w:firstLine="480" w:firstLineChars="200"/>
              <w:rPr>
                <w:rFonts w:hint="eastAsia" w:hAnsi="宋体"/>
                <w:b w:val="0"/>
                <w:bCs w:val="0"/>
                <w:color w:val="auto"/>
                <w:sz w:val="24"/>
                <w:u w:val="none"/>
              </w:rPr>
            </w:pPr>
            <w:r>
              <w:rPr>
                <w:rFonts w:hint="eastAsia" w:hAnsi="宋体"/>
                <w:b w:val="0"/>
                <w:bCs w:val="0"/>
                <w:color w:val="auto"/>
                <w:sz w:val="24"/>
                <w:u w:val="none"/>
              </w:rPr>
              <w:t>本项目为河湖整治</w:t>
            </w:r>
            <w:r>
              <w:rPr>
                <w:rFonts w:hint="eastAsia" w:hAnsi="宋体"/>
                <w:b w:val="0"/>
                <w:bCs w:val="0"/>
                <w:color w:val="auto"/>
                <w:sz w:val="24"/>
                <w:u w:val="none"/>
                <w:lang w:val="en-US" w:eastAsia="zh-CN"/>
              </w:rPr>
              <w:t>及防洪排涝</w:t>
            </w:r>
            <w:r>
              <w:rPr>
                <w:rFonts w:hint="eastAsia" w:hAnsi="宋体"/>
                <w:b w:val="0"/>
                <w:bCs w:val="0"/>
                <w:color w:val="auto"/>
                <w:sz w:val="24"/>
                <w:u w:val="none"/>
              </w:rPr>
              <w:t>工程，建设地点为</w:t>
            </w:r>
            <w:r>
              <w:rPr>
                <w:rFonts w:hint="eastAsia" w:hAnsi="宋体"/>
                <w:b w:val="0"/>
                <w:bCs w:val="0"/>
                <w:color w:val="auto"/>
                <w:sz w:val="24"/>
                <w:u w:val="none"/>
                <w:lang w:val="en-US" w:eastAsia="zh-CN"/>
              </w:rPr>
              <w:t>临湘市城区</w:t>
            </w:r>
            <w:r>
              <w:rPr>
                <w:rFonts w:hint="eastAsia" w:hAnsi="宋体"/>
                <w:b w:val="0"/>
                <w:bCs w:val="0"/>
                <w:color w:val="auto"/>
                <w:sz w:val="24"/>
                <w:u w:val="none"/>
                <w:lang w:eastAsia="zh-CN"/>
              </w:rPr>
              <w:t>，</w:t>
            </w:r>
            <w:r>
              <w:rPr>
                <w:rFonts w:hint="eastAsia" w:hAnsi="宋体"/>
                <w:b w:val="0"/>
                <w:bCs w:val="0"/>
                <w:color w:val="auto"/>
                <w:sz w:val="24"/>
                <w:u w:val="none"/>
              </w:rPr>
              <w:t>项目不涉及环境敏感区，建成后对周围环境影响不大，符合</w:t>
            </w:r>
            <w:r>
              <w:rPr>
                <w:rFonts w:hint="eastAsia" w:hAnsi="宋体"/>
                <w:b w:val="0"/>
                <w:bCs w:val="0"/>
                <w:color w:val="auto"/>
                <w:spacing w:val="-2"/>
                <w:sz w:val="24"/>
                <w:u w:val="none"/>
                <w:lang w:val="en-US" w:eastAsia="zh-CN"/>
              </w:rPr>
              <w:t>《临湘市城市总体规划（2016—2030）》</w:t>
            </w:r>
            <w:r>
              <w:rPr>
                <w:rFonts w:hint="eastAsia" w:hAnsi="宋体"/>
                <w:b w:val="0"/>
                <w:bCs w:val="0"/>
                <w:color w:val="auto"/>
                <w:sz w:val="24"/>
                <w:u w:val="none"/>
              </w:rPr>
              <w:t>的要求</w:t>
            </w:r>
            <w:r>
              <w:rPr>
                <w:rFonts w:hint="eastAsia" w:hAnsi="宋体"/>
                <w:b w:val="0"/>
                <w:bCs w:val="0"/>
                <w:color w:val="auto"/>
                <w:sz w:val="24"/>
                <w:u w:val="none"/>
                <w:lang w:eastAsia="zh-CN"/>
              </w:rPr>
              <w:t>，</w:t>
            </w:r>
            <w:r>
              <w:rPr>
                <w:rFonts w:hint="eastAsia" w:hAnsi="宋体"/>
                <w:b w:val="0"/>
                <w:bCs w:val="0"/>
                <w:color w:val="auto"/>
                <w:sz w:val="24"/>
                <w:u w:val="none"/>
              </w:rPr>
              <w:t>本项目已取得</w:t>
            </w:r>
            <w:r>
              <w:rPr>
                <w:rFonts w:hint="eastAsia" w:hAnsi="宋体"/>
                <w:b w:val="0"/>
                <w:bCs w:val="0"/>
                <w:color w:val="auto"/>
                <w:sz w:val="24"/>
                <w:u w:val="none"/>
                <w:lang w:val="en-US" w:eastAsia="zh-CN"/>
              </w:rPr>
              <w:t>《关于&lt;临湘市城区雨水调蓄及行泄通道工程项目可行性研究报告&gt;的批复》</w:t>
            </w:r>
            <w:r>
              <w:rPr>
                <w:rFonts w:hint="eastAsia" w:hAnsi="宋体"/>
                <w:b w:val="0"/>
                <w:bCs w:val="0"/>
                <w:color w:val="auto"/>
                <w:sz w:val="24"/>
                <w:u w:val="none"/>
              </w:rPr>
              <w:t>。</w:t>
            </w:r>
          </w:p>
          <w:p w14:paraId="52723EDB">
            <w:pPr>
              <w:keepNext w:val="0"/>
              <w:keepLines w:val="0"/>
              <w:suppressLineNumbers w:val="0"/>
              <w:adjustRightInd w:val="0"/>
              <w:snapToGrid w:val="0"/>
              <w:spacing w:before="0" w:beforeAutospacing="0" w:after="0" w:afterAutospacing="0" w:line="360" w:lineRule="auto"/>
              <w:ind w:left="0" w:right="0" w:firstLine="480" w:firstLineChars="200"/>
              <w:rPr>
                <w:rFonts w:hint="eastAsia" w:hAnsi="宋体"/>
                <w:b w:val="0"/>
                <w:bCs w:val="0"/>
                <w:color w:val="auto"/>
                <w:sz w:val="24"/>
                <w:u w:val="none"/>
              </w:rPr>
            </w:pPr>
            <w:r>
              <w:rPr>
                <w:rFonts w:hint="eastAsia" w:hAnsi="宋体"/>
                <w:color w:val="auto"/>
                <w:sz w:val="24"/>
                <w:u w:val="none"/>
                <w:lang w:eastAsia="zh-CN"/>
              </w:rPr>
              <w:t>本项目施工区域的周边环境、位置、地质情况等能满足项目的建设：选址区域内的交通运输、市政基础、供电、供气、给排水设施等条件比较完善，可满足项目建设及今后运行的要求；项目选址地质条件较好，无自然灾害影响，本项目建设工程道路沿线涉及的水文地质条件良好，地形地貌简单，自然条件适宜工程建设。</w:t>
            </w:r>
          </w:p>
          <w:p w14:paraId="534D47E4">
            <w:pPr>
              <w:keepNext w:val="0"/>
              <w:keepLines w:val="0"/>
              <w:suppressLineNumbers w:val="0"/>
              <w:adjustRightInd w:val="0"/>
              <w:snapToGrid w:val="0"/>
              <w:spacing w:before="0" w:beforeAutospacing="0" w:after="0" w:afterAutospacing="0" w:line="360" w:lineRule="auto"/>
              <w:ind w:left="0" w:right="0" w:firstLine="480" w:firstLineChars="200"/>
              <w:rPr>
                <w:rFonts w:hint="eastAsia" w:hAnsi="宋体"/>
                <w:b w:val="0"/>
                <w:bCs w:val="0"/>
                <w:color w:val="auto"/>
                <w:sz w:val="24"/>
                <w:u w:val="none"/>
              </w:rPr>
            </w:pPr>
            <w:r>
              <w:rPr>
                <w:rFonts w:hint="eastAsia" w:hAnsi="宋体"/>
                <w:b w:val="0"/>
                <w:bCs w:val="0"/>
                <w:color w:val="auto"/>
                <w:sz w:val="24"/>
                <w:u w:val="none"/>
              </w:rPr>
              <w:t>从水文情势上，选线方案根据河流水文、地形、地质条件及现有河岸的稳定情况进行岸线布置，既能满足行洪要求，又能兼顾非汛期平水、枯水流向，从而减少河道冲刷和淤积。</w:t>
            </w:r>
          </w:p>
          <w:p w14:paraId="1F4096C7">
            <w:pPr>
              <w:keepNext w:val="0"/>
              <w:keepLines w:val="0"/>
              <w:suppressLineNumbers w:val="0"/>
              <w:adjustRightInd w:val="0"/>
              <w:snapToGrid w:val="0"/>
              <w:spacing w:before="0" w:beforeAutospacing="0" w:after="0" w:afterAutospacing="0" w:line="360" w:lineRule="auto"/>
              <w:ind w:left="0" w:right="0" w:firstLine="480" w:firstLineChars="200"/>
              <w:rPr>
                <w:rFonts w:hint="eastAsia" w:hAnsi="宋体"/>
                <w:b w:val="0"/>
                <w:bCs w:val="0"/>
                <w:color w:val="auto"/>
                <w:sz w:val="24"/>
                <w:highlight w:val="none"/>
                <w:u w:val="none"/>
                <w:lang w:eastAsia="zh-CN"/>
              </w:rPr>
            </w:pPr>
            <w:r>
              <w:rPr>
                <w:rFonts w:hint="eastAsia" w:hAnsi="宋体"/>
                <w:b w:val="0"/>
                <w:bCs w:val="0"/>
                <w:color w:val="auto"/>
                <w:sz w:val="24"/>
                <w:highlight w:val="none"/>
                <w:u w:val="none"/>
              </w:rPr>
              <w:t>从占地角度，</w:t>
            </w:r>
            <w:r>
              <w:rPr>
                <w:rFonts w:hint="eastAsia" w:hAnsi="宋体"/>
                <w:b w:val="0"/>
                <w:bCs w:val="0"/>
                <w:color w:val="auto"/>
                <w:sz w:val="24"/>
                <w:u w:val="none"/>
                <w:lang w:val="en-US" w:eastAsia="zh-CN"/>
              </w:rPr>
              <w:t>项目运输道路</w:t>
            </w:r>
            <w:r>
              <w:rPr>
                <w:rFonts w:hint="eastAsia" w:hAnsi="宋体"/>
                <w:b w:val="0"/>
                <w:bCs w:val="0"/>
                <w:color w:val="auto"/>
                <w:sz w:val="24"/>
                <w:u w:val="none"/>
              </w:rPr>
              <w:t>依托现有</w:t>
            </w:r>
            <w:r>
              <w:rPr>
                <w:rFonts w:hint="eastAsia" w:hAnsi="宋体"/>
                <w:b w:val="0"/>
                <w:bCs w:val="0"/>
                <w:color w:val="auto"/>
                <w:sz w:val="24"/>
                <w:u w:val="none"/>
                <w:lang w:val="en-US" w:eastAsia="zh-CN"/>
              </w:rPr>
              <w:t>道路</w:t>
            </w:r>
            <w:r>
              <w:rPr>
                <w:rFonts w:hint="eastAsia" w:hAnsi="宋体"/>
                <w:b w:val="0"/>
                <w:bCs w:val="0"/>
                <w:color w:val="auto"/>
                <w:sz w:val="24"/>
                <w:u w:val="none"/>
              </w:rPr>
              <w:t>以及河边现有小道进行项目施工以及物料运输，无需建设临时施工道路</w:t>
            </w:r>
            <w:r>
              <w:rPr>
                <w:rFonts w:hint="eastAsia" w:hAnsi="宋体"/>
                <w:b w:val="0"/>
                <w:bCs w:val="0"/>
                <w:color w:val="auto"/>
                <w:sz w:val="24"/>
                <w:u w:val="none"/>
                <w:lang w:eastAsia="zh-CN"/>
              </w:rPr>
              <w:t>；</w:t>
            </w:r>
            <w:r>
              <w:rPr>
                <w:rFonts w:hint="eastAsia" w:hAnsi="宋体"/>
                <w:b w:val="0"/>
                <w:bCs w:val="0"/>
                <w:color w:val="auto"/>
                <w:sz w:val="24"/>
                <w:highlight w:val="none"/>
                <w:u w:val="none"/>
              </w:rPr>
              <w:t>淤泥经“石灰调理+板框压滤脱水”后泥饼暂存，后续直接交给其他公司进行资源化利用；清淤过程中产生的垃圾及施工人员生活垃圾集中分类收集，交由当地环卫部门处理</w:t>
            </w:r>
            <w:r>
              <w:rPr>
                <w:rFonts w:hint="eastAsia" w:hAnsi="宋体"/>
                <w:b w:val="0"/>
                <w:bCs w:val="0"/>
                <w:color w:val="auto"/>
                <w:sz w:val="24"/>
                <w:highlight w:val="none"/>
                <w:u w:val="none"/>
                <w:lang w:val="en-US" w:eastAsia="zh-CN"/>
              </w:rPr>
              <w:t>，</w:t>
            </w:r>
            <w:r>
              <w:rPr>
                <w:rFonts w:hint="eastAsia" w:hAnsi="宋体"/>
                <w:b w:val="0"/>
                <w:bCs w:val="0"/>
                <w:color w:val="auto"/>
                <w:sz w:val="24"/>
                <w:highlight w:val="none"/>
                <w:u w:val="none"/>
              </w:rPr>
              <w:t>项目临时占地</w:t>
            </w:r>
            <w:r>
              <w:rPr>
                <w:rFonts w:hint="eastAsia" w:hAnsi="宋体"/>
                <w:b w:val="0"/>
                <w:bCs w:val="0"/>
                <w:color w:val="auto"/>
                <w:sz w:val="24"/>
                <w:highlight w:val="none"/>
                <w:u w:val="none"/>
                <w:lang w:val="en-US" w:eastAsia="zh-CN"/>
              </w:rPr>
              <w:t>在</w:t>
            </w:r>
            <w:r>
              <w:rPr>
                <w:rFonts w:hint="eastAsia" w:hAnsi="宋体"/>
                <w:b w:val="0"/>
                <w:bCs w:val="0"/>
                <w:color w:val="auto"/>
                <w:sz w:val="24"/>
                <w:highlight w:val="none"/>
                <w:u w:val="none"/>
              </w:rPr>
              <w:t>工程施工结束后将尽量恢复至原有生态环境</w:t>
            </w:r>
            <w:r>
              <w:rPr>
                <w:rFonts w:hint="eastAsia" w:hAnsi="宋体"/>
                <w:b w:val="0"/>
                <w:bCs w:val="0"/>
                <w:color w:val="auto"/>
                <w:sz w:val="24"/>
                <w:highlight w:val="none"/>
                <w:u w:val="none"/>
                <w:lang w:eastAsia="zh-CN"/>
              </w:rPr>
              <w:t>。</w:t>
            </w:r>
          </w:p>
          <w:p w14:paraId="03C4A4D0">
            <w:pPr>
              <w:keepNext w:val="0"/>
              <w:keepLines w:val="0"/>
              <w:suppressLineNumbers w:val="0"/>
              <w:adjustRightInd w:val="0"/>
              <w:snapToGrid w:val="0"/>
              <w:spacing w:before="0" w:beforeAutospacing="0" w:after="0" w:afterAutospacing="0" w:line="360" w:lineRule="auto"/>
              <w:ind w:left="0" w:right="0" w:firstLine="480" w:firstLineChars="200"/>
              <w:rPr>
                <w:rFonts w:hint="eastAsia" w:hAnsi="宋体"/>
                <w:b w:val="0"/>
                <w:bCs w:val="0"/>
                <w:color w:val="FF0000"/>
                <w:sz w:val="24"/>
                <w:u w:val="none"/>
              </w:rPr>
            </w:pPr>
            <w:r>
              <w:rPr>
                <w:rFonts w:hint="eastAsia" w:hAnsi="宋体"/>
                <w:b w:val="0"/>
                <w:bCs w:val="0"/>
                <w:color w:val="auto"/>
                <w:sz w:val="24"/>
                <w:u w:val="none"/>
              </w:rPr>
              <w:t>从施工影响角度，本项目施工人员主要为当地居民，项目租赁</w:t>
            </w:r>
            <w:r>
              <w:rPr>
                <w:rFonts w:hint="eastAsia" w:hAnsi="宋体"/>
                <w:b w:val="0"/>
                <w:bCs w:val="0"/>
                <w:color w:val="auto"/>
                <w:sz w:val="24"/>
                <w:u w:val="none"/>
                <w:lang w:val="en-US" w:eastAsia="zh-CN"/>
              </w:rPr>
              <w:t>附近</w:t>
            </w:r>
            <w:r>
              <w:rPr>
                <w:rFonts w:hint="eastAsia" w:hAnsi="宋体"/>
                <w:b w:val="0"/>
                <w:bCs w:val="0"/>
                <w:color w:val="auto"/>
                <w:sz w:val="24"/>
                <w:u w:val="none"/>
              </w:rPr>
              <w:t>居民房用于办公</w:t>
            </w:r>
            <w:r>
              <w:rPr>
                <w:rFonts w:hint="eastAsia" w:hAnsi="宋体"/>
                <w:b w:val="0"/>
                <w:bCs w:val="0"/>
                <w:color w:val="auto"/>
                <w:sz w:val="24"/>
                <w:u w:val="none"/>
                <w:lang w:val="en-US" w:eastAsia="zh-CN"/>
              </w:rPr>
              <w:t>休息</w:t>
            </w:r>
            <w:r>
              <w:rPr>
                <w:rFonts w:hint="eastAsia" w:hAnsi="宋体"/>
                <w:b w:val="0"/>
                <w:bCs w:val="0"/>
                <w:color w:val="auto"/>
                <w:sz w:val="24"/>
                <w:u w:val="none"/>
              </w:rPr>
              <w:t>。</w:t>
            </w:r>
            <w:r>
              <w:rPr>
                <w:rFonts w:hint="eastAsia" w:hAnsi="宋体"/>
                <w:b w:val="0"/>
                <w:bCs w:val="0"/>
                <w:color w:val="auto"/>
                <w:sz w:val="24"/>
                <w:u w:val="none"/>
                <w:lang w:val="en-US" w:eastAsia="zh-CN"/>
              </w:rPr>
              <w:t>淤泥脱水</w:t>
            </w:r>
            <w:r>
              <w:rPr>
                <w:rFonts w:hint="eastAsia" w:hAnsi="宋体"/>
                <w:b w:val="0"/>
                <w:bCs w:val="0"/>
                <w:color w:val="auto"/>
                <w:sz w:val="24"/>
                <w:u w:val="none"/>
              </w:rPr>
              <w:t>废水经三级沉淀池→混凝沉淀（PAC+PAM）→活性炭吸附→清水池回用/达标排放，员工生活依托租赁民房，产生的废水经市政污水管网排放处理。营运期间无外排废水。且根据调查，项目施工地周围敏感目标主要为居民。在施工场地周围须设置围挡，合理安排施工时间。采取以上措施后，施工期对周边生态环境影响较小。</w:t>
            </w:r>
          </w:p>
          <w:p w14:paraId="225CBE0A">
            <w:pPr>
              <w:keepNext w:val="0"/>
              <w:keepLines w:val="0"/>
              <w:suppressLineNumbers w:val="0"/>
              <w:adjustRightInd w:val="0"/>
              <w:snapToGrid w:val="0"/>
              <w:spacing w:before="0" w:beforeAutospacing="0" w:after="0" w:afterAutospacing="0" w:line="360" w:lineRule="auto"/>
              <w:ind w:left="0" w:right="0" w:firstLine="480" w:firstLineChars="200"/>
              <w:rPr>
                <w:rFonts w:hint="eastAsia" w:hAnsi="宋体"/>
                <w:b w:val="0"/>
                <w:bCs w:val="0"/>
                <w:color w:val="auto"/>
                <w:sz w:val="24"/>
                <w:u w:val="none"/>
              </w:rPr>
            </w:pPr>
            <w:r>
              <w:rPr>
                <w:rFonts w:hint="eastAsia" w:hAnsi="宋体"/>
                <w:b w:val="0"/>
                <w:bCs w:val="0"/>
                <w:color w:val="auto"/>
                <w:sz w:val="24"/>
                <w:u w:val="none"/>
              </w:rPr>
              <w:t>从生态影响角度，由于长期受人类活动的影响，项目</w:t>
            </w:r>
            <w:r>
              <w:rPr>
                <w:rFonts w:hint="eastAsia" w:hAnsi="宋体"/>
                <w:b w:val="0"/>
                <w:bCs w:val="0"/>
                <w:color w:val="auto"/>
                <w:sz w:val="24"/>
                <w:u w:val="none"/>
                <w:lang w:val="en-US" w:eastAsia="zh-CN"/>
              </w:rPr>
              <w:t>周围</w:t>
            </w:r>
            <w:r>
              <w:rPr>
                <w:rFonts w:hint="eastAsia" w:hAnsi="宋体"/>
                <w:b w:val="0"/>
                <w:bCs w:val="0"/>
                <w:color w:val="auto"/>
                <w:sz w:val="24"/>
                <w:u w:val="none"/>
              </w:rPr>
              <w:t>植被主要以常见植被和人工次生植被为主，因此项目建设对当地生物多样性的影响很小。项目不涉及新增永久用地，不涉及耕地、基本农田，不在湿地、自然保护区等环境保护目标范围内，无主要环境制约因素。</w:t>
            </w:r>
          </w:p>
          <w:p w14:paraId="3E231609">
            <w:pPr>
              <w:keepNext w:val="0"/>
              <w:keepLines w:val="0"/>
              <w:suppressLineNumbers w:val="0"/>
              <w:adjustRightInd w:val="0"/>
              <w:snapToGrid w:val="0"/>
              <w:spacing w:before="0" w:beforeAutospacing="0" w:after="0" w:afterAutospacing="0" w:line="360" w:lineRule="auto"/>
              <w:ind w:left="0" w:right="0" w:firstLine="480" w:firstLineChars="200"/>
              <w:rPr>
                <w:rFonts w:hint="default" w:hAnsi="宋体"/>
                <w:b w:val="0"/>
                <w:bCs w:val="0"/>
                <w:color w:val="auto"/>
                <w:sz w:val="24"/>
                <w:u w:val="none"/>
                <w:lang w:eastAsia="zh-CN"/>
              </w:rPr>
            </w:pPr>
            <w:r>
              <w:rPr>
                <w:rFonts w:hint="eastAsia" w:hAnsi="宋体"/>
                <w:b w:val="0"/>
                <w:bCs w:val="0"/>
                <w:color w:val="auto"/>
                <w:sz w:val="24"/>
                <w:u w:val="none"/>
              </w:rPr>
              <w:t>本项目属于非污染生态影响类项目，建成后对生态环境的影响较小。综上所述，本项目的实施提升城市水安全，确保片区雨水排放通畅，有效解决片区积水淹水问题，提升居民生活品质，</w:t>
            </w:r>
            <w:r>
              <w:rPr>
                <w:rFonts w:hint="eastAsia" w:hAnsi="宋体"/>
                <w:b w:val="0"/>
                <w:bCs w:val="0"/>
                <w:color w:val="auto"/>
                <w:sz w:val="24"/>
                <w:u w:val="none"/>
                <w:lang w:eastAsia="zh-CN"/>
              </w:rPr>
              <w:t>从环境保护角度分析，本项目选址合理。</w:t>
            </w:r>
          </w:p>
        </w:tc>
      </w:tr>
    </w:tbl>
    <w:p w14:paraId="7DBEDC57">
      <w:pPr>
        <w:pStyle w:val="23"/>
        <w:jc w:val="center"/>
        <w:outlineLvl w:val="0"/>
        <w:rPr>
          <w:rFonts w:ascii="黑体" w:hAnsi="黑体" w:eastAsia="黑体"/>
          <w:snapToGrid w:val="0"/>
          <w:color w:val="auto"/>
          <w:sz w:val="30"/>
          <w:szCs w:val="30"/>
          <w:u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6E4FA73E">
      <w:pPr>
        <w:pStyle w:val="23"/>
        <w:jc w:val="center"/>
        <w:outlineLvl w:val="0"/>
        <w:rPr>
          <w:rFonts w:ascii="黑体" w:hAnsi="黑体" w:eastAsia="黑体"/>
          <w:snapToGrid w:val="0"/>
          <w:color w:val="auto"/>
          <w:sz w:val="30"/>
          <w:szCs w:val="30"/>
          <w:u w:val="none"/>
        </w:rPr>
      </w:pPr>
      <w:bookmarkStart w:id="7" w:name="_Toc85201453"/>
      <w:r>
        <w:rPr>
          <w:rFonts w:hint="eastAsia" w:ascii="黑体" w:hAnsi="黑体" w:eastAsia="黑体"/>
          <w:snapToGrid w:val="0"/>
          <w:color w:val="auto"/>
          <w:sz w:val="30"/>
          <w:szCs w:val="30"/>
          <w:u w:val="none"/>
        </w:rPr>
        <w:t>五、主要生态环境保护措施</w:t>
      </w:r>
      <w:bookmarkEnd w:id="7"/>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4"/>
        <w:gridCol w:w="8018"/>
      </w:tblGrid>
      <w:tr w14:paraId="1FC12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96" w:type="pct"/>
            <w:shd w:val="clear" w:color="auto" w:fill="auto"/>
            <w:vAlign w:val="center"/>
          </w:tcPr>
          <w:p w14:paraId="7355FA77">
            <w:pPr>
              <w:pStyle w:val="23"/>
              <w:keepNext w:val="0"/>
              <w:keepLines w:val="0"/>
              <w:suppressLineNumbers w:val="0"/>
              <w:ind w:left="0" w:right="0"/>
              <w:jc w:val="center"/>
              <w:rPr>
                <w:rFonts w:hint="default" w:ascii="黑体" w:hAnsi="黑体" w:eastAsia="黑体"/>
                <w:snapToGrid w:val="0"/>
                <w:color w:val="FF0000"/>
                <w:kern w:val="0"/>
                <w:sz w:val="30"/>
                <w:szCs w:val="30"/>
                <w:u w:val="none"/>
              </w:rPr>
            </w:pPr>
            <w:r>
              <w:rPr>
                <w:rFonts w:hint="eastAsia" w:cs="宋体"/>
                <w:b/>
                <w:color w:val="auto"/>
                <w:spacing w:val="10"/>
                <w:kern w:val="0"/>
                <w:u w:val="none"/>
              </w:rPr>
              <w:t>施工期生态环境保护措施</w:t>
            </w:r>
          </w:p>
        </w:tc>
        <w:tc>
          <w:tcPr>
            <w:tcW w:w="4703" w:type="pct"/>
            <w:shd w:val="clear" w:color="auto" w:fill="auto"/>
          </w:tcPr>
          <w:p w14:paraId="1029417D">
            <w:pPr>
              <w:pStyle w:val="23"/>
              <w:keepNext w:val="0"/>
              <w:keepLines w:val="0"/>
              <w:suppressLineNumbers w:val="0"/>
              <w:spacing w:before="0" w:beforeAutospacing="0" w:after="0" w:afterAutospacing="0" w:line="360" w:lineRule="auto"/>
              <w:ind w:left="0" w:right="0" w:firstLine="474" w:firstLineChars="200"/>
              <w:rPr>
                <w:rFonts w:hint="default" w:ascii="Times New Roman" w:hAnsi="Times New Roman"/>
                <w:b/>
                <w:bCs/>
                <w:color w:val="auto"/>
                <w:spacing w:val="-2"/>
                <w:kern w:val="0"/>
                <w:u w:val="none"/>
              </w:rPr>
            </w:pPr>
            <w:r>
              <w:rPr>
                <w:rFonts w:hint="eastAsia" w:ascii="Times New Roman" w:hAnsi="Times New Roman"/>
                <w:b/>
                <w:bCs/>
                <w:color w:val="auto"/>
                <w:spacing w:val="-2"/>
                <w:kern w:val="0"/>
                <w:u w:val="none"/>
                <w:lang w:val="en-US" w:eastAsia="zh-CN"/>
              </w:rPr>
              <w:t>1、</w:t>
            </w:r>
            <w:r>
              <w:rPr>
                <w:rFonts w:hint="eastAsia" w:ascii="Times New Roman" w:hAnsi="Times New Roman"/>
                <w:b/>
                <w:bCs/>
                <w:color w:val="auto"/>
                <w:spacing w:val="-2"/>
                <w:kern w:val="0"/>
                <w:u w:val="none"/>
              </w:rPr>
              <w:t>施工期</w:t>
            </w:r>
            <w:r>
              <w:rPr>
                <w:rFonts w:hint="eastAsia" w:ascii="Times New Roman" w:hAnsi="Times New Roman"/>
                <w:b/>
                <w:bCs/>
                <w:color w:val="auto"/>
                <w:spacing w:val="-2"/>
                <w:kern w:val="0"/>
                <w:u w:val="none"/>
                <w:lang w:val="en-US" w:eastAsia="zh-CN"/>
              </w:rPr>
              <w:t>水环境</w:t>
            </w:r>
            <w:r>
              <w:rPr>
                <w:rFonts w:hint="eastAsia" w:ascii="Times New Roman" w:hAnsi="Times New Roman"/>
                <w:b/>
                <w:bCs/>
                <w:color w:val="auto"/>
                <w:spacing w:val="-2"/>
                <w:kern w:val="0"/>
                <w:u w:val="none"/>
              </w:rPr>
              <w:t>影响</w:t>
            </w:r>
            <w:r>
              <w:rPr>
                <w:rFonts w:hint="eastAsia" w:ascii="Times New Roman" w:hAnsi="Times New Roman"/>
                <w:b/>
                <w:bCs/>
                <w:color w:val="auto"/>
                <w:spacing w:val="-2"/>
                <w:kern w:val="0"/>
                <w:u w:val="none"/>
                <w:lang w:val="en-US" w:eastAsia="zh-CN"/>
              </w:rPr>
              <w:t>保护</w:t>
            </w:r>
            <w:r>
              <w:rPr>
                <w:rFonts w:hint="eastAsia" w:ascii="Times New Roman" w:hAnsi="Times New Roman"/>
                <w:b/>
                <w:bCs/>
                <w:color w:val="auto"/>
                <w:spacing w:val="-2"/>
                <w:kern w:val="0"/>
                <w:u w:val="none"/>
              </w:rPr>
              <w:t>措施</w:t>
            </w:r>
          </w:p>
          <w:p w14:paraId="696CEE6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olor w:val="FF0000"/>
                <w:spacing w:val="-2"/>
                <w:kern w:val="0"/>
                <w:sz w:val="24"/>
                <w:szCs w:val="24"/>
                <w:u w:val="none"/>
              </w:rPr>
            </w:pPr>
            <w:r>
              <w:rPr>
                <w:rFonts w:hint="eastAsia"/>
                <w:color w:val="auto"/>
                <w:sz w:val="24"/>
                <w:szCs w:val="24"/>
                <w:u w:val="none"/>
              </w:rPr>
              <w:t>项目不设施工营地，施工人员租用当地民房，在施工场地内不产生生活污水。因此，项目施工期废水主要施工期废水主要</w:t>
            </w:r>
            <w:r>
              <w:rPr>
                <w:rFonts w:hint="eastAsia"/>
                <w:color w:val="auto"/>
                <w:sz w:val="24"/>
                <w:szCs w:val="24"/>
                <w:u w:val="none"/>
                <w:lang w:val="en-US" w:eastAsia="zh-CN"/>
              </w:rPr>
              <w:t>为施工</w:t>
            </w:r>
            <w:r>
              <w:rPr>
                <w:rFonts w:hint="default" w:ascii="Times New Roman" w:hAnsi="Times New Roman"/>
                <w:color w:val="auto"/>
                <w:spacing w:val="-2"/>
                <w:kern w:val="0"/>
                <w:sz w:val="24"/>
                <w:szCs w:val="24"/>
                <w:u w:val="none"/>
              </w:rPr>
              <w:t>废水</w:t>
            </w:r>
            <w:r>
              <w:rPr>
                <w:rFonts w:hint="eastAsia"/>
                <w:color w:val="auto"/>
                <w:spacing w:val="-2"/>
                <w:kern w:val="0"/>
                <w:sz w:val="24"/>
                <w:szCs w:val="24"/>
                <w:u w:val="none"/>
                <w:lang w:eastAsia="zh-CN"/>
              </w:rPr>
              <w:t>、</w:t>
            </w:r>
            <w:r>
              <w:rPr>
                <w:rFonts w:hint="eastAsia"/>
                <w:color w:val="auto"/>
                <w:spacing w:val="-2"/>
                <w:kern w:val="0"/>
                <w:sz w:val="24"/>
                <w:szCs w:val="24"/>
                <w:u w:val="none"/>
                <w:lang w:val="en-US" w:eastAsia="zh-CN"/>
              </w:rPr>
              <w:t>淤泥废水等</w:t>
            </w:r>
            <w:r>
              <w:rPr>
                <w:rFonts w:hint="default" w:ascii="Times New Roman" w:hAnsi="Times New Roman"/>
                <w:color w:val="auto"/>
                <w:spacing w:val="-2"/>
                <w:kern w:val="0"/>
                <w:sz w:val="24"/>
                <w:szCs w:val="24"/>
                <w:u w:val="none"/>
              </w:rPr>
              <w:t>。</w:t>
            </w:r>
          </w:p>
          <w:p w14:paraId="1173AA67">
            <w:pPr>
              <w:keepNext w:val="0"/>
              <w:keepLines w:val="0"/>
              <w:suppressLineNumbers w:val="0"/>
              <w:spacing w:before="0" w:beforeAutospacing="0" w:after="0" w:afterAutospacing="0" w:line="360" w:lineRule="auto"/>
              <w:ind w:left="0" w:right="0" w:firstLine="472" w:firstLineChars="200"/>
              <w:rPr>
                <w:rFonts w:hint="eastAsia" w:ascii="Times New Roman" w:hAnsi="Times New Roman"/>
                <w:color w:val="auto"/>
                <w:spacing w:val="-2"/>
                <w:kern w:val="0"/>
                <w:sz w:val="24"/>
                <w:szCs w:val="24"/>
                <w:u w:val="none"/>
                <w:lang w:val="en-US" w:eastAsia="zh-CN"/>
              </w:rPr>
            </w:pPr>
            <w:r>
              <w:rPr>
                <w:rFonts w:hint="eastAsia" w:ascii="Times New Roman" w:hAnsi="Times New Roman"/>
                <w:color w:val="auto"/>
                <w:spacing w:val="-2"/>
                <w:kern w:val="0"/>
                <w:sz w:val="24"/>
                <w:szCs w:val="24"/>
                <w:u w:val="none"/>
                <w:lang w:val="en-US" w:eastAsia="zh-CN"/>
              </w:rPr>
              <w:t>项目施工产生的废水主要有施工机械及车辆冲洗废水及跑、冒、滴、漏的油污、施工废水及泥浆水对周围水体的影响，本环评严禁项目施工生产废水直接排入周边地表水体。防治措施主要有：施工废水经沉淀池沉淀后回用于场地洒水抑尘，不外排；车辆冲洗废水经隔油池+沉淀池处理后回用</w:t>
            </w:r>
            <w:r>
              <w:rPr>
                <w:rFonts w:hint="eastAsia"/>
                <w:color w:val="auto"/>
                <w:spacing w:val="-2"/>
                <w:kern w:val="0"/>
                <w:sz w:val="24"/>
                <w:szCs w:val="24"/>
                <w:u w:val="none"/>
                <w:lang w:val="en-US" w:eastAsia="zh-CN"/>
              </w:rPr>
              <w:t>洗车及</w:t>
            </w:r>
            <w:r>
              <w:rPr>
                <w:rFonts w:hint="eastAsia" w:ascii="Times New Roman" w:hAnsi="Times New Roman"/>
                <w:color w:val="auto"/>
                <w:spacing w:val="-2"/>
                <w:kern w:val="0"/>
                <w:sz w:val="24"/>
                <w:szCs w:val="24"/>
                <w:u w:val="none"/>
                <w:lang w:val="en-US" w:eastAsia="zh-CN"/>
              </w:rPr>
              <w:t>场地洒水抑尘，不外排；施工场地应修建良好的排水系统，防止开挖的地表场地受雨水的冲刷，防止泥水与施工污水直接进入地表水体</w:t>
            </w:r>
            <w:r>
              <w:rPr>
                <w:rFonts w:hint="eastAsia"/>
                <w:color w:val="auto"/>
                <w:spacing w:val="-2"/>
                <w:kern w:val="0"/>
                <w:sz w:val="24"/>
                <w:szCs w:val="24"/>
                <w:u w:val="none"/>
                <w:lang w:val="en-US" w:eastAsia="zh-CN"/>
              </w:rPr>
              <w:t>。</w:t>
            </w:r>
          </w:p>
          <w:p w14:paraId="145CFF44">
            <w:pPr>
              <w:keepNext w:val="0"/>
              <w:keepLines w:val="0"/>
              <w:suppressLineNumbers w:val="0"/>
              <w:spacing w:before="0" w:beforeAutospacing="0" w:after="0" w:afterAutospacing="0" w:line="360" w:lineRule="auto"/>
              <w:ind w:left="0" w:right="0" w:firstLine="472" w:firstLineChars="200"/>
              <w:rPr>
                <w:rFonts w:hint="eastAsia"/>
                <w:color w:val="auto"/>
                <w:spacing w:val="-2"/>
                <w:kern w:val="0"/>
                <w:sz w:val="24"/>
                <w:szCs w:val="24"/>
                <w:u w:val="none"/>
                <w:lang w:val="en-US" w:eastAsia="zh-CN"/>
              </w:rPr>
            </w:pPr>
            <w:r>
              <w:rPr>
                <w:rFonts w:hint="eastAsia"/>
                <w:color w:val="auto"/>
                <w:spacing w:val="-2"/>
                <w:kern w:val="0"/>
                <w:sz w:val="24"/>
                <w:szCs w:val="24"/>
                <w:u w:val="none"/>
                <w:lang w:val="en-US" w:eastAsia="zh-CN"/>
              </w:rPr>
              <w:t>项目河道淤泥脱水后</w:t>
            </w:r>
            <w:r>
              <w:rPr>
                <w:rFonts w:hint="eastAsia"/>
                <w:color w:val="auto"/>
                <w:sz w:val="24"/>
                <w:u w:val="none"/>
                <w:lang w:val="en-US" w:eastAsia="zh-CN"/>
              </w:rPr>
              <w:t>产生的废水</w:t>
            </w:r>
            <w:r>
              <w:rPr>
                <w:rFonts w:hint="eastAsia"/>
                <w:color w:val="auto"/>
                <w:spacing w:val="-2"/>
                <w:kern w:val="0"/>
                <w:sz w:val="24"/>
                <w:szCs w:val="24"/>
                <w:u w:val="none"/>
                <w:lang w:val="en-US" w:eastAsia="zh-CN"/>
              </w:rPr>
              <w:t>经三级沉淀池→混凝沉淀（PAC+PAM）→活性炭吸附→清水池回用/达标排放，员工生活依托租赁民房，产生的废水经市政污水管网排放处理。</w:t>
            </w:r>
          </w:p>
          <w:p w14:paraId="222BB90E">
            <w:pPr>
              <w:keepNext w:val="0"/>
              <w:keepLines w:val="0"/>
              <w:suppressLineNumbers w:val="0"/>
              <w:spacing w:before="0" w:beforeAutospacing="0" w:after="0" w:afterAutospacing="0" w:line="360" w:lineRule="auto"/>
              <w:ind w:left="0" w:right="0" w:firstLine="480" w:firstLineChars="200"/>
              <w:rPr>
                <w:rFonts w:hint="eastAsia"/>
                <w:color w:val="auto"/>
                <w:spacing w:val="-2"/>
                <w:kern w:val="0"/>
                <w:sz w:val="24"/>
                <w:szCs w:val="24"/>
                <w:u w:val="none"/>
                <w:lang w:val="en-US" w:eastAsia="zh-CN"/>
              </w:rPr>
            </w:pPr>
            <w:r>
              <w:rPr>
                <w:rFonts w:hint="eastAsia"/>
                <w:color w:val="auto"/>
                <w:sz w:val="24"/>
                <w:u w:val="none"/>
                <w:lang w:val="en-US" w:eastAsia="zh-CN"/>
              </w:rPr>
              <w:t>施工结束后由施工方彻底挖除沉淀池，并用生石灰对迹地进行消毒处理</w:t>
            </w:r>
            <w:r>
              <w:rPr>
                <w:rFonts w:hint="eastAsia"/>
                <w:color w:val="auto"/>
                <w:spacing w:val="-2"/>
                <w:kern w:val="0"/>
                <w:sz w:val="24"/>
                <w:szCs w:val="24"/>
                <w:u w:val="none"/>
                <w:lang w:val="en-US" w:eastAsia="zh-CN"/>
              </w:rPr>
              <w:t>。营运期间无外排废水</w:t>
            </w:r>
          </w:p>
          <w:p w14:paraId="4073301C">
            <w:pPr>
              <w:keepNext w:val="0"/>
              <w:keepLines w:val="0"/>
              <w:suppressLineNumbers w:val="0"/>
              <w:spacing w:before="0" w:beforeAutospacing="0" w:after="0" w:afterAutospacing="0" w:line="360" w:lineRule="auto"/>
              <w:ind w:left="0" w:right="0" w:firstLine="480" w:firstLineChars="200"/>
              <w:rPr>
                <w:rFonts w:hint="eastAsia"/>
                <w:color w:val="auto"/>
                <w:sz w:val="24"/>
                <w:szCs w:val="24"/>
                <w:u w:val="none"/>
              </w:rPr>
            </w:pPr>
            <w:r>
              <w:rPr>
                <w:rFonts w:hint="eastAsia"/>
                <w:color w:val="auto"/>
                <w:sz w:val="24"/>
                <w:szCs w:val="24"/>
                <w:u w:val="none"/>
              </w:rPr>
              <w:t>综上所述，采取上述处理措施后，施工期废水对周围水环境的影响不大。</w:t>
            </w:r>
          </w:p>
          <w:p w14:paraId="4086E98B">
            <w:pPr>
              <w:pStyle w:val="23"/>
              <w:keepNext w:val="0"/>
              <w:keepLines w:val="0"/>
              <w:suppressLineNumbers w:val="0"/>
              <w:spacing w:before="0" w:beforeAutospacing="0" w:after="0" w:afterAutospacing="0" w:line="360" w:lineRule="auto"/>
              <w:ind w:left="0" w:right="0" w:firstLine="474" w:firstLineChars="200"/>
              <w:rPr>
                <w:rFonts w:hint="eastAsia" w:ascii="Times New Roman" w:hAnsi="Times New Roman"/>
                <w:b/>
                <w:bCs/>
                <w:color w:val="auto"/>
                <w:spacing w:val="-2"/>
                <w:kern w:val="0"/>
                <w:u w:val="none"/>
              </w:rPr>
            </w:pPr>
            <w:r>
              <w:rPr>
                <w:rFonts w:hint="eastAsia" w:ascii="Times New Roman" w:hAnsi="Times New Roman"/>
                <w:b/>
                <w:bCs/>
                <w:color w:val="auto"/>
                <w:spacing w:val="-2"/>
                <w:kern w:val="0"/>
                <w:u w:val="none"/>
                <w:lang w:val="en-US" w:eastAsia="zh-CN"/>
              </w:rPr>
              <w:t>2、</w:t>
            </w:r>
            <w:r>
              <w:rPr>
                <w:rFonts w:hint="eastAsia" w:ascii="Times New Roman" w:hAnsi="Times New Roman"/>
                <w:b/>
                <w:bCs/>
                <w:color w:val="auto"/>
                <w:spacing w:val="-2"/>
                <w:kern w:val="0"/>
                <w:u w:val="none"/>
              </w:rPr>
              <w:t>施工期</w:t>
            </w:r>
            <w:r>
              <w:rPr>
                <w:rFonts w:hint="eastAsia" w:ascii="Times New Roman" w:hAnsi="Times New Roman"/>
                <w:b/>
                <w:bCs/>
                <w:color w:val="auto"/>
                <w:spacing w:val="-2"/>
                <w:kern w:val="0"/>
                <w:u w:val="none"/>
                <w:lang w:val="en-US" w:eastAsia="zh-CN"/>
              </w:rPr>
              <w:t>大气环境保护</w:t>
            </w:r>
            <w:r>
              <w:rPr>
                <w:rFonts w:hint="eastAsia"/>
                <w:b/>
                <w:bCs/>
                <w:color w:val="auto"/>
                <w:sz w:val="24"/>
                <w:u w:val="none"/>
              </w:rPr>
              <w:t>措施</w:t>
            </w:r>
          </w:p>
          <w:p w14:paraId="2648CADE">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sz w:val="24"/>
                <w:szCs w:val="24"/>
                <w:u w:val="none"/>
              </w:rPr>
            </w:pPr>
            <w:r>
              <w:rPr>
                <w:rFonts w:hint="default" w:ascii="Times New Roman" w:hAnsi="Times New Roman"/>
                <w:color w:val="auto"/>
                <w:spacing w:val="-2"/>
                <w:kern w:val="0"/>
                <w:sz w:val="24"/>
                <w:szCs w:val="24"/>
                <w:u w:val="none"/>
              </w:rPr>
              <w:t>大气污染物主要来源于施工扬尘，施工机械、运输车辆排放的汽车尾气及淤泥产生恶臭。施工期扬尘的主要来源为现场堆放、建筑材料现场搬运及堆放、施工垃圾的清理及堆放和运输车辆造成的现场道路的扬尘。施工期间扬尘污染具有如下特点：流动性、瞬时性、无组织排放。此外，运输车辆的进出和施工机械运行中，都将产生地面扬尘和废气排放，使空气中CO、TSP及NO</w:t>
            </w:r>
            <w:r>
              <w:rPr>
                <w:rFonts w:hint="default" w:ascii="Times New Roman" w:hAnsi="Times New Roman"/>
                <w:color w:val="auto"/>
                <w:spacing w:val="-2"/>
                <w:kern w:val="0"/>
                <w:sz w:val="24"/>
                <w:szCs w:val="24"/>
                <w:u w:val="none"/>
                <w:vertAlign w:val="subscript"/>
              </w:rPr>
              <w:t>X</w:t>
            </w:r>
            <w:r>
              <w:rPr>
                <w:rFonts w:hint="default" w:ascii="Times New Roman" w:hAnsi="Times New Roman"/>
                <w:color w:val="auto"/>
                <w:spacing w:val="-2"/>
                <w:kern w:val="0"/>
                <w:sz w:val="24"/>
                <w:szCs w:val="24"/>
                <w:u w:val="none"/>
              </w:rPr>
              <w:t>浓度有所增加，但局限在施工现场周围邻近区域。在施工过程中，污染底泥在受到扰动和堆放过程中，会有少量恶臭气体产生，主要成分是H</w:t>
            </w:r>
            <w:r>
              <w:rPr>
                <w:rFonts w:hint="default" w:ascii="Times New Roman" w:hAnsi="Times New Roman"/>
                <w:color w:val="auto"/>
                <w:spacing w:val="-2"/>
                <w:kern w:val="0"/>
                <w:sz w:val="24"/>
                <w:szCs w:val="24"/>
                <w:u w:val="none"/>
                <w:vertAlign w:val="subscript"/>
              </w:rPr>
              <w:t>2</w:t>
            </w:r>
            <w:r>
              <w:rPr>
                <w:rFonts w:hint="default" w:ascii="Times New Roman" w:hAnsi="Times New Roman"/>
                <w:color w:val="auto"/>
                <w:spacing w:val="-2"/>
                <w:kern w:val="0"/>
                <w:sz w:val="24"/>
                <w:szCs w:val="24"/>
                <w:u w:val="none"/>
              </w:rPr>
              <w:t>S、NH</w:t>
            </w:r>
            <w:r>
              <w:rPr>
                <w:rFonts w:hint="default" w:ascii="Times New Roman" w:hAnsi="Times New Roman"/>
                <w:color w:val="auto"/>
                <w:spacing w:val="-2"/>
                <w:kern w:val="0"/>
                <w:sz w:val="24"/>
                <w:szCs w:val="24"/>
                <w:u w:val="none"/>
                <w:vertAlign w:val="subscript"/>
              </w:rPr>
              <w:t>3</w:t>
            </w:r>
            <w:r>
              <w:rPr>
                <w:rFonts w:hint="default" w:ascii="Times New Roman" w:hAnsi="Times New Roman"/>
                <w:color w:val="auto"/>
                <w:spacing w:val="-2"/>
                <w:kern w:val="0"/>
                <w:sz w:val="24"/>
                <w:szCs w:val="24"/>
                <w:u w:val="none"/>
              </w:rPr>
              <w:t>、臭气浓度等。根据类似疏浚工程实例，底泥疏挖过程中在岸边将会有较明显的臭味，10m之外基本无气味。本项目大气扩散条件较好，底泥产生的恶臭对周围环境影响不大</w:t>
            </w:r>
          </w:p>
          <w:p w14:paraId="45AF5503">
            <w:pPr>
              <w:pStyle w:val="23"/>
              <w:keepNext w:val="0"/>
              <w:keepLines w:val="0"/>
              <w:suppressLineNumbers w:val="0"/>
              <w:spacing w:before="0" w:beforeAutospacing="0" w:after="0" w:afterAutospacing="0" w:line="360" w:lineRule="auto"/>
              <w:ind w:left="0" w:right="0" w:firstLine="480" w:firstLineChars="200"/>
              <w:rPr>
                <w:rFonts w:hint="default" w:ascii="Times New Roman" w:hAnsi="Times New Roman"/>
                <w:color w:val="auto"/>
                <w:spacing w:val="-2"/>
                <w:kern w:val="0"/>
                <w:sz w:val="24"/>
                <w:szCs w:val="24"/>
                <w:u w:val="none"/>
              </w:rPr>
            </w:pPr>
            <w:r>
              <w:rPr>
                <w:rFonts w:hint="default" w:ascii="宋体" w:hAnsi="宋体" w:eastAsia="宋体" w:cs="宋体"/>
                <w:sz w:val="24"/>
                <w:szCs w:val="24"/>
              </w:rPr>
              <w:t>项目方在施工期采取的防治措施</w:t>
            </w:r>
            <w:r>
              <w:rPr>
                <w:rFonts w:hint="default" w:ascii="Times New Roman" w:hAnsi="Times New Roman"/>
                <w:color w:val="auto"/>
                <w:spacing w:val="-2"/>
                <w:kern w:val="0"/>
                <w:sz w:val="24"/>
                <w:szCs w:val="24"/>
                <w:u w:val="none"/>
              </w:rPr>
              <w:t>如下：</w:t>
            </w:r>
          </w:p>
          <w:p w14:paraId="71E70448">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sz w:val="24"/>
                <w:szCs w:val="24"/>
                <w:u w:val="none"/>
              </w:rPr>
            </w:pPr>
            <w:r>
              <w:rPr>
                <w:rFonts w:hint="default" w:ascii="Times New Roman" w:hAnsi="Times New Roman"/>
                <w:color w:val="auto"/>
                <w:spacing w:val="-2"/>
                <w:kern w:val="0"/>
                <w:sz w:val="24"/>
                <w:szCs w:val="24"/>
                <w:u w:val="none"/>
              </w:rPr>
              <w:t>①在开工前制定建筑施工现场扬尘污染防治责任制度和防治措施，达到国家规定的标准。</w:t>
            </w:r>
          </w:p>
          <w:p w14:paraId="5F67E786">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sz w:val="24"/>
                <w:szCs w:val="24"/>
                <w:u w:val="none"/>
              </w:rPr>
            </w:pPr>
            <w:r>
              <w:rPr>
                <w:rFonts w:hint="default" w:ascii="Times New Roman" w:hAnsi="Times New Roman"/>
                <w:color w:val="auto"/>
                <w:spacing w:val="-2"/>
                <w:kern w:val="0"/>
                <w:sz w:val="24"/>
                <w:szCs w:val="24"/>
                <w:u w:val="none"/>
              </w:rPr>
              <w:t>②施工场地要设置1.8m以上硬质连续围挡，围挡底端应设置防溢座，围挡之间以及围挡与防溢座之间无缝隙。</w:t>
            </w:r>
          </w:p>
          <w:p w14:paraId="41D310A1">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sz w:val="24"/>
                <w:szCs w:val="24"/>
                <w:u w:val="none"/>
              </w:rPr>
            </w:pPr>
            <w:r>
              <w:rPr>
                <w:rFonts w:hint="default" w:ascii="Times New Roman" w:hAnsi="Times New Roman"/>
                <w:color w:val="auto"/>
                <w:spacing w:val="-2"/>
                <w:kern w:val="0"/>
                <w:sz w:val="24"/>
                <w:szCs w:val="24"/>
                <w:u w:val="none"/>
              </w:rPr>
              <w:t>③在施工场地安排专人定期对路面和施工场区洒水，保持下垫面和空气湿润，减少起尘量，洒水频率视天气情况调整，原则上晴天每天不少于4次，若遇大风或干燥天气应适当增加洒水次数；指定专人清扫工地路面。</w:t>
            </w:r>
          </w:p>
          <w:p w14:paraId="02F7C3E5">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sz w:val="24"/>
                <w:szCs w:val="24"/>
                <w:u w:val="none"/>
              </w:rPr>
            </w:pPr>
            <w:r>
              <w:rPr>
                <w:rFonts w:hint="default" w:ascii="Times New Roman" w:hAnsi="Times New Roman"/>
                <w:color w:val="auto"/>
                <w:spacing w:val="-2"/>
                <w:kern w:val="0"/>
                <w:sz w:val="24"/>
                <w:szCs w:val="24"/>
                <w:u w:val="none"/>
              </w:rPr>
              <w:t>④强化施工工地环境管理。禁止使用袋装水泥和现场搅拌混凝土、砂浆，施工过程中使用的商品混凝土均为外购；基坑开挖前必须设置规范化的车辆冲洗设施，开挖、运输和填筑土方作业要辅以洒水压尘；坚持文明装卸，装卸渣土严禁凌空抛撒；水泥和其它易飞扬的细颗粒建筑材料应密闭存放；对其它场地进行覆盖；场地内的生活垃圾必须密闭存放，并及时分检、清运；竣工后要及时清理和平整场地。</w:t>
            </w:r>
          </w:p>
          <w:p w14:paraId="2A92A033">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sz w:val="24"/>
                <w:szCs w:val="24"/>
                <w:u w:val="none"/>
              </w:rPr>
            </w:pPr>
            <w:r>
              <w:rPr>
                <w:rFonts w:hint="default" w:ascii="Times New Roman" w:hAnsi="Times New Roman"/>
                <w:color w:val="auto"/>
                <w:spacing w:val="-2"/>
                <w:kern w:val="0"/>
                <w:sz w:val="24"/>
                <w:szCs w:val="24"/>
                <w:u w:val="none"/>
              </w:rPr>
              <w:t>⑤加强运输管理，严禁未采取密闭措施或者其它防护措施的施工垃圾（废弃土石方）、散装货物运输车辆上路行驶。所有来往施工场地的多尘物料均应用帆布覆盖；散装货车不得超高超载，以免车辆颠簸物料洒出；土方和施工垃圾应采用密闭式车辆运输，严禁沿途遗撒，运输施工垃圾应当随车携带处置核准证件，按照规定的运输路线、时间运行；运输车辆进入施工场地低速行驶，或限速行驶。</w:t>
            </w:r>
          </w:p>
          <w:p w14:paraId="5A1E4052">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sz w:val="24"/>
                <w:szCs w:val="24"/>
                <w:u w:val="none"/>
              </w:rPr>
            </w:pPr>
            <w:r>
              <w:rPr>
                <w:rFonts w:hint="default" w:ascii="Times New Roman" w:hAnsi="Times New Roman"/>
                <w:color w:val="auto"/>
                <w:spacing w:val="-2"/>
                <w:kern w:val="0"/>
                <w:sz w:val="24"/>
                <w:szCs w:val="24"/>
                <w:u w:val="none"/>
              </w:rPr>
              <w:t>⑥施工期还应备齐防止暴雨的挡护设备如盖网、苫布或草帘等，在暴雨来临前覆盖施工作业破坏面，可极大地防止水土流失；备齐大风的挡护设备，在大风天气可有效防止施工现场起尘污染；4级以上大风天气，不得进行土方回填、转运以及拆除作业和其他可能产生扬尘污染的施工，并对施工场地做好遮掩工作。</w:t>
            </w:r>
          </w:p>
          <w:p w14:paraId="501480AB">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sz w:val="24"/>
                <w:szCs w:val="24"/>
                <w:u w:val="none"/>
              </w:rPr>
            </w:pPr>
            <w:r>
              <w:rPr>
                <w:rFonts w:hint="default" w:ascii="Times New Roman" w:hAnsi="Times New Roman"/>
                <w:color w:val="auto"/>
                <w:spacing w:val="-2"/>
                <w:kern w:val="0"/>
                <w:sz w:val="24"/>
                <w:szCs w:val="24"/>
                <w:u w:val="none"/>
              </w:rPr>
              <w:t>⑦施工现场要做到物料堆放覆盖、土方开挖湿法作业、渣土运输车密闭运输；实行分段施工等。施工过程中大型车辆和施工机械会有一定量的尾气排放。施工单位所有施工机械和车辆拟配置尾气处理设备，施工机械和车辆处理后尾气经稀释后各项环保指标符合尾气排放要求。</w:t>
            </w:r>
          </w:p>
          <w:p w14:paraId="15204E98">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sz w:val="24"/>
                <w:szCs w:val="24"/>
                <w:u w:val="none"/>
              </w:rPr>
            </w:pPr>
            <w:r>
              <w:rPr>
                <w:rFonts w:hint="default" w:ascii="Times New Roman" w:hAnsi="Times New Roman"/>
                <w:color w:val="auto"/>
                <w:spacing w:val="-2"/>
                <w:kern w:val="0"/>
                <w:sz w:val="24"/>
                <w:szCs w:val="24"/>
                <w:u w:val="none"/>
              </w:rPr>
              <w:t>⑧严格执行建筑施工扬尘污染防治“8个100%”抑尘措施（建筑施工100%围挡、路面硬化100%、洒水抑尘100%、裸土覆盖100%、进出车辆100%清洗、渣土实施100%密闭运输、建筑垃圾100%规范管理、工程机械尾气排放100%达标）。</w:t>
            </w:r>
          </w:p>
          <w:p w14:paraId="29B63320">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sz w:val="24"/>
                <w:szCs w:val="24"/>
                <w:u w:val="none"/>
              </w:rPr>
            </w:pPr>
            <w:r>
              <w:rPr>
                <w:rFonts w:hint="eastAsia" w:ascii="Times New Roman" w:hAnsi="Times New Roman"/>
                <w:color w:val="auto"/>
                <w:spacing w:val="-2"/>
                <w:kern w:val="0"/>
                <w:sz w:val="24"/>
                <w:szCs w:val="24"/>
                <w:u w:val="none"/>
                <w:lang w:val="en-US" w:eastAsia="zh-CN"/>
              </w:rPr>
              <w:t>⑨淤泥</w:t>
            </w:r>
            <w:r>
              <w:rPr>
                <w:rFonts w:hint="default" w:ascii="Times New Roman" w:hAnsi="Times New Roman"/>
                <w:color w:val="auto"/>
                <w:spacing w:val="-2"/>
                <w:kern w:val="0"/>
                <w:sz w:val="24"/>
                <w:szCs w:val="24"/>
                <w:u w:val="none"/>
              </w:rPr>
              <w:t>恶臭</w:t>
            </w:r>
          </w:p>
          <w:p w14:paraId="34CB7660">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sz w:val="24"/>
                <w:szCs w:val="24"/>
                <w:highlight w:val="none"/>
                <w:u w:val="none"/>
              </w:rPr>
            </w:pPr>
            <w:r>
              <w:rPr>
                <w:rFonts w:hint="default" w:ascii="Times New Roman" w:hAnsi="Times New Roman"/>
                <w:color w:val="auto"/>
                <w:spacing w:val="-2"/>
                <w:kern w:val="0"/>
                <w:sz w:val="24"/>
                <w:szCs w:val="24"/>
                <w:highlight w:val="none"/>
                <w:u w:val="none"/>
              </w:rPr>
              <w:t>为避免清淤时可能产生的臭气对周围环境和敏感目标的影响，</w:t>
            </w:r>
            <w:r>
              <w:rPr>
                <w:rFonts w:hint="default" w:ascii="宋体" w:hAnsi="宋体" w:eastAsia="宋体" w:cs="宋体"/>
                <w:sz w:val="24"/>
                <w:szCs w:val="24"/>
              </w:rPr>
              <w:t>河道底泥清淤工作开始前时施工单位必须提前告知附近居民关闭窗户</w:t>
            </w:r>
            <w:r>
              <w:rPr>
                <w:rFonts w:hint="eastAsia" w:cs="宋体"/>
                <w:sz w:val="24"/>
                <w:szCs w:val="24"/>
                <w:lang w:eastAsia="zh-CN"/>
              </w:rPr>
              <w:t>，</w:t>
            </w:r>
            <w:r>
              <w:rPr>
                <w:rFonts w:hint="default" w:ascii="Times New Roman" w:hAnsi="Times New Roman"/>
                <w:color w:val="auto"/>
                <w:spacing w:val="-2"/>
                <w:kern w:val="0"/>
                <w:sz w:val="24"/>
                <w:szCs w:val="24"/>
                <w:highlight w:val="none"/>
                <w:u w:val="none"/>
              </w:rPr>
              <w:t>施工过程中通过强化清淤作业管理，保证清淤设备运行稳定，可减少清淤过程臭气的产生。如发现部分清淤点有明显臭气产生时，加强对施工工人的保护、投加除臭剂，把受影响人群降至最少。保持运输车辆清洁后上路，减少运输过程污泥臭气对运输道路沿线环境的影响。</w:t>
            </w:r>
          </w:p>
          <w:p w14:paraId="448670E4">
            <w:pPr>
              <w:pStyle w:val="23"/>
              <w:keepNext w:val="0"/>
              <w:keepLines w:val="0"/>
              <w:suppressLineNumbers w:val="0"/>
              <w:spacing w:before="0" w:beforeAutospacing="0" w:after="0" w:afterAutospacing="0" w:line="360" w:lineRule="auto"/>
              <w:ind w:left="0" w:right="0" w:firstLine="480" w:firstLineChars="200"/>
              <w:rPr>
                <w:rFonts w:hint="default" w:ascii="Times New Roman" w:hAnsi="Times New Roman"/>
                <w:color w:val="auto"/>
                <w:spacing w:val="-2"/>
                <w:kern w:val="0"/>
                <w:sz w:val="24"/>
                <w:szCs w:val="24"/>
                <w:highlight w:val="none"/>
                <w:u w:val="none"/>
              </w:rPr>
            </w:pPr>
            <w:r>
              <w:rPr>
                <w:rFonts w:hint="default" w:ascii="宋体" w:hAnsi="宋体" w:eastAsia="宋体" w:cs="宋体"/>
                <w:sz w:val="24"/>
                <w:szCs w:val="24"/>
              </w:rPr>
              <w:t>项目方采取相应措施后，施工期大气污染物对周围大气环境的影响较小，项目所在区域的大气环境仍能满足二类功能区的要求。</w:t>
            </w:r>
          </w:p>
          <w:p w14:paraId="514D509B">
            <w:pPr>
              <w:pStyle w:val="23"/>
              <w:keepNext w:val="0"/>
              <w:keepLines w:val="0"/>
              <w:suppressLineNumbers w:val="0"/>
              <w:spacing w:before="0" w:beforeAutospacing="0" w:after="0" w:afterAutospacing="0" w:line="360" w:lineRule="auto"/>
              <w:ind w:left="0" w:right="0" w:firstLine="474" w:firstLineChars="200"/>
              <w:rPr>
                <w:rFonts w:hint="default" w:ascii="Times New Roman" w:hAnsi="Times New Roman"/>
                <w:b/>
                <w:bCs/>
                <w:color w:val="auto"/>
                <w:spacing w:val="-2"/>
                <w:kern w:val="0"/>
                <w:u w:val="none"/>
              </w:rPr>
            </w:pPr>
            <w:r>
              <w:rPr>
                <w:rFonts w:hint="eastAsia" w:ascii="Times New Roman" w:hAnsi="Times New Roman"/>
                <w:b/>
                <w:bCs/>
                <w:color w:val="auto"/>
                <w:spacing w:val="-2"/>
                <w:kern w:val="0"/>
                <w:u w:val="none"/>
                <w:lang w:val="en-US" w:eastAsia="zh-CN"/>
              </w:rPr>
              <w:t>3、</w:t>
            </w:r>
            <w:r>
              <w:rPr>
                <w:rFonts w:hint="eastAsia" w:ascii="Times New Roman" w:hAnsi="Times New Roman"/>
                <w:b/>
                <w:bCs/>
                <w:color w:val="auto"/>
                <w:spacing w:val="-2"/>
                <w:kern w:val="0"/>
                <w:u w:val="none"/>
              </w:rPr>
              <w:t>施工期</w:t>
            </w:r>
            <w:r>
              <w:rPr>
                <w:rFonts w:hint="eastAsia" w:ascii="Times New Roman" w:hAnsi="Times New Roman"/>
                <w:b/>
                <w:bCs/>
                <w:color w:val="auto"/>
                <w:spacing w:val="-2"/>
                <w:kern w:val="0"/>
                <w:u w:val="none"/>
                <w:lang w:val="en-US" w:eastAsia="zh-CN"/>
              </w:rPr>
              <w:t>声环境保护</w:t>
            </w:r>
            <w:r>
              <w:rPr>
                <w:rFonts w:hint="eastAsia" w:ascii="Times New Roman" w:hAnsi="Times New Roman"/>
                <w:b/>
                <w:bCs/>
                <w:color w:val="auto"/>
                <w:spacing w:val="-2"/>
                <w:kern w:val="0"/>
                <w:u w:val="none"/>
              </w:rPr>
              <w:t>措施</w:t>
            </w:r>
          </w:p>
          <w:p w14:paraId="6F8ECD1A">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none"/>
              </w:rPr>
            </w:pPr>
            <w:r>
              <w:rPr>
                <w:rFonts w:hint="default" w:ascii="Times New Roman" w:hAnsi="Times New Roman"/>
                <w:color w:val="auto"/>
                <w:spacing w:val="-2"/>
                <w:kern w:val="0"/>
                <w:u w:val="none"/>
              </w:rPr>
              <w:t>本项目施工期噪声主要来源于施工开挖、施工机械设备及运输车辆运行过程。由于施工场地内设备位置不断变换，且设备运行数量会有波动，因此很难准确的预测施工场地各厂界的噪声值。因此，施工期需要做好噪声污染防治措施，且需加强施工期对敏感目标的防治措施，本次环评建议项目施工期采取如下防治措施：</w:t>
            </w:r>
          </w:p>
          <w:p w14:paraId="54FEC959">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none"/>
              </w:rPr>
            </w:pPr>
            <w:r>
              <w:rPr>
                <w:rFonts w:hint="default" w:ascii="Times New Roman" w:hAnsi="Times New Roman"/>
                <w:color w:val="auto"/>
                <w:spacing w:val="-2"/>
                <w:kern w:val="0"/>
                <w:u w:val="none"/>
              </w:rPr>
              <w:t>（1）施工期严格执行《建筑施工场界环境噪声排放标准》(GB12523-2011)有关规定。从源头控制噪声级，尽量采用低噪声设备，且采用消音、隔音等降噪措施；对动力机械设备进行定期保养和维护，避免由于设备故障而导致噪声增强现象的发生；及时关闭闲置设备。</w:t>
            </w:r>
          </w:p>
          <w:p w14:paraId="207BA5BB">
            <w:pPr>
              <w:pStyle w:val="23"/>
              <w:keepNext w:val="0"/>
              <w:keepLines w:val="0"/>
              <w:suppressLineNumbers w:val="0"/>
              <w:spacing w:before="0" w:beforeAutospacing="0" w:after="0" w:afterAutospacing="0" w:line="360" w:lineRule="auto"/>
              <w:ind w:left="0" w:right="0" w:firstLine="472" w:firstLineChars="200"/>
              <w:rPr>
                <w:rFonts w:hint="eastAsia" w:ascii="Times New Roman" w:hAnsi="Times New Roman" w:eastAsia="宋体"/>
                <w:color w:val="auto"/>
                <w:spacing w:val="-2"/>
                <w:kern w:val="0"/>
                <w:u w:val="none"/>
                <w:lang w:eastAsia="zh-CN"/>
              </w:rPr>
            </w:pPr>
            <w:r>
              <w:rPr>
                <w:rFonts w:hint="eastAsia" w:ascii="Times New Roman" w:hAnsi="Times New Roman"/>
                <w:color w:val="auto"/>
                <w:spacing w:val="-2"/>
                <w:kern w:val="0"/>
                <w:u w:val="none"/>
                <w:lang w:eastAsia="zh-CN"/>
              </w:rPr>
              <w:t>（</w:t>
            </w:r>
            <w:r>
              <w:rPr>
                <w:rFonts w:hint="eastAsia" w:ascii="Times New Roman" w:hAnsi="Times New Roman"/>
                <w:color w:val="auto"/>
                <w:spacing w:val="-2"/>
                <w:kern w:val="0"/>
                <w:u w:val="none"/>
                <w:lang w:val="en-US" w:eastAsia="zh-CN"/>
              </w:rPr>
              <w:t>2</w:t>
            </w:r>
            <w:r>
              <w:rPr>
                <w:rFonts w:hint="eastAsia" w:ascii="Times New Roman" w:hAnsi="Times New Roman"/>
                <w:color w:val="auto"/>
                <w:spacing w:val="-2"/>
                <w:kern w:val="0"/>
                <w:u w:val="none"/>
                <w:lang w:eastAsia="zh-CN"/>
              </w:rPr>
              <w:t>）合理安排施工现场，将高噪声设备布置在尽量远离敏感目标的位置；且控制同时作业的高噪声设备的数量，避免局部声级过高；并施工场地周边设置隔声屏障、围挡等。鉴于本项目工程施工区域呈线状，要求建设单位预留200m以上的移动隔声屏障备用，移动隔声屏障的降噪效果约为15-20dB(A)左右。</w:t>
            </w:r>
          </w:p>
          <w:p w14:paraId="6DE0083E">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none"/>
              </w:rPr>
            </w:pPr>
            <w:r>
              <w:rPr>
                <w:rFonts w:hint="eastAsia" w:ascii="Times New Roman" w:hAnsi="Times New Roman"/>
                <w:color w:val="auto"/>
                <w:spacing w:val="-2"/>
                <w:kern w:val="0"/>
                <w:u w:val="none"/>
                <w:lang w:eastAsia="zh-CN"/>
              </w:rPr>
              <w:t>（</w:t>
            </w:r>
            <w:r>
              <w:rPr>
                <w:rFonts w:hint="eastAsia" w:ascii="Times New Roman" w:hAnsi="Times New Roman"/>
                <w:color w:val="auto"/>
                <w:spacing w:val="-2"/>
                <w:kern w:val="0"/>
                <w:u w:val="none"/>
                <w:lang w:val="en-US" w:eastAsia="zh-CN"/>
              </w:rPr>
              <w:t>3</w:t>
            </w:r>
            <w:r>
              <w:rPr>
                <w:rFonts w:hint="eastAsia" w:ascii="Times New Roman" w:hAnsi="Times New Roman"/>
                <w:color w:val="auto"/>
                <w:spacing w:val="-2"/>
                <w:kern w:val="0"/>
                <w:u w:val="none"/>
                <w:lang w:eastAsia="zh-CN"/>
              </w:rPr>
              <w:t>）</w:t>
            </w:r>
            <w:r>
              <w:rPr>
                <w:rFonts w:hint="default" w:ascii="Times New Roman" w:hAnsi="Times New Roman"/>
                <w:color w:val="auto"/>
                <w:spacing w:val="-2"/>
                <w:kern w:val="0"/>
                <w:u w:val="none"/>
              </w:rPr>
              <w:t>合理安排施工时间，施工时间尽量安排在昼间</w:t>
            </w:r>
            <w:r>
              <w:rPr>
                <w:rFonts w:hint="eastAsia" w:ascii="Times New Roman" w:hAnsi="Times New Roman"/>
                <w:color w:val="auto"/>
                <w:spacing w:val="-2"/>
                <w:kern w:val="0"/>
                <w:u w:val="none"/>
                <w:lang w:eastAsia="zh-CN"/>
              </w:rPr>
              <w:t>（</w:t>
            </w:r>
            <w:r>
              <w:rPr>
                <w:rFonts w:hint="default" w:ascii="Times New Roman" w:hAnsi="Times New Roman"/>
                <w:color w:val="auto"/>
                <w:spacing w:val="-2"/>
                <w:kern w:val="0"/>
                <w:u w:val="none"/>
              </w:rPr>
              <w:t>8:00-12:00，14:00-22:00，午休时间段禁止施工</w:t>
            </w:r>
            <w:r>
              <w:rPr>
                <w:rFonts w:hint="eastAsia" w:ascii="Times New Roman" w:hAnsi="Times New Roman"/>
                <w:color w:val="auto"/>
                <w:spacing w:val="-2"/>
                <w:kern w:val="0"/>
                <w:u w:val="none"/>
                <w:lang w:eastAsia="zh-CN"/>
              </w:rPr>
              <w:t>）</w:t>
            </w:r>
            <w:r>
              <w:rPr>
                <w:rFonts w:hint="default" w:ascii="Times New Roman" w:hAnsi="Times New Roman"/>
                <w:color w:val="auto"/>
                <w:spacing w:val="-2"/>
                <w:kern w:val="0"/>
                <w:u w:val="none"/>
              </w:rPr>
              <w:t>作业或对各种施工机械作业时间加以适当调整；禁止夜间施工，如须夜间施工，必须取得环保部门的批准</w:t>
            </w:r>
            <w:r>
              <w:rPr>
                <w:rFonts w:hint="eastAsia" w:ascii="Times New Roman" w:hAnsi="Times New Roman"/>
                <w:color w:val="auto"/>
                <w:spacing w:val="-2"/>
                <w:kern w:val="0"/>
                <w:u w:val="none"/>
                <w:lang w:val="en-US" w:eastAsia="zh-CN"/>
              </w:rPr>
              <w:t>同时</w:t>
            </w:r>
            <w:r>
              <w:rPr>
                <w:rFonts w:hint="default" w:ascii="Times New Roman" w:hAnsi="Times New Roman"/>
                <w:color w:val="auto"/>
                <w:spacing w:val="-2"/>
                <w:kern w:val="0"/>
                <w:u w:val="none"/>
              </w:rPr>
              <w:t>提前张贴安民告示，取得周边人群的谅解；临学校路段应尽量安排在假期或周末进行施工。</w:t>
            </w:r>
          </w:p>
          <w:p w14:paraId="3575D660">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none"/>
              </w:rPr>
            </w:pPr>
            <w:r>
              <w:rPr>
                <w:rFonts w:hint="eastAsia" w:ascii="Times New Roman" w:hAnsi="Times New Roman"/>
                <w:color w:val="auto"/>
                <w:spacing w:val="-2"/>
                <w:kern w:val="0"/>
                <w:u w:val="none"/>
                <w:lang w:eastAsia="zh-CN"/>
              </w:rPr>
              <w:t>（</w:t>
            </w:r>
            <w:r>
              <w:rPr>
                <w:rFonts w:hint="eastAsia" w:ascii="Times New Roman" w:hAnsi="Times New Roman"/>
                <w:color w:val="auto"/>
                <w:spacing w:val="-2"/>
                <w:kern w:val="0"/>
                <w:u w:val="none"/>
                <w:lang w:val="en-US" w:eastAsia="zh-CN"/>
              </w:rPr>
              <w:t>4</w:t>
            </w:r>
            <w:r>
              <w:rPr>
                <w:rFonts w:hint="eastAsia" w:ascii="Times New Roman" w:hAnsi="Times New Roman"/>
                <w:color w:val="auto"/>
                <w:spacing w:val="-2"/>
                <w:kern w:val="0"/>
                <w:u w:val="none"/>
                <w:lang w:eastAsia="zh-CN"/>
              </w:rPr>
              <w:t>）</w:t>
            </w:r>
            <w:r>
              <w:rPr>
                <w:rFonts w:hint="default" w:ascii="Times New Roman" w:hAnsi="Times New Roman"/>
                <w:color w:val="auto"/>
                <w:spacing w:val="-2"/>
                <w:kern w:val="0"/>
                <w:u w:val="none"/>
              </w:rPr>
              <w:t>加强施工期管理，对于施工敲击及喊叫等施工声源，要求施工队通过文明施工、加强有效管理加以缓解；避免夜间</w:t>
            </w:r>
            <w:r>
              <w:rPr>
                <w:rFonts w:hint="eastAsia" w:ascii="Times New Roman" w:hAnsi="Times New Roman"/>
                <w:color w:val="auto"/>
                <w:spacing w:val="-2"/>
                <w:kern w:val="0"/>
                <w:u w:val="none"/>
                <w:lang w:eastAsia="zh-CN"/>
              </w:rPr>
              <w:t>（</w:t>
            </w:r>
            <w:r>
              <w:rPr>
                <w:rFonts w:hint="default" w:ascii="Times New Roman" w:hAnsi="Times New Roman"/>
                <w:color w:val="auto"/>
                <w:spacing w:val="-2"/>
                <w:kern w:val="0"/>
                <w:u w:val="none"/>
              </w:rPr>
              <w:t>22:00-次日08:00</w:t>
            </w:r>
            <w:r>
              <w:rPr>
                <w:rFonts w:hint="eastAsia" w:ascii="Times New Roman" w:hAnsi="Times New Roman"/>
                <w:color w:val="auto"/>
                <w:spacing w:val="-2"/>
                <w:kern w:val="0"/>
                <w:u w:val="none"/>
                <w:lang w:eastAsia="zh-CN"/>
              </w:rPr>
              <w:t>）</w:t>
            </w:r>
            <w:r>
              <w:rPr>
                <w:rFonts w:hint="default" w:ascii="Times New Roman" w:hAnsi="Times New Roman"/>
                <w:color w:val="auto"/>
                <w:spacing w:val="-2"/>
                <w:kern w:val="0"/>
                <w:u w:val="none"/>
              </w:rPr>
              <w:t>进行物料运输，减少夜间交通噪声影响，并减速慢行、禁止鸣笛；合理规划行车路线，避免运输车辆经过人口密集区、学校等特殊敏感点，降低施工车辆交通噪声对人群的影响。</w:t>
            </w:r>
          </w:p>
          <w:p w14:paraId="57552039">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none"/>
              </w:rPr>
            </w:pPr>
            <w:r>
              <w:rPr>
                <w:rFonts w:hint="default" w:ascii="Times New Roman" w:hAnsi="Times New Roman"/>
                <w:color w:val="auto"/>
                <w:spacing w:val="-2"/>
                <w:kern w:val="0"/>
                <w:u w:val="none"/>
              </w:rPr>
              <w:t>本项目施工期在加强施工期间的施工管理；合理安排施工进度和时间；环保施工、文明施工；并因地制宜地制定有效的临时性工程降噪措施（如施工时设置护围等措施）后，可将施工期噪声的影响降低到最小程度。因此，本次评价认为上述降噪措施可行。</w:t>
            </w:r>
          </w:p>
          <w:p w14:paraId="7AED464D">
            <w:pPr>
              <w:pStyle w:val="23"/>
              <w:keepNext w:val="0"/>
              <w:keepLines w:val="0"/>
              <w:suppressLineNumbers w:val="0"/>
              <w:spacing w:before="0" w:beforeAutospacing="0" w:after="0" w:afterAutospacing="0" w:line="360" w:lineRule="auto"/>
              <w:ind w:left="0" w:right="0" w:firstLine="474" w:firstLineChars="200"/>
              <w:rPr>
                <w:rFonts w:hint="default" w:ascii="Times New Roman" w:hAnsi="Times New Roman"/>
                <w:b/>
                <w:bCs/>
                <w:color w:val="auto"/>
                <w:spacing w:val="-2"/>
                <w:kern w:val="0"/>
                <w:u w:val="none"/>
              </w:rPr>
            </w:pPr>
            <w:r>
              <w:rPr>
                <w:rFonts w:hint="eastAsia" w:ascii="Times New Roman" w:hAnsi="Times New Roman"/>
                <w:b/>
                <w:bCs/>
                <w:color w:val="auto"/>
                <w:spacing w:val="-2"/>
                <w:kern w:val="0"/>
                <w:u w:val="none"/>
                <w:lang w:val="en-US" w:eastAsia="zh-CN"/>
              </w:rPr>
              <w:t>4、</w:t>
            </w:r>
            <w:r>
              <w:rPr>
                <w:rFonts w:hint="eastAsia" w:ascii="Times New Roman" w:hAnsi="Times New Roman"/>
                <w:b/>
                <w:bCs/>
                <w:color w:val="auto"/>
                <w:spacing w:val="-2"/>
                <w:kern w:val="0"/>
                <w:u w:val="none"/>
              </w:rPr>
              <w:t>施工期</w:t>
            </w:r>
            <w:r>
              <w:rPr>
                <w:rFonts w:hint="eastAsia" w:ascii="Times New Roman" w:hAnsi="Times New Roman"/>
                <w:b/>
                <w:bCs/>
                <w:color w:val="auto"/>
                <w:spacing w:val="-2"/>
                <w:kern w:val="0"/>
                <w:u w:val="none"/>
                <w:lang w:val="en-US" w:eastAsia="zh-CN"/>
              </w:rPr>
              <w:t>固体废物保护</w:t>
            </w:r>
            <w:r>
              <w:rPr>
                <w:rFonts w:hint="eastAsia" w:ascii="Times New Roman" w:hAnsi="Times New Roman"/>
                <w:b/>
                <w:bCs/>
                <w:color w:val="auto"/>
                <w:spacing w:val="-2"/>
                <w:kern w:val="0"/>
                <w:u w:val="none"/>
              </w:rPr>
              <w:t>措施</w:t>
            </w:r>
          </w:p>
          <w:p w14:paraId="1AB16E19">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none"/>
              </w:rPr>
            </w:pPr>
            <w:r>
              <w:rPr>
                <w:rFonts w:hint="default" w:ascii="Times New Roman" w:hAnsi="Times New Roman"/>
                <w:color w:val="auto"/>
                <w:spacing w:val="-2"/>
                <w:kern w:val="0"/>
                <w:u w:val="none"/>
              </w:rPr>
              <w:t>施工期固体废物主要为清淤过程中产生的清淤垃圾、淤泥</w:t>
            </w:r>
            <w:r>
              <w:rPr>
                <w:rFonts w:hint="eastAsia" w:ascii="Times New Roman" w:hAnsi="Times New Roman"/>
                <w:color w:val="auto"/>
                <w:spacing w:val="-2"/>
                <w:kern w:val="0"/>
                <w:u w:val="none"/>
                <w:lang w:eastAsia="zh-CN"/>
              </w:rPr>
              <w:t>，</w:t>
            </w:r>
            <w:r>
              <w:rPr>
                <w:rFonts w:hint="default" w:ascii="Times New Roman" w:hAnsi="Times New Roman"/>
                <w:color w:val="auto"/>
                <w:spacing w:val="-2"/>
                <w:kern w:val="0"/>
                <w:u w:val="none"/>
              </w:rPr>
              <w:t>管沟</w:t>
            </w:r>
            <w:r>
              <w:rPr>
                <w:rFonts w:hint="eastAsia" w:ascii="Times New Roman" w:hAnsi="Times New Roman"/>
                <w:color w:val="auto"/>
                <w:spacing w:val="-2"/>
                <w:kern w:val="0"/>
                <w:u w:val="none"/>
                <w:lang w:val="en-US" w:eastAsia="zh-CN"/>
              </w:rPr>
              <w:t>等</w:t>
            </w:r>
            <w:r>
              <w:rPr>
                <w:rFonts w:hint="default" w:ascii="Times New Roman" w:hAnsi="Times New Roman"/>
                <w:color w:val="auto"/>
                <w:spacing w:val="-2"/>
                <w:kern w:val="0"/>
                <w:u w:val="none"/>
              </w:rPr>
              <w:t>工程中产生的建筑垃圾以及施工人员的生活垃圾。</w:t>
            </w:r>
          </w:p>
          <w:p w14:paraId="1CE452AE">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none"/>
              </w:rPr>
            </w:pPr>
            <w:r>
              <w:rPr>
                <w:rFonts w:hint="default" w:ascii="Times New Roman" w:hAnsi="Times New Roman"/>
                <w:color w:val="auto"/>
                <w:spacing w:val="-2"/>
                <w:kern w:val="0"/>
                <w:u w:val="none"/>
              </w:rPr>
              <w:t>清淤前需清除漂浮的生活垃圾或杂草，并交由环卫部门送生活垃圾填埋场处置。本项目施工中混凝土路面拆除弃渣，项目施工过程中片石下脚料</w:t>
            </w:r>
            <w:r>
              <w:rPr>
                <w:rFonts w:hint="eastAsia" w:ascii="Times New Roman" w:hAnsi="Times New Roman"/>
                <w:color w:val="auto"/>
                <w:spacing w:val="-2"/>
                <w:kern w:val="0"/>
                <w:u w:val="none"/>
                <w:lang w:val="en-US" w:eastAsia="zh-CN"/>
              </w:rPr>
              <w:t>等</w:t>
            </w:r>
            <w:r>
              <w:rPr>
                <w:rFonts w:hint="default" w:ascii="Times New Roman" w:hAnsi="Times New Roman"/>
                <w:color w:val="auto"/>
                <w:spacing w:val="-2"/>
                <w:kern w:val="0"/>
                <w:u w:val="none"/>
              </w:rPr>
              <w:t>废渣</w:t>
            </w:r>
            <w:r>
              <w:rPr>
                <w:rFonts w:hint="eastAsia" w:ascii="Times New Roman" w:hAnsi="Times New Roman"/>
                <w:color w:val="auto"/>
                <w:spacing w:val="-2"/>
                <w:kern w:val="0"/>
                <w:u w:val="none"/>
                <w:lang w:val="en-US" w:eastAsia="zh-CN"/>
              </w:rPr>
              <w:t>送至临湘市</w:t>
            </w:r>
            <w:r>
              <w:rPr>
                <w:rFonts w:hint="default" w:ascii="Times New Roman" w:hAnsi="Times New Roman"/>
                <w:color w:val="auto"/>
                <w:spacing w:val="-2"/>
                <w:kern w:val="0"/>
                <w:u w:val="none"/>
              </w:rPr>
              <w:t>建筑垃圾消纳场处置。生活垃圾</w:t>
            </w:r>
            <w:r>
              <w:rPr>
                <w:rFonts w:hint="eastAsia" w:ascii="Times New Roman" w:hAnsi="Times New Roman"/>
                <w:color w:val="auto"/>
                <w:spacing w:val="-2"/>
                <w:kern w:val="0"/>
                <w:u w:val="none"/>
                <w:lang w:val="en-US" w:eastAsia="zh-CN"/>
              </w:rPr>
              <w:t>经垃圾桶</w:t>
            </w:r>
            <w:r>
              <w:rPr>
                <w:rFonts w:hint="default" w:ascii="Times New Roman" w:hAnsi="Times New Roman"/>
                <w:color w:val="auto"/>
                <w:spacing w:val="-2"/>
                <w:kern w:val="0"/>
                <w:u w:val="none"/>
              </w:rPr>
              <w:t>集中收集后</w:t>
            </w:r>
            <w:r>
              <w:rPr>
                <w:rFonts w:hint="eastAsia" w:ascii="Times New Roman" w:hAnsi="Times New Roman"/>
                <w:color w:val="auto"/>
                <w:spacing w:val="-2"/>
                <w:kern w:val="0"/>
                <w:u w:val="none"/>
                <w:lang w:val="en-US" w:eastAsia="zh-CN"/>
              </w:rPr>
              <w:t>交</w:t>
            </w:r>
            <w:r>
              <w:rPr>
                <w:rFonts w:hint="default" w:ascii="Times New Roman" w:hAnsi="Times New Roman"/>
                <w:color w:val="auto"/>
                <w:spacing w:val="-2"/>
                <w:kern w:val="0"/>
                <w:u w:val="none"/>
              </w:rPr>
              <w:t>由环卫部门清运</w:t>
            </w:r>
            <w:r>
              <w:rPr>
                <w:rFonts w:hint="eastAsia" w:ascii="Times New Roman" w:hAnsi="Times New Roman"/>
                <w:color w:val="auto"/>
                <w:spacing w:val="-2"/>
                <w:kern w:val="0"/>
                <w:u w:val="none"/>
                <w:lang w:val="en-US" w:eastAsia="zh-CN"/>
              </w:rPr>
              <w:t>处置</w:t>
            </w:r>
            <w:r>
              <w:rPr>
                <w:rFonts w:hint="default" w:ascii="Times New Roman" w:hAnsi="Times New Roman"/>
                <w:color w:val="auto"/>
                <w:spacing w:val="-2"/>
                <w:kern w:val="0"/>
                <w:u w:val="none"/>
              </w:rPr>
              <w:t>。</w:t>
            </w:r>
          </w:p>
          <w:p w14:paraId="189CBC28">
            <w:pPr>
              <w:pStyle w:val="23"/>
              <w:keepNext w:val="0"/>
              <w:keepLines w:val="0"/>
              <w:suppressLineNumbers w:val="0"/>
              <w:spacing w:before="0" w:beforeAutospacing="0" w:after="0" w:afterAutospacing="0" w:line="360" w:lineRule="auto"/>
              <w:ind w:left="0" w:right="0" w:firstLine="472" w:firstLineChars="200"/>
              <w:rPr>
                <w:rFonts w:hint="eastAsia" w:ascii="Times New Roman" w:hAnsi="Times New Roman"/>
                <w:color w:val="auto"/>
                <w:spacing w:val="-2"/>
                <w:kern w:val="0"/>
                <w:u w:val="none"/>
                <w:lang w:val="en-US" w:eastAsia="zh-CN"/>
              </w:rPr>
            </w:pPr>
            <w:r>
              <w:rPr>
                <w:rFonts w:hint="eastAsia" w:ascii="Times New Roman" w:hAnsi="Times New Roman"/>
                <w:color w:val="auto"/>
                <w:spacing w:val="-2"/>
                <w:kern w:val="0"/>
                <w:u w:val="none"/>
                <w:lang w:val="en-US" w:eastAsia="zh-CN"/>
              </w:rPr>
              <w:t>本项目清淤产生的淤泥经“石灰调理+板框压滤脱水”后泥饼暂存，后续直接交给其他公司进行资源化利用；清淤过程中产生的垃圾及施工人员生活垃圾集中分类收集，交由当地环卫部门处理</w:t>
            </w:r>
          </w:p>
          <w:p w14:paraId="0C7CE7F0">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FF0000"/>
                <w:spacing w:val="-2"/>
                <w:kern w:val="0"/>
                <w:u w:val="none"/>
              </w:rPr>
            </w:pPr>
            <w:r>
              <w:rPr>
                <w:rFonts w:hint="default" w:ascii="Times New Roman" w:hAnsi="Times New Roman"/>
                <w:color w:val="auto"/>
                <w:spacing w:val="-2"/>
                <w:kern w:val="0"/>
                <w:u w:val="none"/>
              </w:rPr>
              <w:t>综上</w:t>
            </w:r>
            <w:r>
              <w:rPr>
                <w:rFonts w:hint="eastAsia" w:ascii="Times New Roman" w:hAnsi="Times New Roman"/>
                <w:color w:val="auto"/>
                <w:spacing w:val="-2"/>
                <w:kern w:val="0"/>
                <w:u w:val="none"/>
                <w:lang w:val="en-US" w:eastAsia="zh-CN"/>
              </w:rPr>
              <w:t>所述</w:t>
            </w:r>
            <w:r>
              <w:rPr>
                <w:rFonts w:hint="default" w:ascii="Times New Roman" w:hAnsi="Times New Roman"/>
                <w:color w:val="auto"/>
                <w:spacing w:val="-2"/>
                <w:kern w:val="0"/>
                <w:u w:val="none"/>
              </w:rPr>
              <w:t>，本项目施工期产生的固体废物在采取相应的处理措施后对环境影响较小，</w:t>
            </w:r>
            <w:r>
              <w:rPr>
                <w:rFonts w:hint="eastAsia" w:ascii="Times New Roman" w:hAnsi="Times New Roman"/>
                <w:color w:val="auto"/>
                <w:spacing w:val="-2"/>
                <w:kern w:val="0"/>
                <w:u w:val="none"/>
                <w:lang w:val="en-US" w:eastAsia="zh-CN"/>
              </w:rPr>
              <w:t>且</w:t>
            </w:r>
            <w:r>
              <w:rPr>
                <w:rFonts w:hint="default" w:ascii="宋体" w:hAnsi="宋体" w:eastAsia="宋体" w:cs="宋体"/>
                <w:sz w:val="24"/>
                <w:szCs w:val="24"/>
              </w:rPr>
              <w:t>随着施工期的结束，上述影响也将结束</w:t>
            </w:r>
            <w:r>
              <w:rPr>
                <w:rFonts w:hint="default" w:ascii="Times New Roman" w:hAnsi="Times New Roman"/>
                <w:color w:val="auto"/>
                <w:spacing w:val="-2"/>
                <w:kern w:val="0"/>
                <w:u w:val="none"/>
              </w:rPr>
              <w:t>。</w:t>
            </w:r>
          </w:p>
          <w:p w14:paraId="180D4F92">
            <w:pPr>
              <w:pStyle w:val="23"/>
              <w:keepNext w:val="0"/>
              <w:keepLines w:val="0"/>
              <w:suppressLineNumbers w:val="0"/>
              <w:spacing w:before="0" w:beforeAutospacing="0" w:after="0" w:afterAutospacing="0" w:line="360" w:lineRule="auto"/>
              <w:ind w:left="0" w:right="0" w:firstLine="474" w:firstLineChars="200"/>
              <w:rPr>
                <w:rFonts w:hint="default" w:ascii="Times New Roman" w:hAnsi="Times New Roman"/>
                <w:b/>
                <w:bCs/>
                <w:color w:val="auto"/>
                <w:spacing w:val="-2"/>
                <w:kern w:val="0"/>
                <w:u w:val="single"/>
              </w:rPr>
            </w:pPr>
            <w:r>
              <w:rPr>
                <w:rFonts w:hint="eastAsia" w:ascii="Times New Roman" w:hAnsi="Times New Roman"/>
                <w:b/>
                <w:bCs/>
                <w:color w:val="auto"/>
                <w:spacing w:val="-2"/>
                <w:kern w:val="0"/>
                <w:u w:val="single"/>
                <w:lang w:val="en-US" w:eastAsia="zh-CN"/>
              </w:rPr>
              <w:t>5、</w:t>
            </w:r>
            <w:r>
              <w:rPr>
                <w:rFonts w:hint="eastAsia" w:ascii="Times New Roman" w:hAnsi="Times New Roman"/>
                <w:b/>
                <w:bCs/>
                <w:color w:val="auto"/>
                <w:spacing w:val="-2"/>
                <w:kern w:val="0"/>
                <w:u w:val="single"/>
              </w:rPr>
              <w:t>施工期生态</w:t>
            </w:r>
            <w:r>
              <w:rPr>
                <w:rFonts w:hint="eastAsia" w:ascii="Times New Roman" w:hAnsi="Times New Roman"/>
                <w:b/>
                <w:bCs/>
                <w:color w:val="auto"/>
                <w:spacing w:val="-2"/>
                <w:kern w:val="0"/>
                <w:u w:val="single"/>
                <w:lang w:val="en-US" w:eastAsia="zh-CN"/>
              </w:rPr>
              <w:t>环境保护与</w:t>
            </w:r>
            <w:r>
              <w:rPr>
                <w:rFonts w:hint="eastAsia" w:ascii="Times New Roman" w:hAnsi="Times New Roman"/>
                <w:b/>
                <w:bCs/>
                <w:color w:val="auto"/>
                <w:spacing w:val="-2"/>
                <w:kern w:val="0"/>
                <w:u w:val="single"/>
              </w:rPr>
              <w:t>措施</w:t>
            </w:r>
          </w:p>
          <w:p w14:paraId="4F6D6DBC">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1、施工期生态环境保护措施</w:t>
            </w:r>
          </w:p>
          <w:p w14:paraId="4D58C535">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（1）陆生生态环境保护措施</w:t>
            </w:r>
          </w:p>
          <w:p w14:paraId="146D4D36">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本项目拟进行表土开挖，原始地貌受到扰动，原有植被将被清理，项目内的生态系统被破坏，项目最大限度保护建设区域周边的生态系统不被破坏，针对项目周边动植物资源的分布特点，提出如下保护措施：</w:t>
            </w:r>
          </w:p>
          <w:p w14:paraId="000B4E3A">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1）合理进行施工布置、严格控制施工范围、精心组织施工管理等措施，减小和有效控制对工区生态环境的影响范围和程度。</w:t>
            </w:r>
          </w:p>
          <w:p w14:paraId="7001364F">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2）施工活动区需标桩划界，禁止施工人员进入非施工占地区域，消减施工对周边山地植被和土壤的影响，在各工程的施工布置中，尽量利用当地的未利用地，尽量避免对当地周边植被较好区域的占压和破坏。</w:t>
            </w:r>
          </w:p>
          <w:p w14:paraId="699D90F0">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3）在开挖初期修建排水沟和截水沟，减少含大量泥沙的地表径流对周边植被进行冲刷。</w:t>
            </w:r>
          </w:p>
          <w:p w14:paraId="1CFCDF0C">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4）加强施工管理，在土石方开挖时及时进行洒水降尘，并及时对项目沿线道路进行洒水降尘，同时对运输车辆进行封闭或采用篷布覆盖，尽量保持车辆轮胎湿润，减少起尘量。</w:t>
            </w:r>
          </w:p>
          <w:p w14:paraId="2C06B477">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5）防止因施工造成的水源污染、水质改变和土壤污染，尽量减少占地区内的植被破坏，尽可能保护好动物的栖息生境。</w:t>
            </w:r>
          </w:p>
          <w:p w14:paraId="600C2239">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6）要尽快恢复工程建设中破坏的植被，尽量减少外来物种可利用的生境，以防范和限制外来物种入侵。</w:t>
            </w:r>
          </w:p>
          <w:p w14:paraId="4FAFB3A4">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7）农田保护措施，项目施工过程的部分施工点靠近农田，因此施工时要注意，靠近农田段的施工尽量调整到冬季，施工产生的废渣不能堆弃于农田内，过程过程对农田的临时占用，结束后要恢复原貌等。</w:t>
            </w:r>
          </w:p>
          <w:p w14:paraId="37C5B5DB">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（2）水生生态环境保护措施</w:t>
            </w:r>
          </w:p>
          <w:p w14:paraId="38A22F19">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1）对施工人员进行宣传教育，严禁施工废水排入水体；禁止将固废排入水体；从而保护水体水质，维护水生生物生境条件。</w:t>
            </w:r>
          </w:p>
          <w:p w14:paraId="486F1C9B">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2）建设单位施工人员在施工期内不得随意捕捞水域鱼类，尽可能减少对鱼类的影响。</w:t>
            </w:r>
          </w:p>
          <w:p w14:paraId="718B4211">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2、水土流失保护措施</w:t>
            </w:r>
          </w:p>
          <w:p w14:paraId="09C4BEB0">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1）主体工程区</w:t>
            </w:r>
          </w:p>
          <w:p w14:paraId="0CCCAC1A">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工程主体设计中具有水土保持功能的措施包括渠道硬化、挡墙、建构筑物基础硬化等，没有界定为水土保持工程的措施。未考虑剥离的表土、开挖工作面进行临时防护，未进行水土保持防护设计，根据主体工程施工安排，水土保持设计中应增设水土保持表土防护、边坡绿化、临时遮盖等措施。</w:t>
            </w:r>
          </w:p>
          <w:p w14:paraId="7B5EAEAA">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a.工程措施</w:t>
            </w:r>
          </w:p>
          <w:p w14:paraId="32181CE3">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表土剥离、绿化覆土：工前对耕地进行表土剥离，剥离厚度30cm，完工后对临时占地区域进行复垦。</w:t>
            </w:r>
          </w:p>
          <w:p w14:paraId="03D3BBFF">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b.临时措施</w:t>
            </w:r>
          </w:p>
          <w:p w14:paraId="1EADFA94">
            <w:pPr>
              <w:pStyle w:val="23"/>
              <w:keepNext w:val="0"/>
              <w:keepLines w:val="0"/>
              <w:suppressLineNumbers w:val="0"/>
              <w:spacing w:before="0" w:beforeAutospacing="0" w:after="0" w:afterAutospacing="0" w:line="360" w:lineRule="auto"/>
              <w:ind w:left="0" w:right="0" w:firstLine="472" w:firstLineChars="200"/>
              <w:rPr>
                <w:rFonts w:hint="eastAsia" w:ascii="Times New Roman" w:hAnsi="Times New Roman"/>
                <w:color w:val="auto"/>
                <w:spacing w:val="-2"/>
                <w:kern w:val="0"/>
                <w:u w:val="single"/>
                <w:lang w:eastAsia="zh-CN"/>
              </w:rPr>
            </w:pPr>
            <w:r>
              <w:rPr>
                <w:rFonts w:hint="default" w:ascii="Times New Roman" w:hAnsi="Times New Roman"/>
                <w:color w:val="auto"/>
                <w:spacing w:val="-2"/>
                <w:kern w:val="0"/>
                <w:u w:val="single"/>
              </w:rPr>
              <w:t>于项目区围墙内四周布设了临时排水沟，于施工临建区内布设了部分临时排水沟，排导该区域内的汇流</w:t>
            </w:r>
            <w:r>
              <w:rPr>
                <w:rFonts w:hint="eastAsia" w:ascii="Times New Roman" w:hAnsi="Times New Roman"/>
                <w:color w:val="auto"/>
                <w:spacing w:val="-2"/>
                <w:kern w:val="0"/>
                <w:u w:val="single"/>
                <w:lang w:eastAsia="zh-CN"/>
              </w:rPr>
              <w:t>，</w:t>
            </w:r>
            <w:r>
              <w:rPr>
                <w:rFonts w:hint="default" w:ascii="Times New Roman" w:hAnsi="Times New Roman"/>
                <w:color w:val="auto"/>
                <w:spacing w:val="-2"/>
                <w:kern w:val="0"/>
                <w:u w:val="single"/>
              </w:rPr>
              <w:t>临时排水措施有利于迅速疏导基坑周边地表的汇流，避免汇流夹带泥沙漫溢，便于机械设备与人员施工</w:t>
            </w:r>
            <w:r>
              <w:rPr>
                <w:rFonts w:hint="eastAsia" w:ascii="Times New Roman" w:hAnsi="Times New Roman"/>
                <w:color w:val="auto"/>
                <w:spacing w:val="-2"/>
                <w:kern w:val="0"/>
                <w:u w:val="single"/>
                <w:lang w:eastAsia="zh-CN"/>
              </w:rPr>
              <w:t>；</w:t>
            </w:r>
          </w:p>
          <w:p w14:paraId="6848E6E1">
            <w:pPr>
              <w:pStyle w:val="23"/>
              <w:keepNext w:val="0"/>
              <w:keepLines w:val="0"/>
              <w:suppressLineNumbers w:val="0"/>
              <w:spacing w:before="0" w:beforeAutospacing="0" w:after="0" w:afterAutospacing="0" w:line="360" w:lineRule="auto"/>
              <w:ind w:left="0" w:right="0" w:firstLine="472" w:firstLineChars="200"/>
              <w:rPr>
                <w:rFonts w:hint="eastAsia" w:ascii="Times New Roman" w:hAnsi="Times New Roman"/>
                <w:color w:val="auto"/>
                <w:spacing w:val="-2"/>
                <w:kern w:val="0"/>
                <w:u w:val="single"/>
                <w:lang w:eastAsia="zh-CN"/>
              </w:rPr>
            </w:pPr>
            <w:r>
              <w:rPr>
                <w:rFonts w:hint="eastAsia" w:ascii="Times New Roman" w:hAnsi="Times New Roman"/>
                <w:color w:val="auto"/>
                <w:spacing w:val="-2"/>
                <w:kern w:val="0"/>
                <w:u w:val="single"/>
                <w:lang w:eastAsia="zh-CN"/>
              </w:rPr>
              <w:t>于排水出口处布设了临时沉砂池过滤泥沙。沉砂池可有效过滤汇流中的泥沙，避免汇流夹带泥沙直接排入周边市政管网；</w:t>
            </w:r>
          </w:p>
          <w:p w14:paraId="7320CB56">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在开挖的临时工作面采用</w:t>
            </w:r>
            <w:r>
              <w:rPr>
                <w:rFonts w:hint="eastAsia" w:ascii="Times New Roman" w:hAnsi="Times New Roman"/>
                <w:color w:val="auto"/>
                <w:spacing w:val="-2"/>
                <w:kern w:val="0"/>
                <w:u w:val="single"/>
                <w:lang w:val="en-US" w:eastAsia="zh-CN"/>
              </w:rPr>
              <w:t>防尘网</w:t>
            </w:r>
            <w:r>
              <w:rPr>
                <w:rFonts w:hint="default" w:ascii="Times New Roman" w:hAnsi="Times New Roman"/>
                <w:color w:val="auto"/>
                <w:spacing w:val="-2"/>
                <w:kern w:val="0"/>
                <w:u w:val="single"/>
              </w:rPr>
              <w:t>对开挖面进行覆盖。</w:t>
            </w:r>
          </w:p>
          <w:p w14:paraId="5F705CEF">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c.植物措施</w:t>
            </w:r>
          </w:p>
          <w:p w14:paraId="5D0CB115">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待工程完工以后，对主体工程开挖、回填裸露边坡进行绿化，将临时堆放表土回填，撒播灌草，品种选择当地物种等；</w:t>
            </w:r>
          </w:p>
          <w:p w14:paraId="5CFB73FF">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single"/>
              </w:rPr>
            </w:pPr>
            <w:r>
              <w:rPr>
                <w:rFonts w:hint="default" w:ascii="Times New Roman" w:hAnsi="Times New Roman"/>
                <w:color w:val="auto"/>
                <w:spacing w:val="-2"/>
                <w:kern w:val="0"/>
                <w:u w:val="single"/>
              </w:rPr>
              <w:t>施工过程的各种施工活动对土质已造成一定影响，可在覆土层上撒播复合肥，改善土壤立地条件。</w:t>
            </w:r>
          </w:p>
          <w:p w14:paraId="2E5D86F5">
            <w:pPr>
              <w:pStyle w:val="23"/>
              <w:keepNext w:val="0"/>
              <w:keepLines w:val="0"/>
              <w:suppressLineNumbers w:val="0"/>
              <w:spacing w:before="0" w:beforeAutospacing="0" w:after="0" w:afterAutospacing="0" w:line="360" w:lineRule="auto"/>
              <w:ind w:left="0" w:right="0" w:firstLine="472" w:firstLineChars="200"/>
              <w:rPr>
                <w:rFonts w:hint="eastAsia" w:ascii="Times New Roman" w:hAnsi="Times New Roman"/>
                <w:color w:val="auto"/>
                <w:spacing w:val="-2"/>
                <w:kern w:val="0"/>
                <w:u w:val="single"/>
              </w:rPr>
            </w:pPr>
            <w:r>
              <w:rPr>
                <w:rFonts w:hint="default" w:ascii="Times New Roman" w:hAnsi="Times New Roman"/>
                <w:color w:val="auto"/>
                <w:spacing w:val="-2"/>
                <w:kern w:val="0"/>
                <w:u w:val="single"/>
              </w:rPr>
              <w:t>综上，本项目施工期生态影响控制措施可行</w:t>
            </w:r>
            <w:r>
              <w:rPr>
                <w:rFonts w:hint="eastAsia" w:ascii="Times New Roman" w:hAnsi="Times New Roman"/>
                <w:color w:val="auto"/>
                <w:spacing w:val="-2"/>
                <w:kern w:val="0"/>
                <w:u w:val="single"/>
              </w:rPr>
              <w:t>。</w:t>
            </w:r>
          </w:p>
          <w:p w14:paraId="38760841">
            <w:pPr>
              <w:pStyle w:val="23"/>
              <w:keepNext w:val="0"/>
              <w:keepLines w:val="0"/>
              <w:suppressLineNumbers w:val="0"/>
              <w:spacing w:before="0" w:beforeAutospacing="0" w:after="0" w:afterAutospacing="0" w:line="360" w:lineRule="auto"/>
              <w:ind w:left="0" w:right="0" w:firstLine="474" w:firstLineChars="200"/>
              <w:rPr>
                <w:rFonts w:hint="default" w:ascii="Times New Roman" w:hAnsi="Times New Roman" w:eastAsia="宋体"/>
                <w:b/>
                <w:bCs/>
                <w:color w:val="auto"/>
                <w:spacing w:val="-2"/>
                <w:kern w:val="0"/>
                <w:u w:val="none"/>
                <w:lang w:val="en-US" w:eastAsia="zh-CN"/>
              </w:rPr>
            </w:pPr>
            <w:r>
              <w:rPr>
                <w:rFonts w:hint="eastAsia" w:ascii="Times New Roman" w:hAnsi="Times New Roman"/>
                <w:b/>
                <w:bCs/>
                <w:color w:val="auto"/>
                <w:spacing w:val="-2"/>
                <w:kern w:val="0"/>
                <w:u w:val="none"/>
                <w:lang w:val="en-US" w:eastAsia="zh-CN"/>
              </w:rPr>
              <w:t>6、</w:t>
            </w:r>
            <w:r>
              <w:rPr>
                <w:rFonts w:hint="eastAsia" w:ascii="Times New Roman" w:hAnsi="Times New Roman"/>
                <w:b/>
                <w:bCs/>
                <w:color w:val="auto"/>
                <w:spacing w:val="-2"/>
                <w:kern w:val="0"/>
                <w:u w:val="none"/>
              </w:rPr>
              <w:t>施工期</w:t>
            </w:r>
            <w:r>
              <w:rPr>
                <w:rFonts w:hint="eastAsia" w:ascii="Times New Roman" w:hAnsi="Times New Roman"/>
                <w:b/>
                <w:bCs/>
                <w:color w:val="auto"/>
                <w:spacing w:val="-2"/>
                <w:kern w:val="0"/>
                <w:u w:val="none"/>
                <w:lang w:val="en-US" w:eastAsia="zh-CN"/>
              </w:rPr>
              <w:t>环境监测计划</w:t>
            </w:r>
          </w:p>
          <w:p w14:paraId="2118EA1A">
            <w:pPr>
              <w:pStyle w:val="23"/>
              <w:keepNext w:val="0"/>
              <w:keepLines w:val="0"/>
              <w:suppressLineNumbers w:val="0"/>
              <w:spacing w:before="0" w:beforeAutospacing="0" w:after="0" w:afterAutospacing="0" w:line="360" w:lineRule="auto"/>
              <w:ind w:left="0" w:right="0" w:firstLine="472" w:firstLineChars="200"/>
              <w:rPr>
                <w:rFonts w:hint="default" w:ascii="Times New Roman" w:hAnsi="Times New Roman"/>
                <w:color w:val="auto"/>
                <w:spacing w:val="-2"/>
                <w:kern w:val="0"/>
                <w:u w:val="none"/>
              </w:rPr>
            </w:pPr>
            <w:r>
              <w:rPr>
                <w:rFonts w:hint="default" w:ascii="Times New Roman" w:hAnsi="Times New Roman"/>
                <w:color w:val="auto"/>
                <w:spacing w:val="-2"/>
                <w:kern w:val="0"/>
                <w:u w:val="none"/>
              </w:rPr>
              <w:t>环境监测是环境管理的依据和基础，为环境统计和环境定量评价提供科学依据，并据此制定防治对策和规划。企业主要负责污染源和环境质量的监测任务，具体监测时间、频率、点位服从环保部门的规定和要求。监测项目针对建设项目生产特征、污染物影响特性及测试手段的可靠性进行确定，各污染源排放口应规范设置。监测因子、点位及频率详见下表。可委托有资质环境检测机构进行监测，监测结果以报表形式上报当地环境保护行政主管部门。本项目监测计划如下：</w:t>
            </w:r>
          </w:p>
          <w:p w14:paraId="024E4173">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b/>
                <w:bCs/>
                <w:color w:val="auto"/>
                <w:spacing w:val="-2"/>
                <w:kern w:val="0"/>
                <w:sz w:val="21"/>
                <w:szCs w:val="21"/>
                <w:u w:val="none"/>
                <w:lang w:val="en-US" w:eastAsia="zh-CN"/>
              </w:rPr>
            </w:pPr>
            <w:r>
              <w:rPr>
                <w:rFonts w:hint="eastAsia" w:ascii="Times New Roman" w:hAnsi="Times New Roman"/>
                <w:b/>
                <w:bCs/>
                <w:color w:val="auto"/>
                <w:spacing w:val="-2"/>
                <w:kern w:val="0"/>
                <w:sz w:val="21"/>
                <w:szCs w:val="21"/>
                <w:u w:val="none"/>
                <w:lang w:val="en-US" w:eastAsia="zh-CN"/>
              </w:rPr>
              <w:t>表5-1  监测计划表</w:t>
            </w:r>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7"/>
              <w:gridCol w:w="1558"/>
              <w:gridCol w:w="1558"/>
              <w:gridCol w:w="1558"/>
              <w:gridCol w:w="1559"/>
            </w:tblGrid>
            <w:tr w14:paraId="52D1A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14:paraId="38F3F2D6">
                  <w:pPr>
                    <w:pStyle w:val="23"/>
                    <w:keepNext w:val="0"/>
                    <w:keepLines w:val="0"/>
                    <w:suppressLineNumbers w:val="0"/>
                    <w:spacing w:before="0" w:beforeAutospacing="0" w:after="0" w:afterAutospacing="0" w:line="240" w:lineRule="auto"/>
                    <w:ind w:left="0" w:right="0"/>
                    <w:jc w:val="center"/>
                    <w:rPr>
                      <w:rFonts w:hint="eastAsia" w:ascii="Times New Roman" w:hAnsi="Times New Roman" w:eastAsia="宋体"/>
                      <w:b/>
                      <w:bCs/>
                      <w:color w:val="auto"/>
                      <w:spacing w:val="-2"/>
                      <w:kern w:val="0"/>
                      <w:sz w:val="21"/>
                      <w:szCs w:val="21"/>
                      <w:u w:val="none"/>
                      <w:vertAlign w:val="baseline"/>
                      <w:lang w:val="en-US" w:eastAsia="zh-CN"/>
                    </w:rPr>
                  </w:pPr>
                  <w:r>
                    <w:rPr>
                      <w:rFonts w:hint="eastAsia" w:ascii="Times New Roman" w:hAnsi="Times New Roman"/>
                      <w:b/>
                      <w:bCs/>
                      <w:color w:val="auto"/>
                      <w:spacing w:val="-2"/>
                      <w:kern w:val="0"/>
                      <w:sz w:val="21"/>
                      <w:szCs w:val="21"/>
                      <w:u w:val="none"/>
                      <w:vertAlign w:val="baseline"/>
                      <w:lang w:val="en-US" w:eastAsia="zh-CN"/>
                    </w:rPr>
                    <w:t>内容</w:t>
                  </w:r>
                </w:p>
              </w:tc>
              <w:tc>
                <w:tcPr>
                  <w:tcW w:w="1000" w:type="pct"/>
                  <w:vAlign w:val="center"/>
                </w:tcPr>
                <w:p w14:paraId="042EF62E">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b/>
                      <w:bCs/>
                      <w:color w:val="auto"/>
                      <w:spacing w:val="-2"/>
                      <w:kern w:val="0"/>
                      <w:sz w:val="21"/>
                      <w:szCs w:val="21"/>
                      <w:u w:val="none"/>
                      <w:vertAlign w:val="baseline"/>
                      <w:lang w:val="en-US" w:eastAsia="zh-CN"/>
                    </w:rPr>
                  </w:pPr>
                  <w:r>
                    <w:rPr>
                      <w:rFonts w:hint="eastAsia" w:ascii="Times New Roman" w:hAnsi="Times New Roman"/>
                      <w:b/>
                      <w:bCs/>
                      <w:color w:val="auto"/>
                      <w:spacing w:val="-2"/>
                      <w:kern w:val="0"/>
                      <w:sz w:val="21"/>
                      <w:szCs w:val="21"/>
                      <w:u w:val="none"/>
                      <w:vertAlign w:val="baseline"/>
                      <w:lang w:val="en-US" w:eastAsia="zh-CN"/>
                    </w:rPr>
                    <w:t>监测点位</w:t>
                  </w:r>
                </w:p>
              </w:tc>
              <w:tc>
                <w:tcPr>
                  <w:tcW w:w="1000" w:type="pct"/>
                  <w:vAlign w:val="center"/>
                </w:tcPr>
                <w:p w14:paraId="47250616">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b/>
                      <w:bCs/>
                      <w:color w:val="auto"/>
                      <w:spacing w:val="-2"/>
                      <w:kern w:val="0"/>
                      <w:sz w:val="21"/>
                      <w:szCs w:val="21"/>
                      <w:u w:val="none"/>
                      <w:vertAlign w:val="baseline"/>
                      <w:lang w:val="en-US" w:eastAsia="zh-CN"/>
                    </w:rPr>
                  </w:pPr>
                  <w:r>
                    <w:rPr>
                      <w:rFonts w:hint="eastAsia" w:ascii="Times New Roman" w:hAnsi="Times New Roman"/>
                      <w:b/>
                      <w:bCs/>
                      <w:color w:val="auto"/>
                      <w:spacing w:val="-2"/>
                      <w:kern w:val="0"/>
                      <w:sz w:val="21"/>
                      <w:szCs w:val="21"/>
                      <w:u w:val="none"/>
                      <w:vertAlign w:val="baseline"/>
                      <w:lang w:val="en-US" w:eastAsia="zh-CN"/>
                    </w:rPr>
                    <w:t>监测项目</w:t>
                  </w:r>
                </w:p>
              </w:tc>
              <w:tc>
                <w:tcPr>
                  <w:tcW w:w="1000" w:type="pct"/>
                  <w:vAlign w:val="center"/>
                </w:tcPr>
                <w:p w14:paraId="26727BC0">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b/>
                      <w:bCs/>
                      <w:color w:val="auto"/>
                      <w:spacing w:val="-2"/>
                      <w:kern w:val="0"/>
                      <w:sz w:val="21"/>
                      <w:szCs w:val="21"/>
                      <w:u w:val="none"/>
                      <w:vertAlign w:val="baseline"/>
                      <w:lang w:val="en-US" w:eastAsia="zh-CN"/>
                    </w:rPr>
                  </w:pPr>
                  <w:r>
                    <w:rPr>
                      <w:rFonts w:hint="eastAsia" w:ascii="Times New Roman" w:hAnsi="Times New Roman"/>
                      <w:b/>
                      <w:bCs/>
                      <w:color w:val="auto"/>
                      <w:spacing w:val="-2"/>
                      <w:kern w:val="0"/>
                      <w:sz w:val="21"/>
                      <w:szCs w:val="21"/>
                      <w:u w:val="none"/>
                      <w:vertAlign w:val="baseline"/>
                      <w:lang w:val="en-US" w:eastAsia="zh-CN"/>
                    </w:rPr>
                    <w:t>监测频次</w:t>
                  </w:r>
                </w:p>
              </w:tc>
              <w:tc>
                <w:tcPr>
                  <w:tcW w:w="1000" w:type="pct"/>
                  <w:vAlign w:val="center"/>
                </w:tcPr>
                <w:p w14:paraId="27358692">
                  <w:pPr>
                    <w:pStyle w:val="23"/>
                    <w:keepNext w:val="0"/>
                    <w:keepLines w:val="0"/>
                    <w:suppressLineNumbers w:val="0"/>
                    <w:spacing w:before="0" w:beforeAutospacing="0" w:after="0" w:afterAutospacing="0" w:line="240" w:lineRule="auto"/>
                    <w:ind w:left="0" w:right="0"/>
                    <w:jc w:val="center"/>
                    <w:rPr>
                      <w:rFonts w:hint="eastAsia" w:ascii="Times New Roman" w:hAnsi="Times New Roman" w:eastAsia="宋体"/>
                      <w:b/>
                      <w:bCs/>
                      <w:color w:val="auto"/>
                      <w:spacing w:val="-2"/>
                      <w:kern w:val="0"/>
                      <w:sz w:val="21"/>
                      <w:szCs w:val="21"/>
                      <w:u w:val="none"/>
                      <w:vertAlign w:val="baseline"/>
                      <w:lang w:val="en-US" w:eastAsia="zh-CN"/>
                    </w:rPr>
                  </w:pPr>
                  <w:r>
                    <w:rPr>
                      <w:rFonts w:hint="eastAsia" w:ascii="Times New Roman" w:hAnsi="Times New Roman"/>
                      <w:b/>
                      <w:bCs/>
                      <w:color w:val="auto"/>
                      <w:spacing w:val="-2"/>
                      <w:kern w:val="0"/>
                      <w:sz w:val="21"/>
                      <w:szCs w:val="21"/>
                      <w:u w:val="none"/>
                      <w:vertAlign w:val="baseline"/>
                      <w:lang w:val="en-US" w:eastAsia="zh-CN"/>
                    </w:rPr>
                    <w:t>备注</w:t>
                  </w:r>
                </w:p>
              </w:tc>
            </w:tr>
            <w:tr w14:paraId="1DAEC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14:paraId="055B3FA6">
                  <w:pPr>
                    <w:pStyle w:val="23"/>
                    <w:keepNext w:val="0"/>
                    <w:keepLines w:val="0"/>
                    <w:suppressLineNumbers w:val="0"/>
                    <w:spacing w:before="0" w:beforeAutospacing="0" w:after="0" w:afterAutospacing="0" w:line="240" w:lineRule="auto"/>
                    <w:ind w:left="0" w:right="0"/>
                    <w:jc w:val="center"/>
                    <w:rPr>
                      <w:rFonts w:hint="eastAsia" w:ascii="Times New Roman" w:hAnsi="Times New Roman" w:eastAsia="宋体"/>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大气</w:t>
                  </w:r>
                </w:p>
              </w:tc>
              <w:tc>
                <w:tcPr>
                  <w:tcW w:w="1000" w:type="pct"/>
                  <w:vMerge w:val="restart"/>
                  <w:vAlign w:val="center"/>
                </w:tcPr>
                <w:p w14:paraId="7E83F653">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施工现场100m以内敏感保护目标</w:t>
                  </w:r>
                </w:p>
              </w:tc>
              <w:tc>
                <w:tcPr>
                  <w:tcW w:w="1000" w:type="pct"/>
                  <w:vAlign w:val="center"/>
                </w:tcPr>
                <w:p w14:paraId="03C8E598">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TSP、H</w:t>
                  </w:r>
                  <w:r>
                    <w:rPr>
                      <w:rFonts w:hint="eastAsia" w:ascii="Times New Roman" w:hAnsi="Times New Roman"/>
                      <w:color w:val="auto"/>
                      <w:spacing w:val="-2"/>
                      <w:kern w:val="0"/>
                      <w:sz w:val="21"/>
                      <w:szCs w:val="21"/>
                      <w:u w:val="none"/>
                      <w:vertAlign w:val="subscript"/>
                      <w:lang w:val="en-US" w:eastAsia="zh-CN"/>
                    </w:rPr>
                    <w:t>2</w:t>
                  </w:r>
                  <w:r>
                    <w:rPr>
                      <w:rFonts w:hint="eastAsia" w:ascii="Times New Roman" w:hAnsi="Times New Roman"/>
                      <w:color w:val="auto"/>
                      <w:spacing w:val="-2"/>
                      <w:kern w:val="0"/>
                      <w:sz w:val="21"/>
                      <w:szCs w:val="21"/>
                      <w:u w:val="none"/>
                      <w:vertAlign w:val="baseline"/>
                      <w:lang w:val="en-US" w:eastAsia="zh-CN"/>
                    </w:rPr>
                    <w:t>S、NH</w:t>
                  </w:r>
                  <w:r>
                    <w:rPr>
                      <w:rFonts w:hint="eastAsia" w:ascii="Times New Roman" w:hAnsi="Times New Roman"/>
                      <w:color w:val="auto"/>
                      <w:spacing w:val="-2"/>
                      <w:kern w:val="0"/>
                      <w:sz w:val="21"/>
                      <w:szCs w:val="21"/>
                      <w:u w:val="none"/>
                      <w:vertAlign w:val="subscript"/>
                      <w:lang w:val="en-US" w:eastAsia="zh-CN"/>
                    </w:rPr>
                    <w:t>3</w:t>
                  </w:r>
                  <w:r>
                    <w:rPr>
                      <w:rFonts w:hint="eastAsia" w:ascii="Times New Roman" w:hAnsi="Times New Roman"/>
                      <w:color w:val="auto"/>
                      <w:spacing w:val="-2"/>
                      <w:kern w:val="0"/>
                      <w:sz w:val="21"/>
                      <w:szCs w:val="21"/>
                      <w:u w:val="none"/>
                      <w:vertAlign w:val="baseline"/>
                      <w:lang w:val="en-US" w:eastAsia="zh-CN"/>
                    </w:rPr>
                    <w:t>、臭气浓度</w:t>
                  </w:r>
                </w:p>
              </w:tc>
              <w:tc>
                <w:tcPr>
                  <w:tcW w:w="1000" w:type="pct"/>
                  <w:vAlign w:val="center"/>
                </w:tcPr>
                <w:p w14:paraId="1F47448E">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施工高峰期监测3次</w:t>
                  </w:r>
                </w:p>
              </w:tc>
              <w:tc>
                <w:tcPr>
                  <w:tcW w:w="1000" w:type="pct"/>
                  <w:vAlign w:val="center"/>
                </w:tcPr>
                <w:p w14:paraId="02848958">
                  <w:pPr>
                    <w:pStyle w:val="23"/>
                    <w:keepNext w:val="0"/>
                    <w:keepLines w:val="0"/>
                    <w:suppressLineNumbers w:val="0"/>
                    <w:spacing w:before="0" w:beforeAutospacing="0" w:after="0" w:afterAutospacing="0" w:line="240" w:lineRule="auto"/>
                    <w:ind w:left="0" w:right="0"/>
                    <w:jc w:val="center"/>
                    <w:rPr>
                      <w:rFonts w:hint="default" w:ascii="Times New Roman" w:hAnsi="Times New Roman"/>
                      <w:color w:val="auto"/>
                      <w:spacing w:val="-2"/>
                      <w:kern w:val="0"/>
                      <w:sz w:val="21"/>
                      <w:szCs w:val="21"/>
                      <w:u w:val="none"/>
                      <w:vertAlign w:val="baseline"/>
                    </w:rPr>
                  </w:pPr>
                  <w:r>
                    <w:rPr>
                      <w:rFonts w:hint="default" w:ascii="Times New Roman" w:hAnsi="Times New Roman"/>
                      <w:color w:val="auto"/>
                      <w:spacing w:val="-2"/>
                      <w:kern w:val="0"/>
                      <w:sz w:val="21"/>
                      <w:szCs w:val="21"/>
                      <w:u w:val="none"/>
                      <w:vertAlign w:val="baseline"/>
                    </w:rPr>
                    <w:t>上风向100m处设</w:t>
                  </w:r>
                  <w:r>
                    <w:rPr>
                      <w:rFonts w:hint="eastAsia" w:ascii="Times New Roman" w:hAnsi="Times New Roman"/>
                      <w:color w:val="auto"/>
                      <w:spacing w:val="-2"/>
                      <w:kern w:val="0"/>
                      <w:sz w:val="21"/>
                      <w:szCs w:val="21"/>
                      <w:u w:val="none"/>
                      <w:vertAlign w:val="baseline"/>
                      <w:lang w:val="en-US" w:eastAsia="zh-CN"/>
                    </w:rPr>
                    <w:t>1</w:t>
                  </w:r>
                  <w:r>
                    <w:rPr>
                      <w:rFonts w:hint="default" w:ascii="Times New Roman" w:hAnsi="Times New Roman"/>
                      <w:color w:val="auto"/>
                      <w:spacing w:val="-2"/>
                      <w:kern w:val="0"/>
                      <w:sz w:val="21"/>
                      <w:szCs w:val="21"/>
                      <w:u w:val="none"/>
                      <w:vertAlign w:val="baseline"/>
                    </w:rPr>
                    <w:t>个背景监测点，下风向设</w:t>
                  </w:r>
                  <w:r>
                    <w:rPr>
                      <w:rFonts w:hint="eastAsia" w:ascii="Times New Roman" w:hAnsi="Times New Roman"/>
                      <w:color w:val="auto"/>
                      <w:spacing w:val="-2"/>
                      <w:kern w:val="0"/>
                      <w:sz w:val="21"/>
                      <w:szCs w:val="21"/>
                      <w:u w:val="none"/>
                      <w:vertAlign w:val="baseline"/>
                      <w:lang w:val="en-US" w:eastAsia="zh-CN"/>
                    </w:rPr>
                    <w:t>1</w:t>
                  </w:r>
                  <w:r>
                    <w:rPr>
                      <w:rFonts w:hint="default" w:ascii="Times New Roman" w:hAnsi="Times New Roman"/>
                      <w:color w:val="auto"/>
                      <w:spacing w:val="-2"/>
                      <w:kern w:val="0"/>
                      <w:sz w:val="21"/>
                      <w:szCs w:val="21"/>
                      <w:u w:val="none"/>
                      <w:vertAlign w:val="baseline"/>
                    </w:rPr>
                    <w:t>处监测点</w:t>
                  </w:r>
                </w:p>
              </w:tc>
            </w:tr>
            <w:tr w14:paraId="56AC1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14:paraId="7AF22211">
                  <w:pPr>
                    <w:pStyle w:val="23"/>
                    <w:keepNext w:val="0"/>
                    <w:keepLines w:val="0"/>
                    <w:suppressLineNumbers w:val="0"/>
                    <w:spacing w:before="0" w:beforeAutospacing="0" w:after="0" w:afterAutospacing="0" w:line="240" w:lineRule="auto"/>
                    <w:ind w:left="0" w:right="0"/>
                    <w:jc w:val="center"/>
                    <w:rPr>
                      <w:rFonts w:hint="eastAsia" w:ascii="Times New Roman" w:hAnsi="Times New Roman" w:eastAsia="宋体"/>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噪声</w:t>
                  </w:r>
                </w:p>
              </w:tc>
              <w:tc>
                <w:tcPr>
                  <w:tcW w:w="1000" w:type="pct"/>
                  <w:vMerge w:val="continue"/>
                  <w:vAlign w:val="center"/>
                </w:tcPr>
                <w:p w14:paraId="66422F21">
                  <w:pPr>
                    <w:pStyle w:val="23"/>
                    <w:keepNext w:val="0"/>
                    <w:keepLines w:val="0"/>
                    <w:suppressLineNumbers w:val="0"/>
                    <w:spacing w:before="0" w:beforeAutospacing="0" w:after="0" w:afterAutospacing="0" w:line="240" w:lineRule="auto"/>
                    <w:ind w:left="0" w:right="0"/>
                    <w:jc w:val="center"/>
                    <w:rPr>
                      <w:rFonts w:hint="default" w:ascii="Times New Roman" w:hAnsi="Times New Roman"/>
                      <w:color w:val="auto"/>
                      <w:spacing w:val="-2"/>
                      <w:kern w:val="0"/>
                      <w:sz w:val="21"/>
                      <w:szCs w:val="21"/>
                      <w:u w:val="none"/>
                      <w:vertAlign w:val="baseline"/>
                    </w:rPr>
                  </w:pPr>
                </w:p>
              </w:tc>
              <w:tc>
                <w:tcPr>
                  <w:tcW w:w="1000" w:type="pct"/>
                  <w:vAlign w:val="center"/>
                </w:tcPr>
                <w:p w14:paraId="787C7D55">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连续等效A声级</w:t>
                  </w:r>
                </w:p>
              </w:tc>
              <w:tc>
                <w:tcPr>
                  <w:tcW w:w="1000" w:type="pct"/>
                  <w:vAlign w:val="center"/>
                </w:tcPr>
                <w:p w14:paraId="4647A7F8">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监测2次，每次昼夜各一天，连续两天采样</w:t>
                  </w:r>
                </w:p>
              </w:tc>
              <w:tc>
                <w:tcPr>
                  <w:tcW w:w="1000" w:type="pct"/>
                  <w:vAlign w:val="center"/>
                </w:tcPr>
                <w:p w14:paraId="601F227D">
                  <w:pPr>
                    <w:pStyle w:val="23"/>
                    <w:keepNext w:val="0"/>
                    <w:keepLines w:val="0"/>
                    <w:suppressLineNumbers w:val="0"/>
                    <w:spacing w:before="0" w:beforeAutospacing="0" w:after="0" w:afterAutospacing="0" w:line="240" w:lineRule="auto"/>
                    <w:ind w:left="0" w:right="0"/>
                    <w:jc w:val="center"/>
                    <w:rPr>
                      <w:rFonts w:hint="default" w:ascii="Times New Roman" w:hAnsi="Times New Roman"/>
                      <w:color w:val="auto"/>
                      <w:spacing w:val="-2"/>
                      <w:kern w:val="0"/>
                      <w:sz w:val="21"/>
                      <w:szCs w:val="21"/>
                      <w:u w:val="none"/>
                      <w:vertAlign w:val="baseline"/>
                    </w:rPr>
                  </w:pPr>
                  <w:r>
                    <w:rPr>
                      <w:rFonts w:hint="default" w:ascii="Times New Roman" w:hAnsi="Times New Roman"/>
                      <w:color w:val="auto"/>
                      <w:spacing w:val="-2"/>
                      <w:kern w:val="0"/>
                      <w:sz w:val="21"/>
                      <w:szCs w:val="21"/>
                      <w:u w:val="none"/>
                      <w:vertAlign w:val="baseline"/>
                    </w:rPr>
                    <w:t>每次抽</w:t>
                  </w:r>
                  <w:r>
                    <w:rPr>
                      <w:rFonts w:hint="eastAsia" w:ascii="Times New Roman" w:hAnsi="Times New Roman"/>
                      <w:color w:val="auto"/>
                      <w:spacing w:val="-2"/>
                      <w:kern w:val="0"/>
                      <w:sz w:val="21"/>
                      <w:szCs w:val="21"/>
                      <w:u w:val="none"/>
                      <w:vertAlign w:val="baseline"/>
                      <w:lang w:val="en-US" w:eastAsia="zh-CN"/>
                    </w:rPr>
                    <w:t>3</w:t>
                  </w:r>
                  <w:r>
                    <w:rPr>
                      <w:rFonts w:hint="default" w:ascii="Times New Roman" w:hAnsi="Times New Roman"/>
                      <w:color w:val="auto"/>
                      <w:spacing w:val="-2"/>
                      <w:kern w:val="0"/>
                      <w:sz w:val="21"/>
                      <w:szCs w:val="21"/>
                      <w:u w:val="none"/>
                      <w:vertAlign w:val="baseline"/>
                    </w:rPr>
                    <w:t>个附近有施工作业的敏感点进行噪声监测</w:t>
                  </w:r>
                </w:p>
              </w:tc>
            </w:tr>
            <w:tr w14:paraId="4800C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14:paraId="45A2BB14">
                  <w:pPr>
                    <w:pStyle w:val="23"/>
                    <w:keepNext w:val="0"/>
                    <w:keepLines w:val="0"/>
                    <w:suppressLineNumbers w:val="0"/>
                    <w:spacing w:before="0" w:beforeAutospacing="0" w:after="0" w:afterAutospacing="0" w:line="240" w:lineRule="auto"/>
                    <w:ind w:left="0" w:right="0"/>
                    <w:jc w:val="center"/>
                    <w:rPr>
                      <w:rFonts w:hint="default" w:ascii="Times New Roman" w:hAnsi="Times New Roman"/>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地表水</w:t>
                  </w:r>
                </w:p>
              </w:tc>
              <w:tc>
                <w:tcPr>
                  <w:tcW w:w="1000" w:type="pct"/>
                  <w:vAlign w:val="center"/>
                </w:tcPr>
                <w:p w14:paraId="1F9F9271">
                  <w:pPr>
                    <w:pStyle w:val="23"/>
                    <w:keepNext w:val="0"/>
                    <w:keepLines w:val="0"/>
                    <w:suppressLineNumbers w:val="0"/>
                    <w:spacing w:before="0" w:beforeAutospacing="0" w:after="0" w:afterAutospacing="0" w:line="240" w:lineRule="auto"/>
                    <w:ind w:left="0" w:right="0"/>
                    <w:jc w:val="center"/>
                    <w:rPr>
                      <w:rFonts w:hint="eastAsia" w:ascii="Times New Roman" w:hAnsi="Times New Roman"/>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长安河</w:t>
                  </w:r>
                </w:p>
                <w:p w14:paraId="52BAF450">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师家河</w:t>
                  </w:r>
                </w:p>
              </w:tc>
              <w:tc>
                <w:tcPr>
                  <w:tcW w:w="1000" w:type="pct"/>
                  <w:vAlign w:val="center"/>
                </w:tcPr>
                <w:p w14:paraId="430DCED1">
                  <w:pPr>
                    <w:pStyle w:val="23"/>
                    <w:keepNext w:val="0"/>
                    <w:keepLines w:val="0"/>
                    <w:suppressLineNumbers w:val="0"/>
                    <w:spacing w:before="0" w:beforeAutospacing="0" w:after="0" w:afterAutospacing="0" w:line="240" w:lineRule="auto"/>
                    <w:ind w:left="0" w:right="0"/>
                    <w:jc w:val="center"/>
                    <w:rPr>
                      <w:rFonts w:hint="default" w:ascii="Times New Roman" w:hAnsi="Times New Roman"/>
                      <w:color w:val="auto"/>
                      <w:spacing w:val="-2"/>
                      <w:kern w:val="0"/>
                      <w:sz w:val="21"/>
                      <w:szCs w:val="21"/>
                      <w:u w:val="none"/>
                      <w:vertAlign w:val="baseline"/>
                    </w:rPr>
                  </w:pPr>
                  <w:r>
                    <w:rPr>
                      <w:rFonts w:hint="default" w:ascii="Times New Roman" w:hAnsi="Times New Roman"/>
                      <w:color w:val="auto"/>
                      <w:spacing w:val="-2"/>
                      <w:kern w:val="0"/>
                      <w:sz w:val="21"/>
                      <w:szCs w:val="21"/>
                      <w:u w:val="none"/>
                      <w:vertAlign w:val="baseline"/>
                    </w:rPr>
                    <w:t>pH值、COD、氨氮、悬浮物、石油类</w:t>
                  </w:r>
                </w:p>
              </w:tc>
              <w:tc>
                <w:tcPr>
                  <w:tcW w:w="1000" w:type="pct"/>
                  <w:vAlign w:val="center"/>
                </w:tcPr>
                <w:p w14:paraId="5D3EE6D7">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监测3次，每次采样1天</w:t>
                  </w:r>
                </w:p>
              </w:tc>
              <w:tc>
                <w:tcPr>
                  <w:tcW w:w="1000" w:type="pct"/>
                  <w:vAlign w:val="center"/>
                </w:tcPr>
                <w:p w14:paraId="5B34D2D0">
                  <w:pPr>
                    <w:pStyle w:val="23"/>
                    <w:keepNext w:val="0"/>
                    <w:keepLines w:val="0"/>
                    <w:suppressLineNumbers w:val="0"/>
                    <w:spacing w:before="0" w:beforeAutospacing="0" w:after="0" w:afterAutospacing="0" w:line="240" w:lineRule="auto"/>
                    <w:ind w:left="0" w:right="0"/>
                    <w:jc w:val="center"/>
                    <w:rPr>
                      <w:rFonts w:hint="default" w:ascii="Times New Roman" w:hAnsi="Times New Roman" w:eastAsia="宋体"/>
                      <w:color w:val="auto"/>
                      <w:spacing w:val="-2"/>
                      <w:kern w:val="0"/>
                      <w:sz w:val="21"/>
                      <w:szCs w:val="21"/>
                      <w:u w:val="none"/>
                      <w:vertAlign w:val="baseline"/>
                      <w:lang w:val="en-US" w:eastAsia="zh-CN"/>
                    </w:rPr>
                  </w:pPr>
                  <w:r>
                    <w:rPr>
                      <w:rFonts w:hint="eastAsia" w:ascii="Times New Roman" w:hAnsi="Times New Roman"/>
                      <w:color w:val="auto"/>
                      <w:spacing w:val="-2"/>
                      <w:kern w:val="0"/>
                      <w:sz w:val="21"/>
                      <w:szCs w:val="21"/>
                      <w:u w:val="none"/>
                      <w:vertAlign w:val="baseline"/>
                      <w:lang w:val="en-US" w:eastAsia="zh-CN"/>
                    </w:rPr>
                    <w:t>工程终点500m处</w:t>
                  </w:r>
                </w:p>
              </w:tc>
            </w:tr>
          </w:tbl>
          <w:p w14:paraId="4BA92409">
            <w:pPr>
              <w:pStyle w:val="23"/>
              <w:keepNext w:val="0"/>
              <w:keepLines w:val="0"/>
              <w:suppressLineNumbers w:val="0"/>
              <w:spacing w:before="0" w:beforeAutospacing="0" w:after="0" w:afterAutospacing="0" w:line="360" w:lineRule="auto"/>
              <w:ind w:left="0" w:right="0"/>
              <w:rPr>
                <w:rFonts w:hint="default" w:ascii="Times New Roman" w:hAnsi="Times New Roman"/>
                <w:color w:val="auto"/>
                <w:spacing w:val="-2"/>
                <w:kern w:val="0"/>
                <w:u w:val="none"/>
              </w:rPr>
            </w:pPr>
          </w:p>
        </w:tc>
      </w:tr>
      <w:tr w14:paraId="38A02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96" w:type="pct"/>
            <w:shd w:val="clear" w:color="auto" w:fill="auto"/>
            <w:vAlign w:val="center"/>
          </w:tcPr>
          <w:p w14:paraId="0B63F56F">
            <w:pPr>
              <w:pStyle w:val="23"/>
              <w:keepNext w:val="0"/>
              <w:keepLines w:val="0"/>
              <w:suppressLineNumbers w:val="0"/>
              <w:ind w:left="0" w:right="0"/>
              <w:jc w:val="center"/>
              <w:rPr>
                <w:rFonts w:hint="default" w:ascii="黑体" w:hAnsi="黑体" w:eastAsia="黑体"/>
                <w:snapToGrid w:val="0"/>
                <w:color w:val="auto"/>
                <w:kern w:val="0"/>
                <w:sz w:val="30"/>
                <w:szCs w:val="30"/>
                <w:u w:val="none"/>
              </w:rPr>
            </w:pPr>
            <w:r>
              <w:rPr>
                <w:rFonts w:hint="eastAsia" w:cs="宋体"/>
                <w:b/>
                <w:color w:val="auto"/>
                <w:spacing w:val="10"/>
                <w:kern w:val="0"/>
                <w:u w:val="none"/>
              </w:rPr>
              <w:t>运营期生态环境保护措施</w:t>
            </w:r>
          </w:p>
        </w:tc>
        <w:tc>
          <w:tcPr>
            <w:tcW w:w="4703" w:type="pct"/>
            <w:shd w:val="clear" w:color="auto" w:fill="auto"/>
            <w:vAlign w:val="center"/>
          </w:tcPr>
          <w:p w14:paraId="0E927268">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color w:val="auto"/>
                <w:sz w:val="24"/>
                <w:szCs w:val="24"/>
                <w:u w:val="single"/>
              </w:rPr>
            </w:pPr>
            <w:r>
              <w:rPr>
                <w:rFonts w:hint="default"/>
                <w:color w:val="auto"/>
                <w:sz w:val="24"/>
                <w:szCs w:val="24"/>
                <w:u w:val="single"/>
              </w:rPr>
              <w:t xml:space="preserve">噪声控制措施，对水泵采取隔声减震措施，即各水泵主要设备均位于泵房内，水泵固定在坚实的底座上，泵房采用封闭式的砖砌结构，且门窗完整，无破损与裂缝等，确保运行时泵房外的噪声达到《工业企业厂界环境噪声排放 标准》（GB12348-2008）中2类标准； </w:t>
            </w:r>
          </w:p>
          <w:p w14:paraId="33378D54">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color w:val="auto"/>
                <w:sz w:val="24"/>
                <w:szCs w:val="24"/>
                <w:u w:val="single"/>
              </w:rPr>
            </w:pPr>
            <w:r>
              <w:rPr>
                <w:rFonts w:hint="default"/>
                <w:color w:val="auto"/>
                <w:sz w:val="24"/>
                <w:szCs w:val="24"/>
                <w:u w:val="single"/>
              </w:rPr>
              <w:t>固体废物控制措施：将泵站运期的栅渣清运列入工作计划，栅渣及时交环卫部门处理，不宜在周边长时间存放；设备维护保养交由专业公司负责，则其养护过程中产生的废机油、抹布等危险废物要及时带走并按照规范要求处理，不得在现场存放或随意丢弃。针对以上措施制定台账，以便随时备查。</w:t>
            </w:r>
          </w:p>
          <w:p w14:paraId="4606D9F1">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color w:val="auto"/>
                <w:sz w:val="24"/>
                <w:szCs w:val="24"/>
                <w:u w:val="single"/>
              </w:rPr>
            </w:pPr>
            <w:r>
              <w:rPr>
                <w:rFonts w:hint="default"/>
                <w:color w:val="auto"/>
                <w:sz w:val="24"/>
                <w:szCs w:val="24"/>
                <w:u w:val="single"/>
              </w:rPr>
              <w:t>运营期监测计划如下：</w:t>
            </w:r>
          </w:p>
          <w:p w14:paraId="4CD6B1EB">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color w:val="auto"/>
                <w:sz w:val="24"/>
                <w:szCs w:val="24"/>
                <w:u w:val="none"/>
              </w:rPr>
            </w:pPr>
            <w:r>
              <w:rPr>
                <w:rFonts w:hint="default"/>
                <w:color w:val="auto"/>
                <w:sz w:val="24"/>
                <w:szCs w:val="24"/>
                <w:u w:val="single"/>
              </w:rPr>
              <w:t>1）声环境  选择距离居民近的泵站，对厂界的等效连续A声级进行监测，每年4次；</w:t>
            </w:r>
          </w:p>
        </w:tc>
      </w:tr>
      <w:tr w14:paraId="08A35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96" w:type="pct"/>
            <w:shd w:val="clear" w:color="auto" w:fill="auto"/>
            <w:vAlign w:val="center"/>
          </w:tcPr>
          <w:p w14:paraId="7897A8A3">
            <w:pPr>
              <w:pStyle w:val="23"/>
              <w:keepNext w:val="0"/>
              <w:keepLines w:val="0"/>
              <w:suppressLineNumbers w:val="0"/>
              <w:spacing w:before="0" w:beforeAutospacing="0" w:after="0" w:afterAutospacing="0" w:line="240" w:lineRule="auto"/>
              <w:ind w:left="0" w:right="0"/>
              <w:jc w:val="center"/>
              <w:rPr>
                <w:rFonts w:hint="eastAsia" w:ascii="宋体" w:hAnsi="宋体" w:eastAsia="宋体" w:cs="宋体"/>
                <w:b/>
                <w:bCs/>
                <w:snapToGrid w:val="0"/>
                <w:color w:val="auto"/>
                <w:kern w:val="0"/>
                <w:sz w:val="24"/>
                <w:szCs w:val="24"/>
                <w:u w:val="none"/>
              </w:rPr>
            </w:pPr>
            <w:r>
              <w:rPr>
                <w:rFonts w:hint="eastAsia" w:ascii="宋体" w:hAnsi="宋体" w:eastAsia="宋体" w:cs="宋体"/>
                <w:b/>
                <w:bCs/>
                <w:snapToGrid w:val="0"/>
                <w:color w:val="auto"/>
                <w:kern w:val="0"/>
                <w:sz w:val="24"/>
                <w:szCs w:val="24"/>
                <w:u w:val="none"/>
              </w:rPr>
              <w:t>其他</w:t>
            </w:r>
          </w:p>
        </w:tc>
        <w:tc>
          <w:tcPr>
            <w:tcW w:w="4703" w:type="pct"/>
            <w:shd w:val="clear" w:color="auto" w:fill="auto"/>
          </w:tcPr>
          <w:p w14:paraId="48CBA65A">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 w:val="0"/>
                <w:bCs w:val="0"/>
                <w:color w:val="auto"/>
                <w:sz w:val="24"/>
                <w:u w:val="none"/>
                <w:lang w:val="en-US" w:eastAsia="zh-CN"/>
              </w:rPr>
            </w:pPr>
            <w:r>
              <w:rPr>
                <w:rFonts w:hint="default" w:ascii="Times New Roman" w:hAnsi="Times New Roman" w:cs="Times New Roman"/>
                <w:b w:val="0"/>
                <w:bCs w:val="0"/>
                <w:color w:val="auto"/>
                <w:sz w:val="24"/>
                <w:u w:val="none"/>
                <w:lang w:val="en-US" w:eastAsia="zh-CN"/>
              </w:rPr>
              <w:t>为了更好地做好项目环境保护工作，特提出如下建议：</w:t>
            </w:r>
          </w:p>
          <w:p w14:paraId="2C18920E">
            <w:pPr>
              <w:keepNext w:val="0"/>
              <w:keepLines w:val="0"/>
              <w:numPr>
                <w:ilvl w:val="0"/>
                <w:numId w:val="0"/>
              </w:numPr>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cs="Times New Roman"/>
                <w:b/>
                <w:bCs/>
                <w:color w:val="auto"/>
                <w:sz w:val="24"/>
                <w:u w:val="none"/>
                <w:lang w:val="en-US" w:eastAsia="zh-CN"/>
              </w:rPr>
            </w:pPr>
            <w:r>
              <w:rPr>
                <w:rFonts w:hint="default" w:ascii="Times New Roman" w:hAnsi="Times New Roman" w:cs="Times New Roman"/>
                <w:b/>
                <w:bCs/>
                <w:color w:val="auto"/>
                <w:sz w:val="24"/>
                <w:u w:val="none"/>
                <w:lang w:val="en-US" w:eastAsia="zh-CN"/>
              </w:rPr>
              <w:t>1、施工期</w:t>
            </w:r>
          </w:p>
          <w:p w14:paraId="412671A5">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 w:val="0"/>
                <w:bCs w:val="0"/>
                <w:color w:val="auto"/>
                <w:sz w:val="24"/>
                <w:u w:val="none"/>
                <w:lang w:val="en-US" w:eastAsia="zh-CN"/>
              </w:rPr>
            </w:pPr>
            <w:r>
              <w:rPr>
                <w:rFonts w:hint="default" w:ascii="Times New Roman" w:hAnsi="Times New Roman" w:cs="Times New Roman"/>
                <w:b w:val="0"/>
                <w:bCs w:val="0"/>
                <w:color w:val="auto"/>
                <w:sz w:val="24"/>
                <w:u w:val="none"/>
                <w:lang w:val="en-US" w:eastAsia="zh-CN"/>
              </w:rPr>
              <w:t>（1）项目建设方督促施工单位加强施工期的环境管理，落实各项污染防治措施，避免造成环境纠纷。并做好施工公告工作，加强与周边居民的沟通和协调，减少对周边居民正常生活的影响。</w:t>
            </w:r>
          </w:p>
          <w:p w14:paraId="26223B53">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 w:val="0"/>
                <w:bCs w:val="0"/>
                <w:color w:val="auto"/>
                <w:sz w:val="24"/>
                <w:u w:val="none"/>
                <w:lang w:val="en-US" w:eastAsia="zh-CN"/>
              </w:rPr>
            </w:pPr>
            <w:r>
              <w:rPr>
                <w:rFonts w:hint="default" w:ascii="Times New Roman" w:hAnsi="Times New Roman" w:cs="Times New Roman"/>
                <w:b w:val="0"/>
                <w:bCs w:val="0"/>
                <w:color w:val="auto"/>
                <w:sz w:val="24"/>
                <w:u w:val="none"/>
                <w:lang w:val="en-US" w:eastAsia="zh-CN"/>
              </w:rPr>
              <w:t>（2）提高环境意识，加强环境管理。对交通管理人员、施工人员加强环保宣传教育，不断提高环境意识；建立健全环保机构和各项规章制度，保证各项环保政策和措施的落实，保护沿线环境。</w:t>
            </w:r>
          </w:p>
          <w:p w14:paraId="3060B9DD">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 w:val="0"/>
                <w:bCs w:val="0"/>
                <w:color w:val="auto"/>
                <w:sz w:val="24"/>
                <w:u w:val="none"/>
                <w:lang w:val="en-US" w:eastAsia="zh-CN"/>
              </w:rPr>
            </w:pPr>
            <w:r>
              <w:rPr>
                <w:rFonts w:hint="default" w:ascii="Times New Roman" w:hAnsi="Times New Roman" w:cs="Times New Roman"/>
                <w:b w:val="0"/>
                <w:bCs w:val="0"/>
                <w:color w:val="auto"/>
                <w:sz w:val="24"/>
                <w:u w:val="none"/>
                <w:lang w:val="en-US" w:eastAsia="zh-CN"/>
              </w:rPr>
              <w:t>（3）严格按照国家制定的相关规范设计施工和运行管理，提高工程的建设质量。</w:t>
            </w:r>
          </w:p>
          <w:p w14:paraId="3E898694">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 w:val="0"/>
                <w:bCs w:val="0"/>
                <w:color w:val="auto"/>
                <w:sz w:val="24"/>
                <w:u w:val="none"/>
                <w:lang w:val="en-US" w:eastAsia="zh-CN"/>
              </w:rPr>
            </w:pPr>
            <w:r>
              <w:rPr>
                <w:rFonts w:hint="default" w:ascii="Times New Roman" w:hAnsi="Times New Roman" w:cs="Times New Roman"/>
                <w:b w:val="0"/>
                <w:bCs w:val="0"/>
                <w:color w:val="auto"/>
                <w:sz w:val="24"/>
                <w:u w:val="none"/>
                <w:lang w:val="en-US" w:eastAsia="zh-CN"/>
              </w:rPr>
              <w:t>（4）对易遭到破坏的管段设置警告牌，并采取保护措施。</w:t>
            </w:r>
          </w:p>
          <w:p w14:paraId="2B40860A">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 w:val="0"/>
                <w:bCs w:val="0"/>
                <w:color w:val="auto"/>
                <w:sz w:val="24"/>
                <w:u w:val="none"/>
                <w:lang w:val="en-US" w:eastAsia="zh-CN"/>
              </w:rPr>
            </w:pPr>
            <w:r>
              <w:rPr>
                <w:rFonts w:hint="default" w:ascii="Times New Roman" w:hAnsi="Times New Roman" w:cs="Times New Roman"/>
                <w:b w:val="0"/>
                <w:bCs w:val="0"/>
                <w:color w:val="auto"/>
                <w:sz w:val="24"/>
                <w:u w:val="none"/>
                <w:lang w:val="en-US" w:eastAsia="zh-CN"/>
              </w:rPr>
              <w:t>（5）施工时应按照分区施工、分段施工的原则进行，将对城市交通及周围居民生活的影响降到最低。</w:t>
            </w:r>
          </w:p>
          <w:p w14:paraId="48C6FE30">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rPr>
            </w:pPr>
            <w:r>
              <w:rPr>
                <w:rFonts w:hint="default" w:ascii="Times New Roman" w:hAnsi="Times New Roman" w:cs="Times New Roman"/>
                <w:b w:val="0"/>
                <w:bCs w:val="0"/>
                <w:color w:val="auto"/>
                <w:sz w:val="24"/>
                <w:u w:val="none"/>
                <w:lang w:val="en-US" w:eastAsia="zh-CN"/>
              </w:rPr>
              <w:t>（6）项目施工结束后及时恢复临时占地生态原貌</w:t>
            </w:r>
            <w:r>
              <w:rPr>
                <w:rFonts w:hint="default" w:ascii="Times New Roman" w:hAnsi="Times New Roman" w:eastAsia="宋体" w:cs="Times New Roman"/>
                <w:color w:val="auto"/>
                <w:sz w:val="24"/>
                <w:szCs w:val="24"/>
                <w:u w:val="none"/>
              </w:rPr>
              <w:t>。</w:t>
            </w:r>
          </w:p>
          <w:p w14:paraId="4302C888">
            <w:pPr>
              <w:keepNext w:val="0"/>
              <w:keepLines w:val="0"/>
              <w:numPr>
                <w:ilvl w:val="0"/>
                <w:numId w:val="0"/>
              </w:numPr>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u w:val="none"/>
                <w:lang w:eastAsia="zh-CN"/>
              </w:rPr>
            </w:pPr>
            <w:r>
              <w:rPr>
                <w:rFonts w:hint="default" w:ascii="Times New Roman" w:hAnsi="Times New Roman" w:eastAsia="宋体" w:cs="Times New Roman"/>
                <w:b/>
                <w:bCs/>
                <w:color w:val="auto"/>
                <w:sz w:val="24"/>
                <w:szCs w:val="24"/>
                <w:u w:val="none"/>
                <w:lang w:eastAsia="zh-CN"/>
              </w:rPr>
              <w:t>2、运营期返黑返臭预防措施</w:t>
            </w:r>
          </w:p>
          <w:p w14:paraId="795DF7BA">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lang w:eastAsia="zh-CN"/>
              </w:rPr>
            </w:pPr>
            <w:r>
              <w:rPr>
                <w:rFonts w:hint="default" w:ascii="Times New Roman" w:hAnsi="Times New Roman" w:eastAsia="宋体" w:cs="Times New Roman"/>
                <w:color w:val="auto"/>
                <w:sz w:val="24"/>
                <w:szCs w:val="24"/>
                <w:u w:val="none"/>
                <w:lang w:eastAsia="zh-CN"/>
              </w:rPr>
              <w:t>（1）建议政府相关部门加强截污工程管理，防止污水未经处理直接排放。同时加强管网保护。</w:t>
            </w:r>
          </w:p>
          <w:p w14:paraId="7C75CAE5">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lang w:eastAsia="zh-CN"/>
              </w:rPr>
            </w:pPr>
            <w:r>
              <w:rPr>
                <w:rFonts w:hint="default" w:ascii="Times New Roman" w:hAnsi="Times New Roman" w:eastAsia="宋体" w:cs="Times New Roman"/>
                <w:color w:val="auto"/>
                <w:sz w:val="24"/>
                <w:szCs w:val="24"/>
                <w:u w:val="none"/>
                <w:lang w:eastAsia="zh-CN"/>
              </w:rPr>
              <w:t>（2）建议政府相关部门加强管理，加强生活垃圾的管理和宣传教育，并定期巡逻，避免沿线居民生活垃圾和污水随意排入水体，确保水面无大面积漂浮物，岸边无垃圾。</w:t>
            </w:r>
          </w:p>
        </w:tc>
      </w:tr>
      <w:tr w14:paraId="0912F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96" w:type="pct"/>
            <w:shd w:val="clear" w:color="auto" w:fill="auto"/>
            <w:vAlign w:val="center"/>
          </w:tcPr>
          <w:p w14:paraId="6470C215">
            <w:pPr>
              <w:pStyle w:val="23"/>
              <w:keepNext w:val="0"/>
              <w:keepLines w:val="0"/>
              <w:suppressLineNumbers w:val="0"/>
              <w:spacing w:before="0" w:beforeAutospacing="0" w:after="0" w:afterAutospacing="0" w:line="240" w:lineRule="auto"/>
              <w:ind w:left="0" w:right="0"/>
              <w:jc w:val="center"/>
              <w:rPr>
                <w:rFonts w:hint="eastAsia" w:ascii="宋体" w:hAnsi="宋体" w:eastAsia="宋体" w:cs="宋体"/>
                <w:b/>
                <w:bCs/>
                <w:snapToGrid w:val="0"/>
                <w:color w:val="auto"/>
                <w:kern w:val="0"/>
                <w:sz w:val="24"/>
                <w:szCs w:val="24"/>
                <w:u w:val="none"/>
              </w:rPr>
            </w:pPr>
            <w:r>
              <w:rPr>
                <w:rFonts w:hint="eastAsia" w:ascii="宋体" w:hAnsi="宋体" w:eastAsia="宋体" w:cs="宋体"/>
                <w:b/>
                <w:bCs/>
                <w:snapToGrid w:val="0"/>
                <w:color w:val="auto"/>
                <w:kern w:val="0"/>
                <w:sz w:val="24"/>
                <w:szCs w:val="24"/>
                <w:u w:val="none"/>
              </w:rPr>
              <w:t>环保</w:t>
            </w:r>
          </w:p>
          <w:p w14:paraId="01BC0611">
            <w:pPr>
              <w:pStyle w:val="23"/>
              <w:keepNext w:val="0"/>
              <w:keepLines w:val="0"/>
              <w:suppressLineNumbers w:val="0"/>
              <w:spacing w:before="0" w:beforeAutospacing="0" w:after="0" w:afterAutospacing="0" w:line="240" w:lineRule="auto"/>
              <w:ind w:left="0" w:right="0"/>
              <w:jc w:val="center"/>
              <w:rPr>
                <w:rFonts w:hint="eastAsia" w:ascii="宋体" w:hAnsi="宋体" w:eastAsia="宋体" w:cs="宋体"/>
                <w:b/>
                <w:bCs/>
                <w:snapToGrid w:val="0"/>
                <w:color w:val="FF0000"/>
                <w:kern w:val="0"/>
                <w:sz w:val="24"/>
                <w:szCs w:val="24"/>
                <w:u w:val="none"/>
              </w:rPr>
            </w:pPr>
            <w:r>
              <w:rPr>
                <w:rFonts w:hint="eastAsia" w:ascii="宋体" w:hAnsi="宋体" w:eastAsia="宋体" w:cs="宋体"/>
                <w:b/>
                <w:bCs/>
                <w:snapToGrid w:val="0"/>
                <w:color w:val="auto"/>
                <w:kern w:val="0"/>
                <w:sz w:val="24"/>
                <w:szCs w:val="24"/>
                <w:u w:val="none"/>
              </w:rPr>
              <w:t>投资</w:t>
            </w:r>
          </w:p>
        </w:tc>
        <w:tc>
          <w:tcPr>
            <w:tcW w:w="4703" w:type="pct"/>
            <w:shd w:val="clear" w:color="auto" w:fill="auto"/>
          </w:tcPr>
          <w:p w14:paraId="75CDD534">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CIDFont+F2" w:cs="Times New Roman"/>
                <w:color w:val="auto"/>
                <w:kern w:val="0"/>
                <w:sz w:val="24"/>
                <w:u w:val="none"/>
              </w:rPr>
            </w:pPr>
            <w:r>
              <w:rPr>
                <w:rFonts w:hint="default" w:ascii="Times New Roman" w:hAnsi="Times New Roman" w:eastAsia="CIDFont+F2" w:cs="Times New Roman"/>
                <w:color w:val="auto"/>
                <w:kern w:val="0"/>
                <w:sz w:val="24"/>
                <w:u w:val="none"/>
              </w:rPr>
              <w:t>本项目总投资</w:t>
            </w:r>
            <w:r>
              <w:rPr>
                <w:rFonts w:hint="eastAsia" w:eastAsia="CIDFont+F2" w:cs="Times New Roman"/>
                <w:color w:val="auto"/>
                <w:kern w:val="0"/>
                <w:sz w:val="24"/>
                <w:u w:val="none"/>
                <w:lang w:val="en-US" w:eastAsia="zh-CN"/>
              </w:rPr>
              <w:t>6641.1</w:t>
            </w:r>
            <w:r>
              <w:rPr>
                <w:rFonts w:hint="default" w:ascii="Times New Roman" w:hAnsi="Times New Roman" w:eastAsia="CIDFont+F2" w:cs="Times New Roman"/>
                <w:color w:val="auto"/>
                <w:kern w:val="0"/>
                <w:sz w:val="24"/>
                <w:u w:val="none"/>
              </w:rPr>
              <w:t>万元，环保投资</w:t>
            </w:r>
            <w:r>
              <w:rPr>
                <w:rFonts w:hint="eastAsia" w:eastAsia="CIDFont+F2" w:cs="Times New Roman"/>
                <w:color w:val="auto"/>
                <w:kern w:val="0"/>
                <w:sz w:val="24"/>
                <w:u w:val="none"/>
                <w:lang w:val="en-US" w:eastAsia="zh-CN"/>
              </w:rPr>
              <w:t>150</w:t>
            </w:r>
            <w:r>
              <w:rPr>
                <w:rFonts w:hint="default" w:ascii="Times New Roman" w:hAnsi="Times New Roman" w:eastAsia="CIDFont+F2" w:cs="Times New Roman"/>
                <w:color w:val="auto"/>
                <w:kern w:val="0"/>
                <w:sz w:val="24"/>
                <w:u w:val="none"/>
              </w:rPr>
              <w:t>万元，水土保持总投资为329.08万元，本项目环保投资估算详见下表</w:t>
            </w:r>
            <w:r>
              <w:rPr>
                <w:rFonts w:hint="default" w:ascii="Times New Roman" w:hAnsi="Times New Roman" w:eastAsia="CIDFont+F1" w:cs="Times New Roman"/>
                <w:color w:val="auto"/>
                <w:kern w:val="0"/>
                <w:sz w:val="24"/>
                <w:u w:val="none"/>
              </w:rPr>
              <w:t>5-</w:t>
            </w:r>
            <w:r>
              <w:rPr>
                <w:rFonts w:hint="eastAsia" w:eastAsia="CIDFont+F1" w:cs="Times New Roman"/>
                <w:color w:val="auto"/>
                <w:kern w:val="0"/>
                <w:sz w:val="24"/>
                <w:u w:val="none"/>
                <w:lang w:val="en-US" w:eastAsia="zh-CN"/>
              </w:rPr>
              <w:t>2</w:t>
            </w:r>
            <w:r>
              <w:rPr>
                <w:rFonts w:hint="default" w:ascii="Times New Roman" w:hAnsi="Times New Roman" w:eastAsia="CIDFont+F2" w:cs="Times New Roman"/>
                <w:color w:val="auto"/>
                <w:kern w:val="0"/>
                <w:sz w:val="24"/>
                <w:u w:val="none"/>
              </w:rPr>
              <w:t>：</w:t>
            </w:r>
          </w:p>
          <w:p w14:paraId="7F97E778">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b/>
                <w:bCs/>
                <w:color w:val="auto"/>
                <w:kern w:val="0"/>
                <w:szCs w:val="21"/>
                <w:u w:val="none"/>
              </w:rPr>
            </w:pPr>
            <w:r>
              <w:rPr>
                <w:rFonts w:hint="default" w:ascii="Times New Roman" w:hAnsi="Times New Roman" w:cs="Times New Roman"/>
                <w:b/>
                <w:bCs/>
                <w:color w:val="auto"/>
                <w:kern w:val="0"/>
                <w:sz w:val="20"/>
                <w:u w:val="none"/>
              </w:rPr>
              <w:t>表5-</w:t>
            </w:r>
            <w:r>
              <w:rPr>
                <w:rFonts w:hint="eastAsia" w:cs="Times New Roman"/>
                <w:b/>
                <w:bCs/>
                <w:color w:val="auto"/>
                <w:kern w:val="0"/>
                <w:sz w:val="20"/>
                <w:u w:val="none"/>
                <w:lang w:val="en-US" w:eastAsia="zh-CN"/>
              </w:rPr>
              <w:t xml:space="preserve">2 </w:t>
            </w:r>
            <w:r>
              <w:rPr>
                <w:rFonts w:hint="default" w:ascii="Times New Roman" w:hAnsi="Times New Roman" w:cs="Times New Roman"/>
                <w:b/>
                <w:bCs/>
                <w:color w:val="auto"/>
                <w:kern w:val="0"/>
                <w:sz w:val="20"/>
                <w:u w:val="none"/>
              </w:rPr>
              <w:t xml:space="preserve"> 项目环保投资估算一览表</w:t>
            </w:r>
          </w:p>
          <w:tbl>
            <w:tblPr>
              <w:tblStyle w:val="2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68" w:type="dxa"/>
                <w:bottom w:w="0" w:type="dxa"/>
                <w:right w:w="68" w:type="dxa"/>
              </w:tblCellMar>
            </w:tblPr>
            <w:tblGrid>
              <w:gridCol w:w="769"/>
              <w:gridCol w:w="991"/>
              <w:gridCol w:w="1184"/>
              <w:gridCol w:w="3809"/>
              <w:gridCol w:w="1034"/>
            </w:tblGrid>
            <w:tr w14:paraId="75B6E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494" w:type="pct"/>
                  <w:vAlign w:val="center"/>
                </w:tcPr>
                <w:p w14:paraId="359E3F05">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bCs/>
                      <w:color w:val="auto"/>
                      <w:szCs w:val="21"/>
                      <w:u w:val="none"/>
                    </w:rPr>
                  </w:pPr>
                  <w:r>
                    <w:rPr>
                      <w:rFonts w:hint="default" w:ascii="Times New Roman" w:hAnsi="Times New Roman" w:cs="Times New Roman"/>
                      <w:b/>
                      <w:bCs/>
                      <w:color w:val="auto"/>
                      <w:szCs w:val="21"/>
                      <w:u w:val="none"/>
                    </w:rPr>
                    <w:t>类别</w:t>
                  </w:r>
                </w:p>
              </w:tc>
              <w:tc>
                <w:tcPr>
                  <w:tcW w:w="636" w:type="pct"/>
                  <w:vAlign w:val="center"/>
                </w:tcPr>
                <w:p w14:paraId="5EB41D2F">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bCs/>
                      <w:color w:val="auto"/>
                      <w:szCs w:val="21"/>
                      <w:u w:val="none"/>
                    </w:rPr>
                  </w:pPr>
                  <w:r>
                    <w:rPr>
                      <w:rFonts w:hint="default" w:ascii="Times New Roman" w:hAnsi="Times New Roman" w:cs="Times New Roman"/>
                      <w:b/>
                      <w:bCs/>
                      <w:color w:val="auto"/>
                      <w:szCs w:val="21"/>
                      <w:u w:val="none"/>
                    </w:rPr>
                    <w:t>排放源</w:t>
                  </w:r>
                </w:p>
              </w:tc>
              <w:tc>
                <w:tcPr>
                  <w:tcW w:w="760" w:type="pct"/>
                  <w:vAlign w:val="center"/>
                </w:tcPr>
                <w:p w14:paraId="74DAE204">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bCs/>
                      <w:color w:val="auto"/>
                      <w:szCs w:val="21"/>
                      <w:u w:val="none"/>
                    </w:rPr>
                  </w:pPr>
                  <w:r>
                    <w:rPr>
                      <w:rFonts w:hint="default" w:ascii="Times New Roman" w:hAnsi="Times New Roman" w:cs="Times New Roman"/>
                      <w:b/>
                      <w:bCs/>
                      <w:color w:val="auto"/>
                      <w:szCs w:val="21"/>
                      <w:u w:val="none"/>
                    </w:rPr>
                    <w:t>污染物名称</w:t>
                  </w:r>
                </w:p>
              </w:tc>
              <w:tc>
                <w:tcPr>
                  <w:tcW w:w="2444" w:type="pct"/>
                  <w:vAlign w:val="center"/>
                </w:tcPr>
                <w:p w14:paraId="5AC7FDC7">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bCs/>
                      <w:color w:val="auto"/>
                      <w:szCs w:val="21"/>
                      <w:u w:val="none"/>
                    </w:rPr>
                  </w:pPr>
                  <w:r>
                    <w:rPr>
                      <w:rFonts w:hint="default" w:ascii="Times New Roman" w:hAnsi="Times New Roman" w:cs="Times New Roman"/>
                      <w:b/>
                      <w:bCs/>
                      <w:color w:val="auto"/>
                      <w:szCs w:val="21"/>
                      <w:u w:val="none"/>
                    </w:rPr>
                    <w:t>环保措施</w:t>
                  </w:r>
                </w:p>
              </w:tc>
              <w:tc>
                <w:tcPr>
                  <w:tcW w:w="663" w:type="pct"/>
                  <w:vAlign w:val="center"/>
                </w:tcPr>
                <w:p w14:paraId="65A1CF8A">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bCs/>
                      <w:color w:val="auto"/>
                      <w:szCs w:val="21"/>
                      <w:u w:val="none"/>
                    </w:rPr>
                  </w:pPr>
                  <w:r>
                    <w:rPr>
                      <w:rFonts w:hint="default" w:ascii="Times New Roman" w:hAnsi="Times New Roman" w:cs="Times New Roman"/>
                      <w:b/>
                      <w:bCs/>
                      <w:color w:val="auto"/>
                      <w:szCs w:val="21"/>
                      <w:u w:val="none"/>
                    </w:rPr>
                    <w:t>投资（万元）</w:t>
                  </w:r>
                </w:p>
              </w:tc>
            </w:tr>
            <w:tr w14:paraId="6E666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5000" w:type="pct"/>
                  <w:gridSpan w:val="5"/>
                  <w:vAlign w:val="center"/>
                </w:tcPr>
                <w:p w14:paraId="18AB49BB">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bCs/>
                      <w:color w:val="auto"/>
                      <w:szCs w:val="21"/>
                      <w:u w:val="none"/>
                      <w:lang w:eastAsia="zh-CN"/>
                    </w:rPr>
                  </w:pPr>
                  <w:r>
                    <w:rPr>
                      <w:rFonts w:hint="eastAsia" w:ascii="Times New Roman" w:hAnsi="Times New Roman" w:cs="Times New Roman"/>
                      <w:b/>
                      <w:bCs/>
                      <w:color w:val="auto"/>
                      <w:szCs w:val="21"/>
                      <w:u w:val="none"/>
                      <w:lang w:eastAsia="zh-CN"/>
                    </w:rPr>
                    <w:t>施工期</w:t>
                  </w:r>
                </w:p>
              </w:tc>
            </w:tr>
            <w:tr w14:paraId="41E6F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56" w:hRule="atLeast"/>
                <w:jc w:val="center"/>
              </w:trPr>
              <w:tc>
                <w:tcPr>
                  <w:tcW w:w="494" w:type="pct"/>
                  <w:vMerge w:val="restart"/>
                  <w:vAlign w:val="center"/>
                </w:tcPr>
                <w:p w14:paraId="53702DC6">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废气</w:t>
                  </w:r>
                </w:p>
              </w:tc>
              <w:tc>
                <w:tcPr>
                  <w:tcW w:w="636" w:type="pct"/>
                  <w:vAlign w:val="center"/>
                </w:tcPr>
                <w:p w14:paraId="4CD439F3">
                  <w:pPr>
                    <w:pStyle w:val="7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val="0"/>
                      <w:bCs w:val="0"/>
                      <w:color w:val="auto"/>
                      <w:szCs w:val="21"/>
                      <w:u w:val="none"/>
                      <w:lang w:val="en-US" w:eastAsia="zh-CN"/>
                    </w:rPr>
                  </w:pPr>
                  <w:r>
                    <w:rPr>
                      <w:rFonts w:hint="eastAsia" w:cs="Times New Roman"/>
                      <w:b w:val="0"/>
                      <w:bCs w:val="0"/>
                      <w:color w:val="auto"/>
                      <w:szCs w:val="21"/>
                      <w:u w:val="none"/>
                      <w:lang w:val="en-US" w:eastAsia="zh-CN"/>
                    </w:rPr>
                    <w:t>施工</w:t>
                  </w:r>
                </w:p>
              </w:tc>
              <w:tc>
                <w:tcPr>
                  <w:tcW w:w="760" w:type="pct"/>
                  <w:vAlign w:val="center"/>
                </w:tcPr>
                <w:p w14:paraId="310F75A6">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扬尘</w:t>
                  </w:r>
                </w:p>
              </w:tc>
              <w:tc>
                <w:tcPr>
                  <w:tcW w:w="2444" w:type="pct"/>
                  <w:vAlign w:val="center"/>
                </w:tcPr>
                <w:p w14:paraId="7FE3B236">
                  <w:pPr>
                    <w:pStyle w:val="7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val="0"/>
                      <w:bCs w:val="0"/>
                      <w:color w:val="auto"/>
                      <w:szCs w:val="21"/>
                      <w:u w:val="none"/>
                      <w:lang w:val="en-US" w:eastAsia="zh-CN"/>
                    </w:rPr>
                  </w:pPr>
                  <w:r>
                    <w:rPr>
                      <w:rFonts w:hint="eastAsia" w:ascii="Times New Roman" w:hAnsi="Times New Roman" w:eastAsia="宋体" w:cs="Times New Roman"/>
                      <w:b w:val="0"/>
                      <w:bCs w:val="0"/>
                      <w:color w:val="auto"/>
                      <w:szCs w:val="21"/>
                      <w:u w:val="none"/>
                      <w:lang w:eastAsia="zh-CN"/>
                    </w:rPr>
                    <w:t>运输车辆的帆布等遮盖物；施工现场洒水抑尘设施</w:t>
                  </w:r>
                  <w:r>
                    <w:rPr>
                      <w:rFonts w:hint="eastAsia" w:cs="Times New Roman"/>
                      <w:b w:val="0"/>
                      <w:bCs w:val="0"/>
                      <w:color w:val="auto"/>
                      <w:szCs w:val="21"/>
                      <w:u w:val="none"/>
                      <w:lang w:val="en-US" w:eastAsia="zh-CN"/>
                    </w:rPr>
                    <w:t>等</w:t>
                  </w:r>
                </w:p>
              </w:tc>
              <w:tc>
                <w:tcPr>
                  <w:tcW w:w="663" w:type="pct"/>
                  <w:vMerge w:val="restart"/>
                  <w:vAlign w:val="center"/>
                </w:tcPr>
                <w:p w14:paraId="4CC135A5">
                  <w:pPr>
                    <w:pStyle w:val="7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val="0"/>
                      <w:bCs w:val="0"/>
                      <w:color w:val="auto"/>
                      <w:szCs w:val="21"/>
                      <w:u w:val="none"/>
                      <w:lang w:val="en-US" w:eastAsia="zh-CN"/>
                    </w:rPr>
                  </w:pPr>
                  <w:r>
                    <w:rPr>
                      <w:rFonts w:hint="eastAsia" w:cs="Times New Roman"/>
                      <w:b w:val="0"/>
                      <w:bCs w:val="0"/>
                      <w:color w:val="auto"/>
                      <w:szCs w:val="21"/>
                      <w:u w:val="none"/>
                      <w:lang w:val="en-US" w:eastAsia="zh-CN"/>
                    </w:rPr>
                    <w:t>25</w:t>
                  </w:r>
                </w:p>
              </w:tc>
            </w:tr>
            <w:tr w14:paraId="768A3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494" w:type="pct"/>
                  <w:vMerge w:val="continue"/>
                  <w:vAlign w:val="center"/>
                </w:tcPr>
                <w:p w14:paraId="7F7AED83">
                  <w:pPr>
                    <w:pStyle w:val="72"/>
                    <w:keepNext w:val="0"/>
                    <w:keepLines w:val="0"/>
                    <w:suppressLineNumbers w:val="0"/>
                    <w:spacing w:before="0" w:beforeAutospacing="0" w:after="0" w:afterAutospacing="0" w:line="320" w:lineRule="exact"/>
                    <w:ind w:left="0" w:right="0"/>
                    <w:rPr>
                      <w:rFonts w:hint="eastAsia" w:ascii="Times New Roman" w:hAnsi="Times New Roman" w:cs="Times New Roman"/>
                      <w:b w:val="0"/>
                      <w:bCs w:val="0"/>
                      <w:color w:val="auto"/>
                      <w:szCs w:val="21"/>
                      <w:u w:val="none"/>
                      <w:lang w:eastAsia="zh-CN"/>
                    </w:rPr>
                  </w:pPr>
                </w:p>
              </w:tc>
              <w:tc>
                <w:tcPr>
                  <w:tcW w:w="636" w:type="pct"/>
                  <w:vAlign w:val="center"/>
                </w:tcPr>
                <w:p w14:paraId="0E3DDE6A">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清淤</w:t>
                  </w:r>
                </w:p>
              </w:tc>
              <w:tc>
                <w:tcPr>
                  <w:tcW w:w="760" w:type="pct"/>
                  <w:vAlign w:val="center"/>
                </w:tcPr>
                <w:p w14:paraId="393CE800">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臭气</w:t>
                  </w:r>
                </w:p>
              </w:tc>
              <w:tc>
                <w:tcPr>
                  <w:tcW w:w="2444" w:type="pct"/>
                  <w:vAlign w:val="center"/>
                </w:tcPr>
                <w:p w14:paraId="211739A6">
                  <w:pPr>
                    <w:pStyle w:val="72"/>
                    <w:keepNext w:val="0"/>
                    <w:keepLines w:val="0"/>
                    <w:suppressLineNumbers w:val="0"/>
                    <w:spacing w:before="0" w:beforeAutospacing="0" w:after="0" w:afterAutospacing="0" w:line="320" w:lineRule="exact"/>
                    <w:ind w:left="0" w:right="0"/>
                    <w:rPr>
                      <w:rFonts w:hint="eastAsia" w:ascii="Times New Roman" w:hAnsi="Times New Roman"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清淤现场定期喷洒生物除臭剂</w:t>
                  </w:r>
                </w:p>
              </w:tc>
              <w:tc>
                <w:tcPr>
                  <w:tcW w:w="663" w:type="pct"/>
                  <w:vMerge w:val="continue"/>
                  <w:vAlign w:val="center"/>
                </w:tcPr>
                <w:p w14:paraId="5BF3EF52">
                  <w:pPr>
                    <w:pStyle w:val="72"/>
                    <w:keepNext w:val="0"/>
                    <w:keepLines w:val="0"/>
                    <w:suppressLineNumbers w:val="0"/>
                    <w:spacing w:before="0" w:beforeAutospacing="0" w:after="0" w:afterAutospacing="0" w:line="320" w:lineRule="exact"/>
                    <w:ind w:left="0" w:right="0"/>
                    <w:rPr>
                      <w:rFonts w:hint="eastAsia" w:ascii="Times New Roman" w:hAnsi="Times New Roman" w:cs="Times New Roman"/>
                      <w:b w:val="0"/>
                      <w:bCs w:val="0"/>
                      <w:color w:val="auto"/>
                      <w:szCs w:val="21"/>
                      <w:u w:val="none"/>
                      <w:lang w:val="en-US" w:eastAsia="zh-CN"/>
                    </w:rPr>
                  </w:pPr>
                </w:p>
              </w:tc>
            </w:tr>
            <w:tr w14:paraId="24FEE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494" w:type="pct"/>
                  <w:vMerge w:val="restart"/>
                  <w:vAlign w:val="center"/>
                </w:tcPr>
                <w:p w14:paraId="34032C41">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废水</w:t>
                  </w:r>
                </w:p>
              </w:tc>
              <w:tc>
                <w:tcPr>
                  <w:tcW w:w="636" w:type="pct"/>
                  <w:vAlign w:val="center"/>
                </w:tcPr>
                <w:p w14:paraId="0D59208E">
                  <w:pPr>
                    <w:pStyle w:val="7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val="0"/>
                      <w:bCs w:val="0"/>
                      <w:color w:val="auto"/>
                      <w:szCs w:val="21"/>
                      <w:u w:val="none"/>
                      <w:lang w:val="en-US" w:eastAsia="zh-CN"/>
                    </w:rPr>
                  </w:pPr>
                  <w:r>
                    <w:rPr>
                      <w:rFonts w:hint="eastAsia" w:cs="Times New Roman"/>
                      <w:b w:val="0"/>
                      <w:bCs w:val="0"/>
                      <w:color w:val="auto"/>
                      <w:szCs w:val="21"/>
                      <w:u w:val="none"/>
                      <w:lang w:val="en-US" w:eastAsia="zh-CN"/>
                    </w:rPr>
                    <w:t>车辆清洗等</w:t>
                  </w:r>
                </w:p>
              </w:tc>
              <w:tc>
                <w:tcPr>
                  <w:tcW w:w="760" w:type="pct"/>
                  <w:vAlign w:val="center"/>
                </w:tcPr>
                <w:p w14:paraId="3329DB49">
                  <w:pPr>
                    <w:pStyle w:val="7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val="0"/>
                      <w:bCs w:val="0"/>
                      <w:color w:val="auto"/>
                      <w:szCs w:val="21"/>
                      <w:u w:val="none"/>
                      <w:lang w:val="en-US" w:eastAsia="zh-CN"/>
                    </w:rPr>
                  </w:pPr>
                  <w:r>
                    <w:rPr>
                      <w:rFonts w:hint="eastAsia" w:cs="Times New Roman"/>
                      <w:b w:val="0"/>
                      <w:bCs w:val="0"/>
                      <w:color w:val="auto"/>
                      <w:szCs w:val="21"/>
                      <w:u w:val="none"/>
                      <w:lang w:val="en-US" w:eastAsia="zh-CN"/>
                    </w:rPr>
                    <w:t>悬浮物、石油类</w:t>
                  </w:r>
                </w:p>
              </w:tc>
              <w:tc>
                <w:tcPr>
                  <w:tcW w:w="2444" w:type="pct"/>
                  <w:vAlign w:val="center"/>
                </w:tcPr>
                <w:p w14:paraId="0074D329">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val="0"/>
                      <w:bCs w:val="0"/>
                      <w:color w:val="auto"/>
                      <w:szCs w:val="21"/>
                      <w:u w:val="none"/>
                      <w:lang w:eastAsia="zh-CN"/>
                    </w:rPr>
                  </w:pPr>
                  <w:r>
                    <w:rPr>
                      <w:rFonts w:hint="eastAsia" w:ascii="Times New Roman" w:hAnsi="Times New Roman" w:eastAsia="宋体" w:cs="Times New Roman"/>
                      <w:b w:val="0"/>
                      <w:bCs w:val="0"/>
                      <w:color w:val="auto"/>
                      <w:szCs w:val="21"/>
                      <w:u w:val="none"/>
                      <w:lang w:eastAsia="zh-CN"/>
                    </w:rPr>
                    <w:t>施工沿线设置临时沉淀池，施工两侧沿线分段设置雨水收集沟以及小型简易沉淀池，具体设置规模和地点</w:t>
                  </w:r>
                </w:p>
                <w:p w14:paraId="0B9FF0B1">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val="0"/>
                      <w:bCs w:val="0"/>
                      <w:color w:val="auto"/>
                      <w:szCs w:val="21"/>
                      <w:u w:val="none"/>
                      <w:lang w:eastAsia="zh-CN"/>
                    </w:rPr>
                  </w:pPr>
                  <w:r>
                    <w:rPr>
                      <w:rFonts w:hint="eastAsia" w:ascii="Times New Roman" w:hAnsi="Times New Roman" w:eastAsia="宋体" w:cs="Times New Roman"/>
                      <w:b w:val="0"/>
                      <w:bCs w:val="0"/>
                      <w:color w:val="auto"/>
                      <w:szCs w:val="21"/>
                      <w:u w:val="none"/>
                      <w:lang w:eastAsia="zh-CN"/>
                    </w:rPr>
                    <w:t>可以根据现场情况局部调整。</w:t>
                  </w:r>
                </w:p>
              </w:tc>
              <w:tc>
                <w:tcPr>
                  <w:tcW w:w="663" w:type="pct"/>
                  <w:vMerge w:val="restart"/>
                  <w:vAlign w:val="center"/>
                </w:tcPr>
                <w:p w14:paraId="53A39C29">
                  <w:pPr>
                    <w:pStyle w:val="7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val="0"/>
                      <w:bCs w:val="0"/>
                      <w:color w:val="auto"/>
                      <w:szCs w:val="21"/>
                      <w:u w:val="none"/>
                      <w:lang w:val="en-US" w:eastAsia="zh-CN"/>
                    </w:rPr>
                  </w:pPr>
                  <w:r>
                    <w:rPr>
                      <w:rFonts w:hint="eastAsia" w:cs="Times New Roman"/>
                      <w:b w:val="0"/>
                      <w:bCs w:val="0"/>
                      <w:color w:val="auto"/>
                      <w:szCs w:val="21"/>
                      <w:u w:val="none"/>
                      <w:lang w:val="en-US" w:eastAsia="zh-CN"/>
                    </w:rPr>
                    <w:t>80</w:t>
                  </w:r>
                </w:p>
              </w:tc>
            </w:tr>
            <w:tr w14:paraId="307CE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494" w:type="pct"/>
                  <w:vMerge w:val="continue"/>
                  <w:vAlign w:val="center"/>
                </w:tcPr>
                <w:p w14:paraId="72BB83A5">
                  <w:pPr>
                    <w:pStyle w:val="72"/>
                    <w:keepNext w:val="0"/>
                    <w:keepLines w:val="0"/>
                    <w:suppressLineNumbers w:val="0"/>
                    <w:spacing w:before="0" w:beforeAutospacing="0" w:after="0" w:afterAutospacing="0" w:line="320" w:lineRule="exact"/>
                    <w:ind w:left="0" w:right="0"/>
                    <w:rPr>
                      <w:rFonts w:hint="eastAsia" w:ascii="Times New Roman" w:hAnsi="Times New Roman" w:cs="Times New Roman"/>
                      <w:b w:val="0"/>
                      <w:bCs w:val="0"/>
                      <w:color w:val="auto"/>
                      <w:szCs w:val="21"/>
                      <w:u w:val="none"/>
                      <w:lang w:eastAsia="zh-CN"/>
                    </w:rPr>
                  </w:pPr>
                </w:p>
              </w:tc>
              <w:tc>
                <w:tcPr>
                  <w:tcW w:w="636" w:type="pct"/>
                  <w:vAlign w:val="center"/>
                </w:tcPr>
                <w:p w14:paraId="36124CFE">
                  <w:pPr>
                    <w:pStyle w:val="72"/>
                    <w:keepNext w:val="0"/>
                    <w:keepLines w:val="0"/>
                    <w:suppressLineNumbers w:val="0"/>
                    <w:spacing w:before="0" w:beforeAutospacing="0" w:after="0" w:afterAutospacing="0" w:line="320" w:lineRule="exact"/>
                    <w:ind w:left="0" w:right="0"/>
                    <w:rPr>
                      <w:rFonts w:hint="default" w:cs="Times New Roman"/>
                      <w:b w:val="0"/>
                      <w:bCs w:val="0"/>
                      <w:color w:val="auto"/>
                      <w:szCs w:val="21"/>
                      <w:u w:val="none"/>
                      <w:lang w:val="en-US" w:eastAsia="zh-CN"/>
                    </w:rPr>
                  </w:pPr>
                  <w:r>
                    <w:rPr>
                      <w:rFonts w:hint="eastAsia" w:cs="Times New Roman"/>
                      <w:b w:val="0"/>
                      <w:bCs w:val="0"/>
                      <w:color w:val="auto"/>
                      <w:szCs w:val="21"/>
                      <w:u w:val="none"/>
                      <w:lang w:val="en-US" w:eastAsia="zh-CN"/>
                    </w:rPr>
                    <w:t>淤泥脱水</w:t>
                  </w:r>
                </w:p>
              </w:tc>
              <w:tc>
                <w:tcPr>
                  <w:tcW w:w="760" w:type="pct"/>
                  <w:vAlign w:val="center"/>
                </w:tcPr>
                <w:p w14:paraId="5FD4A14F">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悬浮物</w:t>
                  </w:r>
                </w:p>
              </w:tc>
              <w:tc>
                <w:tcPr>
                  <w:tcW w:w="2444" w:type="pct"/>
                  <w:vAlign w:val="center"/>
                </w:tcPr>
                <w:p w14:paraId="0790CFB8">
                  <w:pPr>
                    <w:pStyle w:val="7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val="0"/>
                      <w:bCs w:val="0"/>
                      <w:color w:val="auto"/>
                      <w:szCs w:val="21"/>
                      <w:u w:val="none"/>
                      <w:lang w:val="en-US" w:eastAsia="zh-CN"/>
                    </w:rPr>
                  </w:pPr>
                  <w:r>
                    <w:rPr>
                      <w:rFonts w:hint="default" w:ascii="Times New Roman" w:hAnsi="Times New Roman" w:eastAsia="宋体" w:cs="Times New Roman"/>
                      <w:b w:val="0"/>
                      <w:bCs w:val="0"/>
                      <w:color w:val="auto"/>
                      <w:szCs w:val="21"/>
                      <w:u w:val="none"/>
                      <w:lang w:val="en-US" w:eastAsia="zh-CN"/>
                    </w:rPr>
                    <w:t>淤泥脱水废水经三级沉淀池→混凝沉淀（PAC+PAM）→活性炭吸附→清水池回用/达标排放，员工生活依托租赁民房，产生的废水经市政污水管网排放处理。</w:t>
                  </w:r>
                </w:p>
              </w:tc>
              <w:tc>
                <w:tcPr>
                  <w:tcW w:w="663" w:type="pct"/>
                  <w:vMerge w:val="continue"/>
                  <w:vAlign w:val="center"/>
                </w:tcPr>
                <w:p w14:paraId="75D2D273">
                  <w:pPr>
                    <w:pStyle w:val="72"/>
                    <w:keepNext w:val="0"/>
                    <w:keepLines w:val="0"/>
                    <w:suppressLineNumbers w:val="0"/>
                    <w:spacing w:before="0" w:beforeAutospacing="0" w:after="0" w:afterAutospacing="0" w:line="320" w:lineRule="exact"/>
                    <w:ind w:left="0" w:right="0"/>
                    <w:rPr>
                      <w:rFonts w:hint="eastAsia" w:cs="Times New Roman"/>
                      <w:b w:val="0"/>
                      <w:bCs w:val="0"/>
                      <w:color w:val="auto"/>
                      <w:szCs w:val="21"/>
                      <w:u w:val="none"/>
                      <w:lang w:val="en-US" w:eastAsia="zh-CN"/>
                    </w:rPr>
                  </w:pPr>
                </w:p>
              </w:tc>
            </w:tr>
            <w:tr w14:paraId="70A0C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494" w:type="pct"/>
                  <w:vAlign w:val="center"/>
                </w:tcPr>
                <w:p w14:paraId="15441B2B">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噪声</w:t>
                  </w:r>
                </w:p>
              </w:tc>
              <w:tc>
                <w:tcPr>
                  <w:tcW w:w="636" w:type="pct"/>
                  <w:vAlign w:val="center"/>
                </w:tcPr>
                <w:p w14:paraId="4E95E9DA">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w:t>
                  </w:r>
                </w:p>
              </w:tc>
              <w:tc>
                <w:tcPr>
                  <w:tcW w:w="760" w:type="pct"/>
                  <w:vAlign w:val="center"/>
                </w:tcPr>
                <w:p w14:paraId="79BEDAAE">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噪声</w:t>
                  </w:r>
                </w:p>
              </w:tc>
              <w:tc>
                <w:tcPr>
                  <w:tcW w:w="2444" w:type="pct"/>
                  <w:vAlign w:val="center"/>
                </w:tcPr>
                <w:p w14:paraId="34299AC1">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val="0"/>
                      <w:bCs w:val="0"/>
                      <w:color w:val="auto"/>
                      <w:szCs w:val="21"/>
                      <w:u w:val="none"/>
                    </w:rPr>
                  </w:pPr>
                  <w:r>
                    <w:rPr>
                      <w:rFonts w:hint="eastAsia" w:ascii="Times New Roman" w:hAnsi="Times New Roman" w:cs="Times New Roman"/>
                      <w:b w:val="0"/>
                      <w:bCs w:val="0"/>
                      <w:color w:val="auto"/>
                      <w:szCs w:val="21"/>
                      <w:u w:val="none"/>
                      <w:lang w:eastAsia="zh-CN"/>
                    </w:rPr>
                    <w:t>低噪声设备施工加装临时隔声板、布设围障隔声等降噪措施</w:t>
                  </w:r>
                  <w:r>
                    <w:rPr>
                      <w:rFonts w:hint="eastAsia" w:cs="Times New Roman"/>
                      <w:b w:val="0"/>
                      <w:bCs w:val="0"/>
                      <w:color w:val="auto"/>
                      <w:szCs w:val="21"/>
                      <w:u w:val="none"/>
                      <w:lang w:eastAsia="zh-CN"/>
                    </w:rPr>
                    <w:t>，</w:t>
                  </w:r>
                </w:p>
              </w:tc>
              <w:tc>
                <w:tcPr>
                  <w:tcW w:w="663" w:type="pct"/>
                  <w:vAlign w:val="center"/>
                </w:tcPr>
                <w:p w14:paraId="0CC7B430">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val="0"/>
                      <w:bCs w:val="0"/>
                      <w:color w:val="auto"/>
                      <w:szCs w:val="21"/>
                      <w:u w:val="none"/>
                      <w:lang w:val="en-US"/>
                    </w:rPr>
                  </w:pPr>
                  <w:r>
                    <w:rPr>
                      <w:rFonts w:hint="eastAsia" w:cs="Times New Roman"/>
                      <w:b w:val="0"/>
                      <w:bCs w:val="0"/>
                      <w:color w:val="auto"/>
                      <w:szCs w:val="21"/>
                      <w:u w:val="none"/>
                      <w:lang w:val="en-US" w:eastAsia="zh-CN"/>
                    </w:rPr>
                    <w:t>15</w:t>
                  </w:r>
                </w:p>
              </w:tc>
            </w:tr>
            <w:tr w14:paraId="3250A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494" w:type="pct"/>
                  <w:vMerge w:val="restart"/>
                  <w:vAlign w:val="center"/>
                </w:tcPr>
                <w:p w14:paraId="21980BFF">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固废</w:t>
                  </w:r>
                </w:p>
              </w:tc>
              <w:tc>
                <w:tcPr>
                  <w:tcW w:w="636" w:type="pct"/>
                  <w:vAlign w:val="center"/>
                </w:tcPr>
                <w:p w14:paraId="2649B9C2">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w:t>
                  </w:r>
                </w:p>
              </w:tc>
              <w:tc>
                <w:tcPr>
                  <w:tcW w:w="760" w:type="pct"/>
                  <w:vAlign w:val="center"/>
                </w:tcPr>
                <w:p w14:paraId="4DB4AF5E">
                  <w:pPr>
                    <w:pStyle w:val="7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eastAsia="zh-CN"/>
                    </w:rPr>
                    <w:t>建筑垃圾、生活垃圾</w:t>
                  </w:r>
                </w:p>
              </w:tc>
              <w:tc>
                <w:tcPr>
                  <w:tcW w:w="2444" w:type="pct"/>
                  <w:vAlign w:val="center"/>
                </w:tcPr>
                <w:p w14:paraId="5F0F4164">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固废清运及时回填弃土，设立生活垃圾收集垃圾桶</w:t>
                  </w:r>
                  <w:r>
                    <w:rPr>
                      <w:rFonts w:hint="default" w:ascii="Times New Roman" w:hAnsi="Times New Roman" w:cs="Times New Roman"/>
                      <w:b w:val="0"/>
                      <w:bCs w:val="0"/>
                      <w:color w:val="auto"/>
                      <w:szCs w:val="21"/>
                      <w:u w:val="none"/>
                      <w:lang w:val="en-US" w:eastAsia="zh-CN"/>
                    </w:rPr>
                    <w:t>；清淤过程中产生的垃圾及施工人员生活垃圾集中分类收集，交由当地环卫部门处理</w:t>
                  </w:r>
                </w:p>
              </w:tc>
              <w:tc>
                <w:tcPr>
                  <w:tcW w:w="663" w:type="pct"/>
                  <w:vAlign w:val="center"/>
                </w:tcPr>
                <w:p w14:paraId="2D39E5AE">
                  <w:pPr>
                    <w:pStyle w:val="72"/>
                    <w:keepNext w:val="0"/>
                    <w:keepLines w:val="0"/>
                    <w:suppressLineNumbers w:val="0"/>
                    <w:spacing w:before="0" w:beforeAutospacing="0" w:after="0" w:afterAutospacing="0" w:line="320" w:lineRule="exact"/>
                    <w:ind w:left="0" w:right="0"/>
                    <w:rPr>
                      <w:rFonts w:hint="default" w:ascii="Times New Roman" w:hAnsi="Times New Roman" w:eastAsia="宋体" w:cs="Times New Roman"/>
                      <w:b w:val="0"/>
                      <w:bCs w:val="0"/>
                      <w:color w:val="auto"/>
                      <w:szCs w:val="21"/>
                      <w:u w:val="none"/>
                      <w:lang w:val="en-US" w:eastAsia="zh-CN"/>
                    </w:rPr>
                  </w:pPr>
                  <w:r>
                    <w:rPr>
                      <w:rFonts w:hint="eastAsia" w:cs="Times New Roman"/>
                      <w:b w:val="0"/>
                      <w:bCs w:val="0"/>
                      <w:color w:val="auto"/>
                      <w:szCs w:val="21"/>
                      <w:u w:val="none"/>
                      <w:lang w:val="en-US" w:eastAsia="zh-CN"/>
                    </w:rPr>
                    <w:t>5</w:t>
                  </w:r>
                </w:p>
              </w:tc>
            </w:tr>
            <w:tr w14:paraId="7CD4B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494" w:type="pct"/>
                  <w:vMerge w:val="continue"/>
                  <w:vAlign w:val="center"/>
                </w:tcPr>
                <w:p w14:paraId="65CF79DD">
                  <w:pPr>
                    <w:pStyle w:val="72"/>
                    <w:keepNext w:val="0"/>
                    <w:keepLines w:val="0"/>
                    <w:suppressLineNumbers w:val="0"/>
                    <w:spacing w:before="0" w:beforeAutospacing="0" w:after="0" w:afterAutospacing="0" w:line="320" w:lineRule="exact"/>
                    <w:ind w:left="0" w:right="0"/>
                    <w:rPr>
                      <w:rFonts w:hint="eastAsia" w:ascii="Times New Roman" w:hAnsi="Times New Roman" w:cs="Times New Roman"/>
                      <w:b w:val="0"/>
                      <w:bCs w:val="0"/>
                      <w:color w:val="auto"/>
                      <w:szCs w:val="21"/>
                      <w:u w:val="none"/>
                      <w:lang w:eastAsia="zh-CN"/>
                    </w:rPr>
                  </w:pPr>
                </w:p>
              </w:tc>
              <w:tc>
                <w:tcPr>
                  <w:tcW w:w="636" w:type="pct"/>
                  <w:vAlign w:val="center"/>
                </w:tcPr>
                <w:p w14:paraId="7E11FDD2">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w:t>
                  </w:r>
                </w:p>
              </w:tc>
              <w:tc>
                <w:tcPr>
                  <w:tcW w:w="760" w:type="pct"/>
                  <w:vAlign w:val="center"/>
                </w:tcPr>
                <w:p w14:paraId="6DD530F0">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清淤淤泥</w:t>
                  </w:r>
                </w:p>
              </w:tc>
              <w:tc>
                <w:tcPr>
                  <w:tcW w:w="2444" w:type="pct"/>
                  <w:vAlign w:val="center"/>
                </w:tcPr>
                <w:p w14:paraId="68FD2B3E">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淤泥经“石灰调理+板框压滤脱水”后泥饼暂存，后续直接交给其他公司进行资源化利用</w:t>
                  </w:r>
                </w:p>
              </w:tc>
              <w:tc>
                <w:tcPr>
                  <w:tcW w:w="663" w:type="pct"/>
                  <w:vAlign w:val="center"/>
                </w:tcPr>
                <w:p w14:paraId="5D0C51A7">
                  <w:pPr>
                    <w:pStyle w:val="72"/>
                    <w:keepNext w:val="0"/>
                    <w:keepLines w:val="0"/>
                    <w:suppressLineNumbers w:val="0"/>
                    <w:spacing w:before="0" w:beforeAutospacing="0" w:after="0" w:afterAutospacing="0" w:line="320" w:lineRule="exact"/>
                    <w:ind w:left="0" w:right="0"/>
                    <w:rPr>
                      <w:rFonts w:hint="default" w:cs="Times New Roman"/>
                      <w:b w:val="0"/>
                      <w:bCs w:val="0"/>
                      <w:color w:val="auto"/>
                      <w:szCs w:val="21"/>
                      <w:u w:val="none"/>
                      <w:lang w:val="en-US" w:eastAsia="zh-CN"/>
                    </w:rPr>
                  </w:pPr>
                  <w:r>
                    <w:rPr>
                      <w:rFonts w:hint="eastAsia" w:cs="Times New Roman"/>
                      <w:b w:val="0"/>
                      <w:bCs w:val="0"/>
                      <w:color w:val="auto"/>
                      <w:szCs w:val="21"/>
                      <w:u w:val="none"/>
                      <w:lang w:val="en-US" w:eastAsia="zh-CN"/>
                    </w:rPr>
                    <w:t>30</w:t>
                  </w:r>
                </w:p>
              </w:tc>
            </w:tr>
            <w:tr w14:paraId="59F60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494" w:type="pct"/>
                  <w:vAlign w:val="center"/>
                </w:tcPr>
                <w:p w14:paraId="568C4BA6">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生态治理</w:t>
                  </w:r>
                </w:p>
              </w:tc>
              <w:tc>
                <w:tcPr>
                  <w:tcW w:w="3841" w:type="pct"/>
                  <w:gridSpan w:val="3"/>
                  <w:vAlign w:val="center"/>
                </w:tcPr>
                <w:p w14:paraId="09F158C0">
                  <w:pPr>
                    <w:pStyle w:val="72"/>
                    <w:keepNext w:val="0"/>
                    <w:keepLines w:val="0"/>
                    <w:suppressLineNumbers w:val="0"/>
                    <w:spacing w:before="0" w:beforeAutospacing="0" w:after="0" w:afterAutospacing="0" w:line="320" w:lineRule="exact"/>
                    <w:ind w:left="0" w:right="0"/>
                    <w:rPr>
                      <w:rFonts w:hint="eastAsia" w:ascii="Times New Roman" w:hAnsi="Times New Roman"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临时用地复绿、植被恢复；开展宣传教育工作；尽量避让并设置围栏、围堰。进行环境质量监测及环境监理工作等</w:t>
                  </w:r>
                </w:p>
              </w:tc>
              <w:tc>
                <w:tcPr>
                  <w:tcW w:w="663" w:type="pct"/>
                  <w:vAlign w:val="center"/>
                </w:tcPr>
                <w:p w14:paraId="5D14D05D">
                  <w:pPr>
                    <w:pStyle w:val="72"/>
                    <w:keepNext w:val="0"/>
                    <w:keepLines w:val="0"/>
                    <w:suppressLineNumbers w:val="0"/>
                    <w:spacing w:before="0" w:beforeAutospacing="0" w:after="0" w:afterAutospacing="0" w:line="320" w:lineRule="exact"/>
                    <w:ind w:left="0" w:right="0"/>
                    <w:rPr>
                      <w:rFonts w:hint="default" w:cs="Times New Roman"/>
                      <w:b w:val="0"/>
                      <w:bCs w:val="0"/>
                      <w:color w:val="auto"/>
                      <w:szCs w:val="21"/>
                      <w:u w:val="none"/>
                      <w:lang w:val="en-US" w:eastAsia="zh-CN"/>
                    </w:rPr>
                  </w:pPr>
                  <w:r>
                    <w:rPr>
                      <w:rFonts w:hint="eastAsia" w:cs="Times New Roman"/>
                      <w:b w:val="0"/>
                      <w:bCs w:val="0"/>
                      <w:color w:val="auto"/>
                      <w:szCs w:val="21"/>
                      <w:u w:val="none"/>
                      <w:lang w:val="en-US" w:eastAsia="zh-CN"/>
                    </w:rPr>
                    <w:t>329.8</w:t>
                  </w:r>
                </w:p>
              </w:tc>
            </w:tr>
            <w:tr w14:paraId="01B12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5000" w:type="pct"/>
                  <w:gridSpan w:val="5"/>
                  <w:vAlign w:val="center"/>
                </w:tcPr>
                <w:p w14:paraId="4E2BC4EF">
                  <w:pPr>
                    <w:pStyle w:val="72"/>
                    <w:keepNext w:val="0"/>
                    <w:keepLines w:val="0"/>
                    <w:suppressLineNumbers w:val="0"/>
                    <w:spacing w:before="0" w:beforeAutospacing="0" w:after="0" w:afterAutospacing="0" w:line="320" w:lineRule="exact"/>
                    <w:ind w:left="0" w:right="0"/>
                    <w:rPr>
                      <w:rFonts w:hint="eastAsia" w:ascii="Times New Roman" w:hAnsi="Times New Roman" w:eastAsia="宋体" w:cs="Times New Roman"/>
                      <w:b/>
                      <w:bCs/>
                      <w:color w:val="auto"/>
                      <w:szCs w:val="21"/>
                      <w:u w:val="none"/>
                      <w:lang w:eastAsia="zh-CN"/>
                    </w:rPr>
                  </w:pPr>
                  <w:r>
                    <w:rPr>
                      <w:rFonts w:hint="eastAsia" w:ascii="Times New Roman" w:hAnsi="Times New Roman" w:cs="Times New Roman"/>
                      <w:b/>
                      <w:bCs/>
                      <w:color w:val="auto"/>
                      <w:szCs w:val="21"/>
                      <w:u w:val="none"/>
                      <w:lang w:eastAsia="zh-CN"/>
                    </w:rPr>
                    <w:t>运营期</w:t>
                  </w:r>
                </w:p>
              </w:tc>
            </w:tr>
            <w:tr w14:paraId="6B195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494" w:type="pct"/>
                  <w:vAlign w:val="center"/>
                </w:tcPr>
                <w:p w14:paraId="7F129A04">
                  <w:pPr>
                    <w:pStyle w:val="72"/>
                    <w:keepNext w:val="0"/>
                    <w:keepLines w:val="0"/>
                    <w:suppressLineNumbers w:val="0"/>
                    <w:spacing w:before="0" w:beforeAutospacing="0" w:after="0" w:afterAutospacing="0" w:line="320" w:lineRule="exact"/>
                    <w:ind w:left="0" w:right="0"/>
                    <w:rPr>
                      <w:rFonts w:hint="eastAsia" w:ascii="Times New Roman" w:hAnsi="Times New Roman"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生态治理</w:t>
                  </w:r>
                </w:p>
              </w:tc>
              <w:tc>
                <w:tcPr>
                  <w:tcW w:w="636" w:type="pct"/>
                  <w:vAlign w:val="center"/>
                </w:tcPr>
                <w:p w14:paraId="09C7D6A9">
                  <w:pPr>
                    <w:pStyle w:val="72"/>
                    <w:keepNext w:val="0"/>
                    <w:keepLines w:val="0"/>
                    <w:suppressLineNumbers w:val="0"/>
                    <w:spacing w:before="0" w:beforeAutospacing="0" w:after="0" w:afterAutospacing="0" w:line="320" w:lineRule="exact"/>
                    <w:ind w:left="0" w:right="0"/>
                    <w:rPr>
                      <w:rFonts w:hint="eastAsia" w:ascii="Times New Roman" w:hAnsi="Times New Roman"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生态环境保护措施</w:t>
                  </w:r>
                </w:p>
              </w:tc>
              <w:tc>
                <w:tcPr>
                  <w:tcW w:w="3205" w:type="pct"/>
                  <w:gridSpan w:val="2"/>
                  <w:vAlign w:val="center"/>
                </w:tcPr>
                <w:p w14:paraId="0EB967EC">
                  <w:pPr>
                    <w:pStyle w:val="72"/>
                    <w:keepNext w:val="0"/>
                    <w:keepLines w:val="0"/>
                    <w:suppressLineNumbers w:val="0"/>
                    <w:spacing w:before="0" w:beforeAutospacing="0" w:after="0" w:afterAutospacing="0" w:line="320" w:lineRule="exact"/>
                    <w:ind w:left="0" w:right="0"/>
                    <w:rPr>
                      <w:rFonts w:hint="eastAsia" w:ascii="Times New Roman" w:hAnsi="Times New Roman" w:cs="Times New Roman"/>
                      <w:b w:val="0"/>
                      <w:bCs w:val="0"/>
                      <w:color w:val="auto"/>
                      <w:szCs w:val="21"/>
                      <w:u w:val="none"/>
                      <w:lang w:eastAsia="zh-CN"/>
                    </w:rPr>
                  </w:pPr>
                  <w:r>
                    <w:rPr>
                      <w:rFonts w:hint="eastAsia" w:ascii="Times New Roman" w:hAnsi="Times New Roman" w:cs="Times New Roman"/>
                      <w:b w:val="0"/>
                      <w:bCs w:val="0"/>
                      <w:color w:val="auto"/>
                      <w:szCs w:val="21"/>
                      <w:u w:val="none"/>
                      <w:lang w:eastAsia="zh-CN"/>
                    </w:rPr>
                    <w:t>运营期不产生污染物，为改善</w:t>
                  </w:r>
                  <w:r>
                    <w:rPr>
                      <w:rFonts w:hint="eastAsia" w:cs="Times New Roman"/>
                      <w:b w:val="0"/>
                      <w:bCs w:val="0"/>
                      <w:color w:val="auto"/>
                      <w:szCs w:val="21"/>
                      <w:u w:val="none"/>
                      <w:lang w:val="en-US" w:eastAsia="zh-CN"/>
                    </w:rPr>
                    <w:t>项目地</w:t>
                  </w:r>
                  <w:r>
                    <w:rPr>
                      <w:rFonts w:hint="eastAsia" w:ascii="Times New Roman" w:hAnsi="Times New Roman" w:cs="Times New Roman"/>
                      <w:b w:val="0"/>
                      <w:bCs w:val="0"/>
                      <w:color w:val="auto"/>
                      <w:szCs w:val="21"/>
                      <w:u w:val="none"/>
                      <w:lang w:eastAsia="zh-CN"/>
                    </w:rPr>
                    <w:t>周围生态环境，种植本地原有的优势植物、投放本地水生生物</w:t>
                  </w:r>
                </w:p>
              </w:tc>
              <w:tc>
                <w:tcPr>
                  <w:tcW w:w="663" w:type="pct"/>
                  <w:vAlign w:val="center"/>
                </w:tcPr>
                <w:p w14:paraId="2FF8B206">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10</w:t>
                  </w:r>
                </w:p>
              </w:tc>
            </w:tr>
            <w:tr w14:paraId="765EF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40" w:hRule="atLeast"/>
                <w:jc w:val="center"/>
              </w:trPr>
              <w:tc>
                <w:tcPr>
                  <w:tcW w:w="4336" w:type="pct"/>
                  <w:gridSpan w:val="4"/>
                  <w:vAlign w:val="center"/>
                </w:tcPr>
                <w:p w14:paraId="2A5E4CFA">
                  <w:pPr>
                    <w:pStyle w:val="72"/>
                    <w:keepNext w:val="0"/>
                    <w:keepLines w:val="0"/>
                    <w:suppressLineNumbers w:val="0"/>
                    <w:spacing w:before="0" w:beforeAutospacing="0" w:after="0" w:afterAutospacing="0" w:line="320" w:lineRule="exact"/>
                    <w:ind w:left="0" w:right="0"/>
                    <w:rPr>
                      <w:rFonts w:hint="default" w:ascii="Times New Roman" w:hAnsi="Times New Roman" w:cs="Times New Roman"/>
                      <w:color w:val="auto"/>
                      <w:szCs w:val="21"/>
                      <w:u w:val="none"/>
                    </w:rPr>
                  </w:pPr>
                  <w:r>
                    <w:rPr>
                      <w:rFonts w:hint="default" w:ascii="Times New Roman" w:hAnsi="Times New Roman" w:cs="Times New Roman"/>
                      <w:color w:val="auto"/>
                      <w:szCs w:val="21"/>
                      <w:u w:val="none"/>
                    </w:rPr>
                    <w:t>合计</w:t>
                  </w:r>
                </w:p>
              </w:tc>
              <w:tc>
                <w:tcPr>
                  <w:tcW w:w="663" w:type="pct"/>
                  <w:vAlign w:val="center"/>
                </w:tcPr>
                <w:p w14:paraId="562ED9F0">
                  <w:pPr>
                    <w:pStyle w:val="72"/>
                    <w:keepNext w:val="0"/>
                    <w:keepLines w:val="0"/>
                    <w:suppressLineNumbers w:val="0"/>
                    <w:spacing w:before="0" w:beforeAutospacing="0" w:after="0" w:afterAutospacing="0" w:line="320" w:lineRule="exact"/>
                    <w:ind w:left="0" w:right="0"/>
                    <w:rPr>
                      <w:rFonts w:hint="default"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150</w:t>
                  </w:r>
                </w:p>
              </w:tc>
            </w:tr>
          </w:tbl>
          <w:p w14:paraId="19730827">
            <w:pPr>
              <w:pStyle w:val="23"/>
              <w:keepNext w:val="0"/>
              <w:keepLines w:val="0"/>
              <w:suppressLineNumbers w:val="0"/>
              <w:ind w:left="0" w:right="0"/>
              <w:jc w:val="both"/>
              <w:outlineLvl w:val="0"/>
              <w:rPr>
                <w:rFonts w:hint="default" w:ascii="Times New Roman" w:hAnsi="Times New Roman" w:eastAsia="黑体" w:cs="Times New Roman"/>
                <w:snapToGrid w:val="0"/>
                <w:color w:val="FF0000"/>
                <w:kern w:val="0"/>
                <w:sz w:val="11"/>
                <w:szCs w:val="11"/>
                <w:u w:val="none"/>
              </w:rPr>
            </w:pPr>
          </w:p>
        </w:tc>
      </w:tr>
    </w:tbl>
    <w:p w14:paraId="7C72DB37">
      <w:pPr>
        <w:rPr>
          <w:rFonts w:hint="eastAsia" w:ascii="黑体" w:hAnsi="黑体" w:eastAsia="黑体"/>
          <w:color w:val="FF0000"/>
          <w:sz w:val="30"/>
          <w:szCs w:val="30"/>
          <w:u w:val="none"/>
        </w:rPr>
      </w:pPr>
      <w:bookmarkStart w:id="8" w:name="_Toc85201454"/>
      <w:r>
        <w:rPr>
          <w:rFonts w:hint="eastAsia" w:ascii="黑体" w:hAnsi="黑体" w:eastAsia="黑体"/>
          <w:color w:val="FF0000"/>
          <w:sz w:val="30"/>
          <w:szCs w:val="30"/>
          <w:u w:val="none"/>
        </w:rPr>
        <w:br w:type="page"/>
      </w:r>
    </w:p>
    <w:p w14:paraId="4A047FAF">
      <w:pPr>
        <w:pStyle w:val="23"/>
        <w:jc w:val="center"/>
        <w:outlineLvl w:val="0"/>
        <w:rPr>
          <w:rFonts w:ascii="黑体" w:hAnsi="黑体" w:eastAsia="黑体"/>
          <w:color w:val="auto"/>
          <w:sz w:val="30"/>
          <w:szCs w:val="30"/>
          <w:u w:val="single"/>
        </w:rPr>
      </w:pPr>
      <w:r>
        <w:rPr>
          <w:rFonts w:hint="eastAsia" w:ascii="黑体" w:hAnsi="黑体" w:eastAsia="黑体"/>
          <w:color w:val="auto"/>
          <w:sz w:val="30"/>
          <w:szCs w:val="30"/>
          <w:u w:val="single"/>
        </w:rPr>
        <w:t>六、生态环境保护措施监督检查清单</w:t>
      </w:r>
      <w:bookmarkEnd w:id="8"/>
    </w:p>
    <w:tbl>
      <w:tblPr>
        <w:tblStyle w:val="27"/>
        <w:tblW w:w="5251"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3348"/>
        <w:gridCol w:w="2284"/>
        <w:gridCol w:w="1311"/>
        <w:gridCol w:w="1249"/>
      </w:tblGrid>
      <w:tr w14:paraId="53F4F9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08" w:type="pct"/>
            <w:vMerge w:val="restart"/>
            <w:tcBorders>
              <w:tl2br w:val="nil"/>
              <w:tr2bl w:val="nil"/>
            </w:tcBorders>
            <w:vAlign w:val="center"/>
          </w:tcPr>
          <w:p w14:paraId="5A503404">
            <w:pPr>
              <w:pStyle w:val="76"/>
              <w:keepNext w:val="0"/>
              <w:keepLines w:val="0"/>
              <w:suppressLineNumbers w:val="0"/>
              <w:adjustRightInd w:val="0"/>
              <w:snapToGrid w:val="0"/>
              <w:spacing w:before="0" w:beforeAutospacing="0" w:after="0" w:afterAutospacing="0" w:line="320" w:lineRule="exact"/>
              <w:ind w:left="0" w:right="0"/>
              <w:jc w:val="center"/>
              <w:rPr>
                <w:rFonts w:hint="default"/>
                <w:b/>
                <w:bCs/>
                <w:color w:val="auto"/>
                <w:u w:val="single"/>
              </w:rPr>
            </w:pPr>
            <w:r>
              <w:rPr>
                <w:rFonts w:hint="default"/>
                <w:b/>
                <w:bCs/>
                <w:color w:val="auto"/>
                <w:u w:val="single"/>
              </w:rPr>
              <w:t>内容</w:t>
            </w:r>
          </w:p>
          <w:p w14:paraId="1994BD15">
            <w:pPr>
              <w:pStyle w:val="76"/>
              <w:keepNext w:val="0"/>
              <w:keepLines w:val="0"/>
              <w:suppressLineNumbers w:val="0"/>
              <w:adjustRightInd w:val="0"/>
              <w:snapToGrid w:val="0"/>
              <w:spacing w:before="0" w:beforeAutospacing="0" w:after="0" w:afterAutospacing="0" w:line="320" w:lineRule="exact"/>
              <w:ind w:left="0" w:right="0"/>
              <w:jc w:val="center"/>
              <w:rPr>
                <w:rFonts w:hint="default"/>
                <w:b/>
                <w:bCs/>
                <w:color w:val="auto"/>
                <w:u w:val="single"/>
              </w:rPr>
            </w:pPr>
            <w:r>
              <w:rPr>
                <w:rFonts w:hint="default"/>
                <w:b/>
                <w:bCs/>
                <w:color w:val="auto"/>
                <w:u w:val="single"/>
              </w:rPr>
              <w:t>要素</w:t>
            </w:r>
          </w:p>
        </w:tc>
        <w:tc>
          <w:tcPr>
            <w:tcW w:w="3225" w:type="pct"/>
            <w:gridSpan w:val="2"/>
            <w:tcBorders>
              <w:tl2br w:val="nil"/>
              <w:tr2bl w:val="nil"/>
            </w:tcBorders>
            <w:vAlign w:val="center"/>
          </w:tcPr>
          <w:p w14:paraId="4F8FE96E">
            <w:pPr>
              <w:pStyle w:val="76"/>
              <w:keepNext w:val="0"/>
              <w:keepLines w:val="0"/>
              <w:suppressLineNumbers w:val="0"/>
              <w:adjustRightInd w:val="0"/>
              <w:snapToGrid w:val="0"/>
              <w:spacing w:before="0" w:beforeAutospacing="0" w:after="0" w:afterAutospacing="0" w:line="320" w:lineRule="exact"/>
              <w:ind w:left="0" w:right="0"/>
              <w:jc w:val="center"/>
              <w:rPr>
                <w:rFonts w:hint="default"/>
                <w:b/>
                <w:bCs/>
                <w:color w:val="auto"/>
                <w:u w:val="single"/>
              </w:rPr>
            </w:pPr>
            <w:r>
              <w:rPr>
                <w:rFonts w:hint="default"/>
                <w:b/>
                <w:bCs/>
                <w:color w:val="auto"/>
                <w:u w:val="single"/>
              </w:rPr>
              <w:t>施工期</w:t>
            </w:r>
          </w:p>
        </w:tc>
        <w:tc>
          <w:tcPr>
            <w:tcW w:w="1466" w:type="pct"/>
            <w:gridSpan w:val="2"/>
            <w:tcBorders>
              <w:tl2br w:val="nil"/>
              <w:tr2bl w:val="nil"/>
            </w:tcBorders>
            <w:vAlign w:val="center"/>
          </w:tcPr>
          <w:p w14:paraId="73EEFB25">
            <w:pPr>
              <w:pStyle w:val="76"/>
              <w:keepNext w:val="0"/>
              <w:keepLines w:val="0"/>
              <w:suppressLineNumbers w:val="0"/>
              <w:adjustRightInd w:val="0"/>
              <w:snapToGrid w:val="0"/>
              <w:spacing w:before="0" w:beforeAutospacing="0" w:after="0" w:afterAutospacing="0" w:line="320" w:lineRule="exact"/>
              <w:ind w:left="0" w:right="0"/>
              <w:jc w:val="center"/>
              <w:rPr>
                <w:rFonts w:hint="default"/>
                <w:b/>
                <w:bCs/>
                <w:color w:val="auto"/>
                <w:u w:val="single"/>
              </w:rPr>
            </w:pPr>
            <w:r>
              <w:rPr>
                <w:rFonts w:hint="default"/>
                <w:b/>
                <w:bCs/>
                <w:color w:val="auto"/>
                <w:u w:val="single"/>
              </w:rPr>
              <w:t>运营期</w:t>
            </w:r>
          </w:p>
        </w:tc>
      </w:tr>
      <w:tr w14:paraId="10F100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08" w:type="pct"/>
            <w:vMerge w:val="continue"/>
            <w:tcBorders>
              <w:tl2br w:val="nil"/>
              <w:tr2bl w:val="nil"/>
            </w:tcBorders>
            <w:vAlign w:val="center"/>
          </w:tcPr>
          <w:p w14:paraId="06B91037">
            <w:pPr>
              <w:keepNext w:val="0"/>
              <w:keepLines w:val="0"/>
              <w:widowControl/>
              <w:suppressLineNumbers w:val="0"/>
              <w:spacing w:before="0" w:beforeAutospacing="0" w:after="0" w:afterAutospacing="0" w:line="320" w:lineRule="exact"/>
              <w:ind w:left="0" w:right="0"/>
              <w:jc w:val="center"/>
              <w:rPr>
                <w:rFonts w:hint="default"/>
                <w:b/>
                <w:bCs/>
                <w:color w:val="auto"/>
                <w:szCs w:val="21"/>
                <w:u w:val="single"/>
              </w:rPr>
            </w:pPr>
          </w:p>
        </w:tc>
        <w:tc>
          <w:tcPr>
            <w:tcW w:w="1917" w:type="pct"/>
            <w:tcBorders>
              <w:tl2br w:val="nil"/>
              <w:tr2bl w:val="nil"/>
            </w:tcBorders>
            <w:vAlign w:val="center"/>
          </w:tcPr>
          <w:p w14:paraId="1DC27316">
            <w:pPr>
              <w:pStyle w:val="76"/>
              <w:keepNext w:val="0"/>
              <w:keepLines w:val="0"/>
              <w:suppressLineNumbers w:val="0"/>
              <w:adjustRightInd w:val="0"/>
              <w:snapToGrid w:val="0"/>
              <w:spacing w:before="0" w:beforeAutospacing="0" w:after="0" w:afterAutospacing="0" w:line="320" w:lineRule="exact"/>
              <w:ind w:left="0" w:right="0"/>
              <w:jc w:val="center"/>
              <w:rPr>
                <w:rFonts w:hint="default"/>
                <w:b/>
                <w:bCs/>
                <w:color w:val="auto"/>
                <w:u w:val="single"/>
              </w:rPr>
            </w:pPr>
            <w:r>
              <w:rPr>
                <w:rFonts w:hint="default"/>
                <w:b/>
                <w:bCs/>
                <w:color w:val="auto"/>
                <w:u w:val="single"/>
              </w:rPr>
              <w:t>环境保护措施</w:t>
            </w:r>
          </w:p>
        </w:tc>
        <w:tc>
          <w:tcPr>
            <w:tcW w:w="1307" w:type="pct"/>
            <w:tcBorders>
              <w:tl2br w:val="nil"/>
              <w:tr2bl w:val="nil"/>
            </w:tcBorders>
            <w:vAlign w:val="center"/>
          </w:tcPr>
          <w:p w14:paraId="3FD9A0F6">
            <w:pPr>
              <w:pStyle w:val="76"/>
              <w:keepNext w:val="0"/>
              <w:keepLines w:val="0"/>
              <w:suppressLineNumbers w:val="0"/>
              <w:adjustRightInd w:val="0"/>
              <w:snapToGrid w:val="0"/>
              <w:spacing w:before="0" w:beforeAutospacing="0" w:after="0" w:afterAutospacing="0" w:line="320" w:lineRule="exact"/>
              <w:ind w:left="0" w:right="0"/>
              <w:jc w:val="center"/>
              <w:rPr>
                <w:rFonts w:hint="default"/>
                <w:b/>
                <w:bCs/>
                <w:color w:val="auto"/>
                <w:u w:val="single"/>
              </w:rPr>
            </w:pPr>
            <w:r>
              <w:rPr>
                <w:rFonts w:hint="default"/>
                <w:b/>
                <w:bCs/>
                <w:color w:val="auto"/>
                <w:u w:val="single"/>
              </w:rPr>
              <w:t>验收要求</w:t>
            </w:r>
          </w:p>
        </w:tc>
        <w:tc>
          <w:tcPr>
            <w:tcW w:w="750" w:type="pct"/>
            <w:tcBorders>
              <w:tl2br w:val="nil"/>
              <w:tr2bl w:val="nil"/>
            </w:tcBorders>
            <w:vAlign w:val="center"/>
          </w:tcPr>
          <w:p w14:paraId="79C89EF0">
            <w:pPr>
              <w:pStyle w:val="76"/>
              <w:keepNext w:val="0"/>
              <w:keepLines w:val="0"/>
              <w:suppressLineNumbers w:val="0"/>
              <w:adjustRightInd w:val="0"/>
              <w:snapToGrid w:val="0"/>
              <w:spacing w:before="0" w:beforeAutospacing="0" w:after="0" w:afterAutospacing="0" w:line="320" w:lineRule="exact"/>
              <w:ind w:left="0" w:right="0"/>
              <w:jc w:val="center"/>
              <w:rPr>
                <w:rFonts w:hint="default"/>
                <w:b/>
                <w:bCs/>
                <w:color w:val="auto"/>
                <w:u w:val="single"/>
              </w:rPr>
            </w:pPr>
            <w:r>
              <w:rPr>
                <w:rFonts w:hint="default"/>
                <w:b/>
                <w:bCs/>
                <w:color w:val="auto"/>
                <w:u w:val="single"/>
              </w:rPr>
              <w:t>环境保护措施</w:t>
            </w:r>
          </w:p>
        </w:tc>
        <w:tc>
          <w:tcPr>
            <w:tcW w:w="715" w:type="pct"/>
            <w:tcBorders>
              <w:tl2br w:val="nil"/>
              <w:tr2bl w:val="nil"/>
            </w:tcBorders>
            <w:vAlign w:val="center"/>
          </w:tcPr>
          <w:p w14:paraId="5F2BC733">
            <w:pPr>
              <w:pStyle w:val="76"/>
              <w:keepNext w:val="0"/>
              <w:keepLines w:val="0"/>
              <w:suppressLineNumbers w:val="0"/>
              <w:adjustRightInd w:val="0"/>
              <w:snapToGrid w:val="0"/>
              <w:spacing w:before="0" w:beforeAutospacing="0" w:after="0" w:afterAutospacing="0" w:line="320" w:lineRule="exact"/>
              <w:ind w:left="0" w:right="0"/>
              <w:jc w:val="center"/>
              <w:rPr>
                <w:rFonts w:hint="default"/>
                <w:b/>
                <w:bCs/>
                <w:color w:val="auto"/>
                <w:u w:val="single"/>
              </w:rPr>
            </w:pPr>
            <w:r>
              <w:rPr>
                <w:rFonts w:hint="default"/>
                <w:b/>
                <w:bCs/>
                <w:color w:val="auto"/>
                <w:u w:val="single"/>
              </w:rPr>
              <w:t>验收要求</w:t>
            </w:r>
          </w:p>
        </w:tc>
      </w:tr>
      <w:tr w14:paraId="0FF993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08" w:type="pct"/>
            <w:tcBorders>
              <w:tl2br w:val="nil"/>
              <w:tr2bl w:val="nil"/>
            </w:tcBorders>
            <w:vAlign w:val="center"/>
          </w:tcPr>
          <w:p w14:paraId="633957D2">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FF0000"/>
                <w:u w:val="single"/>
              </w:rPr>
            </w:pPr>
            <w:r>
              <w:rPr>
                <w:rFonts w:hint="default"/>
                <w:b/>
                <w:color w:val="auto"/>
                <w:u w:val="single"/>
              </w:rPr>
              <w:t>陆生生态</w:t>
            </w:r>
          </w:p>
        </w:tc>
        <w:tc>
          <w:tcPr>
            <w:tcW w:w="1917" w:type="pct"/>
            <w:tcBorders>
              <w:tl2br w:val="nil"/>
              <w:tr2bl w:val="nil"/>
            </w:tcBorders>
            <w:vAlign w:val="center"/>
          </w:tcPr>
          <w:p w14:paraId="372059D4">
            <w:pPr>
              <w:pStyle w:val="76"/>
              <w:keepNext w:val="0"/>
              <w:keepLines w:val="0"/>
              <w:suppressLineNumbers w:val="0"/>
              <w:adjustRightInd w:val="0"/>
              <w:snapToGrid w:val="0"/>
              <w:spacing w:before="0" w:beforeAutospacing="0" w:after="0" w:afterAutospacing="0" w:line="320" w:lineRule="exact"/>
              <w:ind w:left="0" w:right="0"/>
              <w:jc w:val="left"/>
              <w:rPr>
                <w:rFonts w:hint="eastAsia"/>
                <w:color w:val="auto"/>
                <w:u w:val="single"/>
                <w:lang w:eastAsia="zh-CN"/>
              </w:rPr>
            </w:pPr>
            <w:r>
              <w:rPr>
                <w:rFonts w:hint="eastAsia"/>
                <w:color w:val="auto"/>
                <w:u w:val="single"/>
                <w:lang w:val="en-US" w:eastAsia="zh-CN"/>
              </w:rPr>
              <w:t>①</w:t>
            </w:r>
            <w:r>
              <w:rPr>
                <w:rFonts w:hint="eastAsia"/>
                <w:color w:val="auto"/>
                <w:u w:val="single"/>
                <w:lang w:eastAsia="zh-CN"/>
              </w:rPr>
              <w:t>合理安排施工进度，减少施工面的裸露时间；</w:t>
            </w:r>
          </w:p>
          <w:p w14:paraId="48BE5A36">
            <w:pPr>
              <w:pStyle w:val="76"/>
              <w:keepNext w:val="0"/>
              <w:keepLines w:val="0"/>
              <w:suppressLineNumbers w:val="0"/>
              <w:adjustRightInd w:val="0"/>
              <w:snapToGrid w:val="0"/>
              <w:spacing w:before="0" w:beforeAutospacing="0" w:after="0" w:afterAutospacing="0" w:line="320" w:lineRule="exact"/>
              <w:ind w:left="0" w:right="0"/>
              <w:jc w:val="left"/>
              <w:rPr>
                <w:rFonts w:hint="eastAsia"/>
                <w:color w:val="auto"/>
                <w:u w:val="single"/>
                <w:lang w:eastAsia="zh-CN"/>
              </w:rPr>
            </w:pPr>
            <w:r>
              <w:rPr>
                <w:rFonts w:hint="eastAsia"/>
                <w:color w:val="auto"/>
                <w:u w:val="single"/>
                <w:lang w:val="en-US" w:eastAsia="zh-CN"/>
              </w:rPr>
              <w:t>②施工结束时，及时恢复临时占地范围的土地使用功能；</w:t>
            </w:r>
          </w:p>
          <w:p w14:paraId="62102127">
            <w:pPr>
              <w:pStyle w:val="76"/>
              <w:keepNext w:val="0"/>
              <w:keepLines w:val="0"/>
              <w:suppressLineNumbers w:val="0"/>
              <w:adjustRightInd w:val="0"/>
              <w:snapToGrid w:val="0"/>
              <w:spacing w:before="0" w:beforeAutospacing="0" w:after="0" w:afterAutospacing="0" w:line="320" w:lineRule="exact"/>
              <w:ind w:left="0" w:right="0"/>
              <w:jc w:val="left"/>
              <w:rPr>
                <w:rFonts w:hint="default"/>
                <w:color w:val="auto"/>
                <w:u w:val="single"/>
                <w:lang w:val="en-US" w:eastAsia="zh-CN"/>
              </w:rPr>
            </w:pPr>
            <w:r>
              <w:rPr>
                <w:rFonts w:hint="eastAsia"/>
                <w:color w:val="auto"/>
                <w:u w:val="single"/>
                <w:lang w:val="en-US" w:eastAsia="zh-CN"/>
              </w:rPr>
              <w:t>③</w:t>
            </w:r>
            <w:r>
              <w:rPr>
                <w:rFonts w:hint="eastAsia"/>
                <w:color w:val="auto"/>
                <w:u w:val="single"/>
                <w:lang w:eastAsia="zh-CN"/>
              </w:rPr>
              <w:t>减少陆生植被的破坏和降低水土流失，种植本地原有的优势植物。</w:t>
            </w:r>
          </w:p>
        </w:tc>
        <w:tc>
          <w:tcPr>
            <w:tcW w:w="1307" w:type="pct"/>
            <w:vMerge w:val="restart"/>
            <w:tcBorders>
              <w:tl2br w:val="nil"/>
              <w:tr2bl w:val="nil"/>
            </w:tcBorders>
            <w:vAlign w:val="center"/>
          </w:tcPr>
          <w:p w14:paraId="5F932C1E">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FF0000"/>
                <w:u w:val="single"/>
              </w:rPr>
            </w:pPr>
            <w:r>
              <w:rPr>
                <w:rFonts w:hint="default"/>
                <w:color w:val="auto"/>
                <w:u w:val="single"/>
              </w:rPr>
              <w:t>基本维持沿线生态环境、施工期水土流失得到有效控制与治理，施工迹地得到有效恢复</w:t>
            </w:r>
          </w:p>
        </w:tc>
        <w:tc>
          <w:tcPr>
            <w:tcW w:w="750" w:type="pct"/>
            <w:tcBorders>
              <w:tl2br w:val="nil"/>
              <w:tr2bl w:val="nil"/>
            </w:tcBorders>
            <w:vAlign w:val="center"/>
          </w:tcPr>
          <w:p w14:paraId="7F693084">
            <w:pPr>
              <w:pStyle w:val="76"/>
              <w:keepNext w:val="0"/>
              <w:keepLines w:val="0"/>
              <w:suppressLineNumbers w:val="0"/>
              <w:adjustRightInd w:val="0"/>
              <w:snapToGrid w:val="0"/>
              <w:spacing w:before="0" w:beforeAutospacing="0" w:after="0" w:afterAutospacing="0" w:line="320" w:lineRule="exact"/>
              <w:ind w:left="0" w:leftChars="0" w:right="0" w:rightChars="0"/>
              <w:jc w:val="center"/>
              <w:rPr>
                <w:rFonts w:hint="eastAsia" w:eastAsia="宋体"/>
                <w:color w:val="auto"/>
                <w:u w:val="single"/>
                <w:lang w:eastAsia="zh-CN"/>
              </w:rPr>
            </w:pPr>
            <w:r>
              <w:rPr>
                <w:rFonts w:hint="default"/>
                <w:color w:val="auto"/>
                <w:u w:val="single"/>
              </w:rPr>
              <w:t>/</w:t>
            </w:r>
          </w:p>
        </w:tc>
        <w:tc>
          <w:tcPr>
            <w:tcW w:w="715" w:type="pct"/>
            <w:tcBorders>
              <w:tl2br w:val="nil"/>
              <w:tr2bl w:val="nil"/>
            </w:tcBorders>
            <w:vAlign w:val="center"/>
          </w:tcPr>
          <w:p w14:paraId="38ED3AAF">
            <w:pPr>
              <w:pStyle w:val="76"/>
              <w:keepNext w:val="0"/>
              <w:keepLines w:val="0"/>
              <w:suppressLineNumbers w:val="0"/>
              <w:adjustRightInd w:val="0"/>
              <w:snapToGrid w:val="0"/>
              <w:spacing w:before="0" w:beforeAutospacing="0" w:after="0" w:afterAutospacing="0" w:line="320" w:lineRule="exact"/>
              <w:ind w:left="0" w:leftChars="0" w:right="0" w:rightChars="0"/>
              <w:jc w:val="center"/>
              <w:rPr>
                <w:rFonts w:hint="default"/>
                <w:color w:val="auto"/>
                <w:u w:val="single"/>
              </w:rPr>
            </w:pPr>
            <w:r>
              <w:rPr>
                <w:rFonts w:hint="default"/>
                <w:color w:val="auto"/>
                <w:u w:val="single"/>
              </w:rPr>
              <w:t>/</w:t>
            </w:r>
          </w:p>
        </w:tc>
      </w:tr>
      <w:tr w14:paraId="6E1BC5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08" w:type="pct"/>
            <w:tcBorders>
              <w:tl2br w:val="nil"/>
              <w:tr2bl w:val="nil"/>
            </w:tcBorders>
            <w:vAlign w:val="center"/>
          </w:tcPr>
          <w:p w14:paraId="528CAA66">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r>
              <w:rPr>
                <w:rFonts w:hint="default"/>
                <w:b/>
                <w:color w:val="auto"/>
                <w:u w:val="single"/>
              </w:rPr>
              <w:t>水生生态</w:t>
            </w:r>
          </w:p>
        </w:tc>
        <w:tc>
          <w:tcPr>
            <w:tcW w:w="1917" w:type="pct"/>
            <w:tcBorders>
              <w:tl2br w:val="nil"/>
              <w:tr2bl w:val="nil"/>
            </w:tcBorders>
            <w:vAlign w:val="center"/>
          </w:tcPr>
          <w:p w14:paraId="62EFC706">
            <w:pPr>
              <w:pStyle w:val="76"/>
              <w:keepNext w:val="0"/>
              <w:keepLines w:val="0"/>
              <w:suppressLineNumbers w:val="0"/>
              <w:adjustRightInd w:val="0"/>
              <w:snapToGrid w:val="0"/>
              <w:spacing w:before="0" w:beforeAutospacing="0" w:after="0" w:afterAutospacing="0" w:line="320" w:lineRule="exact"/>
              <w:ind w:left="0" w:right="0"/>
              <w:jc w:val="left"/>
              <w:rPr>
                <w:rFonts w:hint="default"/>
                <w:color w:val="auto"/>
                <w:u w:val="single"/>
              </w:rPr>
            </w:pPr>
            <w:r>
              <w:rPr>
                <w:rFonts w:hint="default"/>
                <w:color w:val="auto"/>
                <w:u w:val="single"/>
              </w:rPr>
              <w:t>①加强对施工人员自然保护教育，加强施工期的环境监管；</w:t>
            </w:r>
          </w:p>
          <w:p w14:paraId="26D321E2">
            <w:pPr>
              <w:pStyle w:val="76"/>
              <w:keepNext w:val="0"/>
              <w:keepLines w:val="0"/>
              <w:suppressLineNumbers w:val="0"/>
              <w:adjustRightInd w:val="0"/>
              <w:snapToGrid w:val="0"/>
              <w:spacing w:before="0" w:beforeAutospacing="0" w:after="0" w:afterAutospacing="0" w:line="320" w:lineRule="exact"/>
              <w:ind w:left="0" w:right="0"/>
              <w:jc w:val="left"/>
              <w:rPr>
                <w:rFonts w:hint="eastAsia"/>
                <w:color w:val="auto"/>
                <w:u w:val="single"/>
                <w:lang w:val="en-US" w:eastAsia="zh-CN"/>
              </w:rPr>
            </w:pPr>
            <w:r>
              <w:rPr>
                <w:rFonts w:hint="eastAsia"/>
                <w:color w:val="auto"/>
                <w:u w:val="single"/>
                <w:lang w:val="en-US" w:eastAsia="zh-CN"/>
              </w:rPr>
              <w:t>②文明施工，合理安排施工时间，严禁未经处理的废水排入河流；</w:t>
            </w:r>
          </w:p>
          <w:p w14:paraId="646E809D">
            <w:pPr>
              <w:pStyle w:val="76"/>
              <w:keepNext w:val="0"/>
              <w:keepLines w:val="0"/>
              <w:suppressLineNumbers w:val="0"/>
              <w:adjustRightInd w:val="0"/>
              <w:snapToGrid w:val="0"/>
              <w:spacing w:before="0" w:beforeAutospacing="0" w:after="0" w:afterAutospacing="0" w:line="320" w:lineRule="exact"/>
              <w:ind w:left="0" w:right="0"/>
              <w:jc w:val="left"/>
              <w:rPr>
                <w:rFonts w:hint="default"/>
                <w:color w:val="auto"/>
                <w:u w:val="single"/>
              </w:rPr>
            </w:pPr>
            <w:r>
              <w:rPr>
                <w:rFonts w:hint="eastAsia"/>
                <w:color w:val="auto"/>
                <w:u w:val="single"/>
                <w:lang w:val="en-US" w:eastAsia="zh-CN"/>
              </w:rPr>
              <w:t>③</w:t>
            </w:r>
            <w:r>
              <w:rPr>
                <w:rFonts w:hint="default"/>
                <w:color w:val="auto"/>
                <w:u w:val="single"/>
              </w:rPr>
              <w:t>投放本地水生生物</w:t>
            </w:r>
            <w:r>
              <w:rPr>
                <w:rFonts w:hint="eastAsia"/>
                <w:color w:val="auto"/>
                <w:u w:val="single"/>
                <w:lang w:val="en-US" w:eastAsia="zh-CN"/>
              </w:rPr>
              <w:t>。</w:t>
            </w:r>
          </w:p>
        </w:tc>
        <w:tc>
          <w:tcPr>
            <w:tcW w:w="1307" w:type="pct"/>
            <w:vMerge w:val="continue"/>
            <w:tcBorders>
              <w:tl2br w:val="nil"/>
              <w:tr2bl w:val="nil"/>
            </w:tcBorders>
            <w:vAlign w:val="center"/>
          </w:tcPr>
          <w:p w14:paraId="76F5AC34">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FF0000"/>
                <w:u w:val="single"/>
              </w:rPr>
            </w:pPr>
          </w:p>
        </w:tc>
        <w:tc>
          <w:tcPr>
            <w:tcW w:w="750" w:type="pct"/>
            <w:tcBorders>
              <w:tl2br w:val="nil"/>
              <w:tr2bl w:val="nil"/>
            </w:tcBorders>
            <w:vAlign w:val="center"/>
          </w:tcPr>
          <w:p w14:paraId="09461782">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u w:val="single"/>
              </w:rPr>
            </w:pPr>
            <w:r>
              <w:rPr>
                <w:rFonts w:hint="default"/>
                <w:color w:val="auto"/>
                <w:u w:val="single"/>
              </w:rPr>
              <w:t>/</w:t>
            </w:r>
          </w:p>
        </w:tc>
        <w:tc>
          <w:tcPr>
            <w:tcW w:w="715" w:type="pct"/>
            <w:tcBorders>
              <w:tl2br w:val="nil"/>
              <w:tr2bl w:val="nil"/>
            </w:tcBorders>
            <w:vAlign w:val="center"/>
          </w:tcPr>
          <w:p w14:paraId="28061569">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u w:val="single"/>
              </w:rPr>
            </w:pPr>
            <w:r>
              <w:rPr>
                <w:rFonts w:hint="default"/>
                <w:color w:val="auto"/>
                <w:u w:val="single"/>
              </w:rPr>
              <w:t>/</w:t>
            </w:r>
          </w:p>
        </w:tc>
      </w:tr>
      <w:tr w14:paraId="171A7E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0" w:hRule="atLeast"/>
          <w:jc w:val="center"/>
        </w:trPr>
        <w:tc>
          <w:tcPr>
            <w:tcW w:w="308" w:type="pct"/>
            <w:vMerge w:val="restart"/>
            <w:tcBorders>
              <w:tl2br w:val="nil"/>
              <w:tr2bl w:val="nil"/>
            </w:tcBorders>
            <w:vAlign w:val="center"/>
          </w:tcPr>
          <w:p w14:paraId="66A3BB83">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r>
              <w:rPr>
                <w:rFonts w:hint="default"/>
                <w:b/>
                <w:color w:val="auto"/>
                <w:u w:val="single"/>
              </w:rPr>
              <w:t>地表水环境</w:t>
            </w:r>
          </w:p>
        </w:tc>
        <w:tc>
          <w:tcPr>
            <w:tcW w:w="1917" w:type="pct"/>
            <w:tcBorders>
              <w:tl2br w:val="nil"/>
              <w:tr2bl w:val="nil"/>
            </w:tcBorders>
            <w:vAlign w:val="center"/>
          </w:tcPr>
          <w:p w14:paraId="2F99E450">
            <w:pPr>
              <w:pStyle w:val="76"/>
              <w:keepNext w:val="0"/>
              <w:keepLines w:val="0"/>
              <w:suppressLineNumbers w:val="0"/>
              <w:adjustRightInd w:val="0"/>
              <w:snapToGrid w:val="0"/>
              <w:spacing w:before="0" w:beforeAutospacing="0" w:after="0" w:afterAutospacing="0" w:line="320" w:lineRule="exact"/>
              <w:ind w:left="0" w:right="0"/>
              <w:jc w:val="center"/>
              <w:rPr>
                <w:rFonts w:hint="default" w:eastAsia="宋体"/>
                <w:color w:val="auto"/>
                <w:u w:val="single"/>
                <w:lang w:val="en-US" w:eastAsia="zh-CN"/>
              </w:rPr>
            </w:pPr>
            <w:r>
              <w:rPr>
                <w:rFonts w:hint="eastAsia"/>
                <w:color w:val="auto"/>
                <w:u w:val="single"/>
                <w:lang w:eastAsia="zh-CN"/>
              </w:rPr>
              <w:t>车辆冲洗废水经沉淀池处理后回用作车辆冲洗用水及洒水抑尘</w:t>
            </w:r>
          </w:p>
        </w:tc>
        <w:tc>
          <w:tcPr>
            <w:tcW w:w="1307" w:type="pct"/>
            <w:tcBorders>
              <w:tl2br w:val="nil"/>
              <w:tr2bl w:val="nil"/>
            </w:tcBorders>
            <w:vAlign w:val="center"/>
          </w:tcPr>
          <w:p w14:paraId="2F1C6D1F">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u w:val="single"/>
                <w:lang w:eastAsia="zh-CN"/>
              </w:rPr>
            </w:pPr>
            <w:r>
              <w:rPr>
                <w:rFonts w:hint="eastAsia"/>
                <w:color w:val="auto"/>
                <w:u w:val="single"/>
                <w:lang w:eastAsia="zh-CN"/>
              </w:rPr>
              <w:t>不外排</w:t>
            </w:r>
          </w:p>
        </w:tc>
        <w:tc>
          <w:tcPr>
            <w:tcW w:w="750" w:type="pct"/>
            <w:vMerge w:val="restart"/>
            <w:tcBorders>
              <w:tl2br w:val="nil"/>
              <w:tr2bl w:val="nil"/>
            </w:tcBorders>
            <w:vAlign w:val="center"/>
          </w:tcPr>
          <w:p w14:paraId="53B0078D">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u w:val="single"/>
                <w:lang w:eastAsia="zh-CN"/>
              </w:rPr>
            </w:pPr>
            <w:r>
              <w:rPr>
                <w:rFonts w:hint="eastAsia"/>
                <w:color w:val="auto"/>
                <w:u w:val="single"/>
                <w:lang w:val="en-US" w:eastAsia="zh-CN"/>
              </w:rPr>
              <w:t>/</w:t>
            </w:r>
          </w:p>
        </w:tc>
        <w:tc>
          <w:tcPr>
            <w:tcW w:w="715" w:type="pct"/>
            <w:vMerge w:val="restart"/>
            <w:tcBorders>
              <w:tl2br w:val="nil"/>
              <w:tr2bl w:val="nil"/>
            </w:tcBorders>
            <w:vAlign w:val="center"/>
          </w:tcPr>
          <w:p w14:paraId="4CD9C95E">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u w:val="single"/>
                <w:lang w:val="en-US" w:eastAsia="zh-CN"/>
              </w:rPr>
            </w:pPr>
            <w:r>
              <w:rPr>
                <w:rFonts w:hint="eastAsia"/>
                <w:color w:val="auto"/>
                <w:u w:val="single"/>
                <w:lang w:val="en-US" w:eastAsia="zh-CN"/>
              </w:rPr>
              <w:t>/</w:t>
            </w:r>
          </w:p>
        </w:tc>
      </w:tr>
      <w:tr w14:paraId="519FB6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0" w:hRule="atLeast"/>
          <w:jc w:val="center"/>
        </w:trPr>
        <w:tc>
          <w:tcPr>
            <w:tcW w:w="308" w:type="pct"/>
            <w:vMerge w:val="continue"/>
            <w:tcBorders>
              <w:tl2br w:val="nil"/>
              <w:tr2bl w:val="nil"/>
            </w:tcBorders>
            <w:vAlign w:val="center"/>
          </w:tcPr>
          <w:p w14:paraId="0AFDDCE9">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p>
        </w:tc>
        <w:tc>
          <w:tcPr>
            <w:tcW w:w="1917" w:type="pct"/>
            <w:tcBorders>
              <w:tl2br w:val="nil"/>
              <w:tr2bl w:val="nil"/>
            </w:tcBorders>
            <w:vAlign w:val="center"/>
          </w:tcPr>
          <w:p w14:paraId="27A7247D">
            <w:pPr>
              <w:pStyle w:val="76"/>
              <w:keepNext w:val="0"/>
              <w:keepLines w:val="0"/>
              <w:suppressLineNumbers w:val="0"/>
              <w:adjustRightInd w:val="0"/>
              <w:snapToGrid w:val="0"/>
              <w:spacing w:before="0" w:beforeAutospacing="0" w:after="0" w:afterAutospacing="0" w:line="320" w:lineRule="exact"/>
              <w:ind w:left="0" w:right="0"/>
              <w:jc w:val="center"/>
              <w:rPr>
                <w:rFonts w:hint="eastAsia"/>
                <w:color w:val="auto"/>
                <w:u w:val="single"/>
                <w:lang w:eastAsia="zh-CN"/>
              </w:rPr>
            </w:pPr>
            <w:r>
              <w:rPr>
                <w:rFonts w:hint="eastAsia"/>
                <w:color w:val="auto"/>
                <w:u w:val="single"/>
                <w:lang w:val="en-US" w:eastAsia="zh-CN"/>
              </w:rPr>
              <w:t>员工生活依托租赁民房，产生的废水经市政污水管网排放处理</w:t>
            </w:r>
          </w:p>
        </w:tc>
        <w:tc>
          <w:tcPr>
            <w:tcW w:w="1307" w:type="pct"/>
            <w:tcBorders>
              <w:tl2br w:val="nil"/>
              <w:tr2bl w:val="nil"/>
            </w:tcBorders>
            <w:vAlign w:val="center"/>
          </w:tcPr>
          <w:p w14:paraId="02815C3D">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u w:val="single"/>
                <w:lang w:val="en-US" w:eastAsia="zh-CN"/>
              </w:rPr>
            </w:pPr>
            <w:r>
              <w:rPr>
                <w:rFonts w:hint="eastAsia"/>
                <w:color w:val="auto"/>
                <w:u w:val="single"/>
                <w:lang w:val="en-US" w:eastAsia="zh-CN"/>
              </w:rPr>
              <w:t>/</w:t>
            </w:r>
          </w:p>
        </w:tc>
        <w:tc>
          <w:tcPr>
            <w:tcW w:w="750" w:type="pct"/>
            <w:vMerge w:val="continue"/>
            <w:tcBorders>
              <w:tl2br w:val="nil"/>
              <w:tr2bl w:val="nil"/>
            </w:tcBorders>
            <w:vAlign w:val="center"/>
          </w:tcPr>
          <w:p w14:paraId="2FB03FCE">
            <w:pPr>
              <w:pStyle w:val="76"/>
              <w:keepNext w:val="0"/>
              <w:keepLines w:val="0"/>
              <w:suppressLineNumbers w:val="0"/>
              <w:adjustRightInd w:val="0"/>
              <w:snapToGrid w:val="0"/>
              <w:spacing w:before="0" w:beforeAutospacing="0" w:after="0" w:afterAutospacing="0" w:line="320" w:lineRule="exact"/>
              <w:ind w:left="0" w:right="0"/>
              <w:jc w:val="center"/>
              <w:rPr>
                <w:rFonts w:hint="eastAsia"/>
                <w:color w:val="auto"/>
                <w:u w:val="single"/>
                <w:lang w:val="en-US" w:eastAsia="zh-CN"/>
              </w:rPr>
            </w:pPr>
          </w:p>
        </w:tc>
        <w:tc>
          <w:tcPr>
            <w:tcW w:w="715" w:type="pct"/>
            <w:vMerge w:val="continue"/>
            <w:tcBorders>
              <w:tl2br w:val="nil"/>
              <w:tr2bl w:val="nil"/>
            </w:tcBorders>
            <w:vAlign w:val="center"/>
          </w:tcPr>
          <w:p w14:paraId="7DB31F45">
            <w:pPr>
              <w:pStyle w:val="76"/>
              <w:keepNext w:val="0"/>
              <w:keepLines w:val="0"/>
              <w:suppressLineNumbers w:val="0"/>
              <w:adjustRightInd w:val="0"/>
              <w:snapToGrid w:val="0"/>
              <w:spacing w:before="0" w:beforeAutospacing="0" w:after="0" w:afterAutospacing="0" w:line="320" w:lineRule="exact"/>
              <w:ind w:left="0" w:right="0"/>
              <w:jc w:val="center"/>
              <w:rPr>
                <w:rFonts w:hint="eastAsia"/>
                <w:color w:val="auto"/>
                <w:u w:val="single"/>
                <w:lang w:val="en-US" w:eastAsia="zh-CN"/>
              </w:rPr>
            </w:pPr>
          </w:p>
        </w:tc>
      </w:tr>
      <w:tr w14:paraId="74AF4E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0" w:hRule="atLeast"/>
          <w:jc w:val="center"/>
        </w:trPr>
        <w:tc>
          <w:tcPr>
            <w:tcW w:w="308" w:type="pct"/>
            <w:vMerge w:val="continue"/>
            <w:tcBorders>
              <w:tl2br w:val="nil"/>
              <w:tr2bl w:val="nil"/>
            </w:tcBorders>
            <w:vAlign w:val="center"/>
          </w:tcPr>
          <w:p w14:paraId="5F08CF1A">
            <w:pPr>
              <w:pStyle w:val="76"/>
              <w:keepNext w:val="0"/>
              <w:keepLines w:val="0"/>
              <w:suppressLineNumbers w:val="0"/>
              <w:adjustRightInd w:val="0"/>
              <w:snapToGrid w:val="0"/>
              <w:spacing w:before="0" w:beforeAutospacing="0" w:after="0" w:afterAutospacing="0" w:line="320" w:lineRule="exact"/>
              <w:ind w:left="0" w:right="0"/>
              <w:jc w:val="center"/>
              <w:rPr>
                <w:rFonts w:hint="default"/>
                <w:u w:val="single"/>
              </w:rPr>
            </w:pPr>
          </w:p>
        </w:tc>
        <w:tc>
          <w:tcPr>
            <w:tcW w:w="1917" w:type="pct"/>
            <w:tcBorders>
              <w:tl2br w:val="nil"/>
              <w:tr2bl w:val="nil"/>
            </w:tcBorders>
            <w:vAlign w:val="center"/>
          </w:tcPr>
          <w:p w14:paraId="751FFAB2">
            <w:pPr>
              <w:pStyle w:val="76"/>
              <w:keepNext w:val="0"/>
              <w:keepLines w:val="0"/>
              <w:suppressLineNumbers w:val="0"/>
              <w:adjustRightInd w:val="0"/>
              <w:snapToGrid w:val="0"/>
              <w:spacing w:before="0" w:beforeAutospacing="0" w:after="0" w:afterAutospacing="0" w:line="320" w:lineRule="exact"/>
              <w:ind w:left="0" w:right="0"/>
              <w:jc w:val="center"/>
              <w:rPr>
                <w:rFonts w:hint="eastAsia"/>
                <w:color w:val="auto"/>
                <w:u w:val="single"/>
                <w:lang w:eastAsia="zh-CN"/>
              </w:rPr>
            </w:pPr>
            <w:r>
              <w:rPr>
                <w:rFonts w:hint="eastAsia"/>
                <w:color w:val="auto"/>
                <w:u w:val="single"/>
                <w:lang w:val="en-US" w:eastAsia="zh-CN"/>
              </w:rPr>
              <w:t>淤泥脱水废水经三级沉淀池→混凝沉淀（PAC+PAM）→活性炭吸附→清水池回用/达标排放</w:t>
            </w:r>
          </w:p>
        </w:tc>
        <w:tc>
          <w:tcPr>
            <w:tcW w:w="1307" w:type="pct"/>
            <w:tcBorders>
              <w:tl2br w:val="nil"/>
              <w:tr2bl w:val="nil"/>
            </w:tcBorders>
            <w:vAlign w:val="center"/>
          </w:tcPr>
          <w:p w14:paraId="60D13F3D">
            <w:pPr>
              <w:pStyle w:val="76"/>
              <w:keepNext w:val="0"/>
              <w:keepLines w:val="0"/>
              <w:suppressLineNumbers w:val="0"/>
              <w:adjustRightInd w:val="0"/>
              <w:snapToGrid w:val="0"/>
              <w:spacing w:before="0" w:beforeAutospacing="0" w:after="0" w:afterAutospacing="0" w:line="320" w:lineRule="exact"/>
              <w:ind w:left="0" w:right="0"/>
              <w:jc w:val="center"/>
              <w:rPr>
                <w:rFonts w:hint="eastAsia"/>
                <w:color w:val="auto"/>
                <w:u w:val="single"/>
                <w:lang w:eastAsia="zh-CN"/>
              </w:rPr>
            </w:pPr>
            <w:r>
              <w:rPr>
                <w:rFonts w:hint="eastAsia"/>
                <w:color w:val="auto"/>
                <w:u w:val="single"/>
                <w:lang w:eastAsia="zh-CN"/>
              </w:rPr>
              <w:t>《污水综合排放标准》（GB8978-1996）一级标准</w:t>
            </w:r>
          </w:p>
        </w:tc>
        <w:tc>
          <w:tcPr>
            <w:tcW w:w="750" w:type="pct"/>
            <w:vMerge w:val="continue"/>
            <w:tcBorders>
              <w:tl2br w:val="nil"/>
              <w:tr2bl w:val="nil"/>
            </w:tcBorders>
            <w:vAlign w:val="center"/>
          </w:tcPr>
          <w:p w14:paraId="5384F082">
            <w:pPr>
              <w:pStyle w:val="76"/>
              <w:keepNext w:val="0"/>
              <w:keepLines w:val="0"/>
              <w:suppressLineNumbers w:val="0"/>
              <w:adjustRightInd w:val="0"/>
              <w:snapToGrid w:val="0"/>
              <w:spacing w:before="0" w:beforeAutospacing="0" w:after="0" w:afterAutospacing="0" w:line="320" w:lineRule="exact"/>
              <w:ind w:left="0" w:right="0"/>
              <w:jc w:val="center"/>
              <w:rPr>
                <w:rFonts w:hint="eastAsia"/>
                <w:color w:val="auto"/>
                <w:u w:val="single"/>
                <w:lang w:eastAsia="zh-CN"/>
              </w:rPr>
            </w:pPr>
          </w:p>
        </w:tc>
        <w:tc>
          <w:tcPr>
            <w:tcW w:w="715" w:type="pct"/>
            <w:vMerge w:val="continue"/>
            <w:tcBorders>
              <w:tl2br w:val="nil"/>
              <w:tr2bl w:val="nil"/>
            </w:tcBorders>
            <w:vAlign w:val="center"/>
          </w:tcPr>
          <w:p w14:paraId="33F900EC">
            <w:pPr>
              <w:pStyle w:val="76"/>
              <w:keepNext w:val="0"/>
              <w:keepLines w:val="0"/>
              <w:suppressLineNumbers w:val="0"/>
              <w:adjustRightInd w:val="0"/>
              <w:snapToGrid w:val="0"/>
              <w:spacing w:before="0" w:beforeAutospacing="0" w:after="0" w:afterAutospacing="0" w:line="320" w:lineRule="exact"/>
              <w:ind w:left="0" w:right="0"/>
              <w:jc w:val="center"/>
              <w:rPr>
                <w:rFonts w:hint="eastAsia"/>
                <w:color w:val="auto"/>
                <w:u w:val="single"/>
                <w:lang w:eastAsia="zh-CN"/>
              </w:rPr>
            </w:pPr>
          </w:p>
        </w:tc>
      </w:tr>
      <w:tr w14:paraId="459287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08" w:type="pct"/>
            <w:tcBorders>
              <w:tl2br w:val="nil"/>
              <w:tr2bl w:val="nil"/>
            </w:tcBorders>
            <w:vAlign w:val="center"/>
          </w:tcPr>
          <w:p w14:paraId="45C67C65">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r>
              <w:rPr>
                <w:rFonts w:hint="eastAsia"/>
                <w:b/>
                <w:color w:val="auto"/>
                <w:u w:val="single"/>
              </w:rPr>
              <w:t>地下水及土壤环境</w:t>
            </w:r>
          </w:p>
        </w:tc>
        <w:tc>
          <w:tcPr>
            <w:tcW w:w="1917" w:type="pct"/>
            <w:tcBorders>
              <w:tl2br w:val="nil"/>
              <w:tr2bl w:val="nil"/>
            </w:tcBorders>
            <w:vAlign w:val="center"/>
          </w:tcPr>
          <w:p w14:paraId="6B9FC7F6">
            <w:pPr>
              <w:pStyle w:val="76"/>
              <w:keepNext w:val="0"/>
              <w:keepLines w:val="0"/>
              <w:suppressLineNumbers w:val="0"/>
              <w:adjustRightInd w:val="0"/>
              <w:snapToGrid w:val="0"/>
              <w:spacing w:before="0" w:beforeAutospacing="0" w:after="0" w:afterAutospacing="0" w:line="320" w:lineRule="exact"/>
              <w:ind w:left="0" w:right="0"/>
              <w:jc w:val="left"/>
              <w:rPr>
                <w:rFonts w:hint="default"/>
                <w:color w:val="auto"/>
                <w:sz w:val="21"/>
                <w:szCs w:val="21"/>
                <w:u w:val="single"/>
              </w:rPr>
            </w:pPr>
            <w:r>
              <w:rPr>
                <w:rFonts w:hint="default"/>
                <w:color w:val="auto"/>
                <w:sz w:val="21"/>
                <w:szCs w:val="21"/>
                <w:u w:val="single"/>
              </w:rPr>
              <w:t>①进行封闭性施工，严格控制施工范围；</w:t>
            </w:r>
          </w:p>
          <w:p w14:paraId="1A83807F">
            <w:pPr>
              <w:pStyle w:val="76"/>
              <w:keepNext w:val="0"/>
              <w:keepLines w:val="0"/>
              <w:suppressLineNumbers w:val="0"/>
              <w:adjustRightInd w:val="0"/>
              <w:snapToGrid w:val="0"/>
              <w:spacing w:before="0" w:beforeAutospacing="0" w:after="0" w:afterAutospacing="0" w:line="320" w:lineRule="exact"/>
              <w:ind w:left="0" w:right="0"/>
              <w:jc w:val="left"/>
              <w:rPr>
                <w:rFonts w:hint="default"/>
                <w:color w:val="auto"/>
                <w:sz w:val="21"/>
                <w:szCs w:val="21"/>
                <w:u w:val="single"/>
              </w:rPr>
            </w:pPr>
            <w:r>
              <w:rPr>
                <w:rFonts w:hint="default"/>
                <w:color w:val="auto"/>
                <w:sz w:val="21"/>
                <w:szCs w:val="21"/>
                <w:u w:val="single"/>
              </w:rPr>
              <w:t>②场区预先修建挡土墙和排洪沟，地表开挖尽量避开暴雨季节，做到分期分区开挖，排水系统结合地形和道路排水统一布置；</w:t>
            </w:r>
          </w:p>
          <w:p w14:paraId="4551821D">
            <w:pPr>
              <w:pStyle w:val="76"/>
              <w:keepNext w:val="0"/>
              <w:keepLines w:val="0"/>
              <w:suppressLineNumbers w:val="0"/>
              <w:adjustRightInd w:val="0"/>
              <w:snapToGrid w:val="0"/>
              <w:spacing w:before="0" w:beforeAutospacing="0" w:after="0" w:afterAutospacing="0" w:line="320" w:lineRule="exact"/>
              <w:ind w:left="0" w:right="0"/>
              <w:jc w:val="left"/>
              <w:rPr>
                <w:rFonts w:hint="default"/>
                <w:color w:val="auto"/>
                <w:sz w:val="21"/>
                <w:szCs w:val="21"/>
                <w:u w:val="single"/>
              </w:rPr>
            </w:pPr>
            <w:r>
              <w:rPr>
                <w:rFonts w:hint="default"/>
                <w:color w:val="auto"/>
                <w:sz w:val="21"/>
                <w:szCs w:val="21"/>
                <w:u w:val="single"/>
              </w:rPr>
              <w:t>③合理选择施工工序；</w:t>
            </w:r>
          </w:p>
          <w:p w14:paraId="65F77043">
            <w:pPr>
              <w:pStyle w:val="76"/>
              <w:keepNext w:val="0"/>
              <w:keepLines w:val="0"/>
              <w:suppressLineNumbers w:val="0"/>
              <w:adjustRightInd w:val="0"/>
              <w:snapToGrid w:val="0"/>
              <w:spacing w:before="0" w:beforeAutospacing="0" w:after="0" w:afterAutospacing="0" w:line="320" w:lineRule="exact"/>
              <w:ind w:left="0" w:right="0"/>
              <w:jc w:val="left"/>
              <w:rPr>
                <w:rFonts w:hint="default"/>
                <w:color w:val="auto"/>
                <w:sz w:val="21"/>
                <w:szCs w:val="21"/>
                <w:u w:val="single"/>
              </w:rPr>
            </w:pPr>
            <w:r>
              <w:rPr>
                <w:rFonts w:hint="default"/>
                <w:color w:val="auto"/>
                <w:sz w:val="21"/>
                <w:szCs w:val="21"/>
                <w:u w:val="single"/>
              </w:rPr>
              <w:t>④合理选择施工工期；</w:t>
            </w:r>
          </w:p>
          <w:p w14:paraId="00744252">
            <w:pPr>
              <w:pStyle w:val="76"/>
              <w:keepNext w:val="0"/>
              <w:keepLines w:val="0"/>
              <w:suppressLineNumbers w:val="0"/>
              <w:adjustRightInd w:val="0"/>
              <w:snapToGrid w:val="0"/>
              <w:spacing w:before="0" w:beforeAutospacing="0" w:after="0" w:afterAutospacing="0" w:line="320" w:lineRule="exact"/>
              <w:ind w:left="0" w:right="0"/>
              <w:jc w:val="left"/>
              <w:rPr>
                <w:rFonts w:hint="default"/>
                <w:color w:val="auto"/>
                <w:sz w:val="21"/>
                <w:szCs w:val="21"/>
                <w:u w:val="single"/>
              </w:rPr>
            </w:pPr>
            <w:r>
              <w:rPr>
                <w:rFonts w:hint="default"/>
                <w:color w:val="auto"/>
                <w:sz w:val="21"/>
                <w:szCs w:val="21"/>
                <w:u w:val="single"/>
              </w:rPr>
              <w:t>⑤严格控制运输流失；</w:t>
            </w:r>
          </w:p>
          <w:p w14:paraId="664C7C65">
            <w:pPr>
              <w:pStyle w:val="76"/>
              <w:keepNext w:val="0"/>
              <w:keepLines w:val="0"/>
              <w:suppressLineNumbers w:val="0"/>
              <w:adjustRightInd w:val="0"/>
              <w:snapToGrid w:val="0"/>
              <w:spacing w:before="0" w:beforeAutospacing="0" w:after="0" w:afterAutospacing="0" w:line="320" w:lineRule="exact"/>
              <w:ind w:left="0" w:right="0"/>
              <w:jc w:val="left"/>
              <w:rPr>
                <w:rFonts w:hint="default"/>
                <w:color w:val="auto"/>
                <w:sz w:val="21"/>
                <w:szCs w:val="21"/>
                <w:u w:val="single"/>
              </w:rPr>
            </w:pPr>
            <w:r>
              <w:rPr>
                <w:rFonts w:hint="default"/>
                <w:color w:val="auto"/>
                <w:sz w:val="21"/>
                <w:szCs w:val="21"/>
                <w:u w:val="single"/>
              </w:rPr>
              <w:t>⑥剥离的表层土采取临时覆盖等防护措施；</w:t>
            </w:r>
          </w:p>
          <w:p w14:paraId="58EE41F2">
            <w:pPr>
              <w:pStyle w:val="76"/>
              <w:keepNext w:val="0"/>
              <w:keepLines w:val="0"/>
              <w:suppressLineNumbers w:val="0"/>
              <w:adjustRightInd w:val="0"/>
              <w:snapToGrid w:val="0"/>
              <w:spacing w:before="0" w:beforeAutospacing="0" w:after="0" w:afterAutospacing="0" w:line="320" w:lineRule="exact"/>
              <w:ind w:left="0" w:right="0"/>
              <w:jc w:val="left"/>
              <w:rPr>
                <w:rFonts w:hint="default"/>
                <w:color w:val="auto"/>
                <w:sz w:val="21"/>
                <w:szCs w:val="21"/>
                <w:u w:val="single"/>
              </w:rPr>
            </w:pPr>
            <w:r>
              <w:rPr>
                <w:rFonts w:hint="default"/>
                <w:color w:val="auto"/>
                <w:sz w:val="21"/>
                <w:szCs w:val="21"/>
                <w:u w:val="single"/>
              </w:rPr>
              <w:t>⑦注重水土保持的综合性；</w:t>
            </w:r>
          </w:p>
          <w:p w14:paraId="036CAC98">
            <w:pPr>
              <w:pStyle w:val="76"/>
              <w:keepNext w:val="0"/>
              <w:keepLines w:val="0"/>
              <w:suppressLineNumbers w:val="0"/>
              <w:adjustRightInd w:val="0"/>
              <w:snapToGrid w:val="0"/>
              <w:spacing w:before="0" w:beforeAutospacing="0" w:after="0" w:afterAutospacing="0" w:line="320" w:lineRule="exact"/>
              <w:ind w:left="0" w:right="0"/>
              <w:jc w:val="left"/>
              <w:rPr>
                <w:rFonts w:hint="eastAsia" w:eastAsia="宋体"/>
                <w:color w:val="auto"/>
                <w:sz w:val="21"/>
                <w:szCs w:val="21"/>
                <w:u w:val="single"/>
                <w:lang w:eastAsia="zh-CN"/>
              </w:rPr>
            </w:pPr>
            <w:r>
              <w:rPr>
                <w:rFonts w:hint="default"/>
                <w:color w:val="auto"/>
                <w:sz w:val="21"/>
                <w:szCs w:val="21"/>
                <w:u w:val="single"/>
              </w:rPr>
              <w:t>⑧施工中加强施工管理，尽量缩小施工范围尽可能不破坏原有的地表植被和土壤</w:t>
            </w:r>
            <w:r>
              <w:rPr>
                <w:rFonts w:hint="eastAsia"/>
                <w:color w:val="auto"/>
                <w:sz w:val="21"/>
                <w:szCs w:val="21"/>
                <w:u w:val="single"/>
                <w:lang w:eastAsia="zh-CN"/>
              </w:rPr>
              <w:t>。</w:t>
            </w:r>
          </w:p>
        </w:tc>
        <w:tc>
          <w:tcPr>
            <w:tcW w:w="1307" w:type="pct"/>
            <w:tcBorders>
              <w:tl2br w:val="nil"/>
              <w:tr2bl w:val="nil"/>
            </w:tcBorders>
            <w:vAlign w:val="center"/>
          </w:tcPr>
          <w:p w14:paraId="3F0B6D4F">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sz w:val="21"/>
                <w:szCs w:val="21"/>
                <w:u w:val="single"/>
              </w:rPr>
            </w:pPr>
            <w:r>
              <w:rPr>
                <w:rFonts w:hint="eastAsia"/>
                <w:color w:val="auto"/>
                <w:sz w:val="21"/>
                <w:szCs w:val="21"/>
                <w:u w:val="single"/>
              </w:rPr>
              <w:t>/</w:t>
            </w:r>
          </w:p>
        </w:tc>
        <w:tc>
          <w:tcPr>
            <w:tcW w:w="750" w:type="pct"/>
            <w:tcBorders>
              <w:tl2br w:val="nil"/>
              <w:tr2bl w:val="nil"/>
            </w:tcBorders>
            <w:vAlign w:val="center"/>
          </w:tcPr>
          <w:p w14:paraId="4420256F">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val="en-US" w:eastAsia="zh-CN"/>
              </w:rPr>
            </w:pPr>
            <w:r>
              <w:rPr>
                <w:rFonts w:hint="eastAsia"/>
                <w:color w:val="auto"/>
                <w:sz w:val="21"/>
                <w:szCs w:val="21"/>
                <w:u w:val="single"/>
                <w:lang w:val="en-US" w:eastAsia="zh-CN"/>
              </w:rPr>
              <w:t>/</w:t>
            </w:r>
          </w:p>
        </w:tc>
        <w:tc>
          <w:tcPr>
            <w:tcW w:w="715" w:type="pct"/>
            <w:tcBorders>
              <w:tl2br w:val="nil"/>
              <w:tr2bl w:val="nil"/>
            </w:tcBorders>
            <w:vAlign w:val="center"/>
          </w:tcPr>
          <w:p w14:paraId="40312F3F">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val="en-US" w:eastAsia="zh-CN"/>
              </w:rPr>
            </w:pPr>
            <w:r>
              <w:rPr>
                <w:rFonts w:hint="eastAsia"/>
                <w:color w:val="auto"/>
                <w:sz w:val="21"/>
                <w:szCs w:val="21"/>
                <w:u w:val="single"/>
                <w:lang w:val="en-US" w:eastAsia="zh-CN"/>
              </w:rPr>
              <w:t>/</w:t>
            </w:r>
          </w:p>
        </w:tc>
      </w:tr>
      <w:tr w14:paraId="4BC59B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20" w:hRule="atLeast"/>
          <w:jc w:val="center"/>
        </w:trPr>
        <w:tc>
          <w:tcPr>
            <w:tcW w:w="308" w:type="pct"/>
            <w:tcBorders>
              <w:tl2br w:val="nil"/>
              <w:tr2bl w:val="nil"/>
            </w:tcBorders>
            <w:vAlign w:val="center"/>
          </w:tcPr>
          <w:p w14:paraId="13AED0EC">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r>
              <w:rPr>
                <w:rFonts w:hint="default"/>
                <w:b/>
                <w:color w:val="auto"/>
                <w:u w:val="single"/>
              </w:rPr>
              <w:t>声环境</w:t>
            </w:r>
          </w:p>
        </w:tc>
        <w:tc>
          <w:tcPr>
            <w:tcW w:w="1917" w:type="pct"/>
            <w:tcBorders>
              <w:tl2br w:val="nil"/>
              <w:tr2bl w:val="nil"/>
            </w:tcBorders>
            <w:vAlign w:val="center"/>
          </w:tcPr>
          <w:p w14:paraId="2BF67101">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eastAsia="zh-CN"/>
              </w:rPr>
            </w:pPr>
            <w:r>
              <w:rPr>
                <w:rFonts w:hint="eastAsia" w:eastAsia="宋体"/>
                <w:color w:val="auto"/>
                <w:sz w:val="21"/>
                <w:szCs w:val="21"/>
                <w:u w:val="single"/>
                <w:lang w:eastAsia="zh-CN"/>
              </w:rPr>
              <w:t>采用低噪设备，减震措施；施工设备尽量远离敏感点；在施工现场临敏感点一侧设置围挡；</w:t>
            </w:r>
            <w:r>
              <w:rPr>
                <w:rFonts w:hint="eastAsia"/>
                <w:color w:val="auto"/>
                <w:sz w:val="21"/>
                <w:szCs w:val="21"/>
                <w:u w:val="single"/>
                <w:lang w:val="en-US" w:eastAsia="zh-CN"/>
              </w:rPr>
              <w:t>运</w:t>
            </w:r>
            <w:r>
              <w:rPr>
                <w:rFonts w:hint="eastAsia" w:eastAsia="宋体"/>
                <w:color w:val="auto"/>
                <w:sz w:val="21"/>
                <w:szCs w:val="21"/>
                <w:u w:val="single"/>
                <w:lang w:eastAsia="zh-CN"/>
              </w:rPr>
              <w:t>输车辆经过居民集中区时限速、禁鸣；夜间禁止施工；昼间合理安排作业时间。</w:t>
            </w:r>
          </w:p>
        </w:tc>
        <w:tc>
          <w:tcPr>
            <w:tcW w:w="1307" w:type="pct"/>
            <w:tcBorders>
              <w:tl2br w:val="nil"/>
              <w:tr2bl w:val="nil"/>
            </w:tcBorders>
            <w:vAlign w:val="center"/>
          </w:tcPr>
          <w:p w14:paraId="64AEEFAF">
            <w:pPr>
              <w:pStyle w:val="76"/>
              <w:keepNext w:val="0"/>
              <w:keepLines w:val="0"/>
              <w:suppressLineNumbers w:val="0"/>
              <w:adjustRightInd w:val="0"/>
              <w:snapToGrid w:val="0"/>
              <w:spacing w:before="0" w:beforeAutospacing="0" w:after="0" w:afterAutospacing="0" w:line="320" w:lineRule="exact"/>
              <w:ind w:left="0" w:right="0"/>
              <w:jc w:val="center"/>
              <w:rPr>
                <w:rFonts w:hint="default" w:eastAsia="宋体"/>
                <w:color w:val="auto"/>
                <w:sz w:val="21"/>
                <w:szCs w:val="21"/>
                <w:u w:val="single"/>
                <w:lang w:val="en-US" w:eastAsia="zh-CN"/>
              </w:rPr>
            </w:pPr>
            <w:r>
              <w:rPr>
                <w:rFonts w:hint="eastAsia"/>
                <w:color w:val="auto"/>
                <w:sz w:val="21"/>
                <w:szCs w:val="21"/>
                <w:u w:val="single"/>
                <w:lang w:val="en-US" w:eastAsia="zh-CN"/>
              </w:rPr>
              <w:t>《建筑施工厂界环境排放标准》（GB12523-2011）</w:t>
            </w:r>
          </w:p>
        </w:tc>
        <w:tc>
          <w:tcPr>
            <w:tcW w:w="750" w:type="pct"/>
            <w:tcBorders>
              <w:tl2br w:val="nil"/>
              <w:tr2bl w:val="nil"/>
            </w:tcBorders>
            <w:vAlign w:val="center"/>
          </w:tcPr>
          <w:p w14:paraId="76D4501E">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val="en-US" w:eastAsia="zh-CN"/>
              </w:rPr>
            </w:pPr>
            <w:r>
              <w:rPr>
                <w:rFonts w:hint="eastAsia"/>
                <w:color w:val="auto"/>
                <w:sz w:val="21"/>
                <w:szCs w:val="21"/>
                <w:u w:val="single"/>
                <w:lang w:val="en-US" w:eastAsia="zh-CN"/>
              </w:rPr>
              <w:t>/</w:t>
            </w:r>
          </w:p>
        </w:tc>
        <w:tc>
          <w:tcPr>
            <w:tcW w:w="715" w:type="pct"/>
            <w:tcBorders>
              <w:tl2br w:val="nil"/>
              <w:tr2bl w:val="nil"/>
            </w:tcBorders>
            <w:vAlign w:val="center"/>
          </w:tcPr>
          <w:p w14:paraId="09DE5C7D">
            <w:pPr>
              <w:keepNext w:val="0"/>
              <w:keepLines w:val="0"/>
              <w:suppressLineNumbers w:val="0"/>
              <w:spacing w:before="0" w:beforeAutospacing="0" w:after="0" w:afterAutospacing="0"/>
              <w:ind w:left="0" w:right="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r>
      <w:tr w14:paraId="2DD916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08" w:type="pct"/>
            <w:tcBorders>
              <w:tl2br w:val="nil"/>
              <w:tr2bl w:val="nil"/>
            </w:tcBorders>
            <w:vAlign w:val="center"/>
          </w:tcPr>
          <w:p w14:paraId="71DEAAC6">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r>
              <w:rPr>
                <w:rFonts w:hint="default"/>
                <w:b/>
                <w:color w:val="auto"/>
                <w:u w:val="single"/>
              </w:rPr>
              <w:t>振动</w:t>
            </w:r>
          </w:p>
        </w:tc>
        <w:tc>
          <w:tcPr>
            <w:tcW w:w="1917" w:type="pct"/>
            <w:tcBorders>
              <w:tl2br w:val="nil"/>
              <w:tr2bl w:val="nil"/>
            </w:tcBorders>
            <w:vAlign w:val="center"/>
          </w:tcPr>
          <w:p w14:paraId="5745B38D">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sz w:val="21"/>
                <w:szCs w:val="21"/>
                <w:u w:val="single"/>
              </w:rPr>
            </w:pPr>
            <w:r>
              <w:rPr>
                <w:rFonts w:hint="default"/>
                <w:color w:val="auto"/>
                <w:sz w:val="21"/>
                <w:szCs w:val="21"/>
                <w:u w:val="single"/>
              </w:rPr>
              <w:t>/</w:t>
            </w:r>
          </w:p>
        </w:tc>
        <w:tc>
          <w:tcPr>
            <w:tcW w:w="1307" w:type="pct"/>
            <w:tcBorders>
              <w:tl2br w:val="nil"/>
              <w:tr2bl w:val="nil"/>
            </w:tcBorders>
            <w:vAlign w:val="center"/>
          </w:tcPr>
          <w:p w14:paraId="055BDD69">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sz w:val="21"/>
                <w:szCs w:val="21"/>
                <w:u w:val="single"/>
              </w:rPr>
            </w:pPr>
            <w:r>
              <w:rPr>
                <w:rFonts w:hint="default"/>
                <w:color w:val="auto"/>
                <w:sz w:val="21"/>
                <w:szCs w:val="21"/>
                <w:u w:val="single"/>
              </w:rPr>
              <w:t>/</w:t>
            </w:r>
          </w:p>
        </w:tc>
        <w:tc>
          <w:tcPr>
            <w:tcW w:w="750" w:type="pct"/>
            <w:tcBorders>
              <w:tl2br w:val="nil"/>
              <w:tr2bl w:val="nil"/>
            </w:tcBorders>
            <w:vAlign w:val="center"/>
          </w:tcPr>
          <w:p w14:paraId="7CC11814">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eastAsia="zh-CN"/>
              </w:rPr>
            </w:pPr>
            <w:r>
              <w:rPr>
                <w:rFonts w:hint="eastAsia"/>
                <w:color w:val="auto"/>
                <w:sz w:val="21"/>
                <w:szCs w:val="21"/>
                <w:u w:val="single"/>
                <w:lang w:val="en-US" w:eastAsia="zh-CN"/>
              </w:rPr>
              <w:t>/</w:t>
            </w:r>
          </w:p>
        </w:tc>
        <w:tc>
          <w:tcPr>
            <w:tcW w:w="715" w:type="pct"/>
            <w:tcBorders>
              <w:tl2br w:val="nil"/>
              <w:tr2bl w:val="nil"/>
            </w:tcBorders>
            <w:vAlign w:val="center"/>
          </w:tcPr>
          <w:p w14:paraId="05D87857">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eastAsia="zh-CN"/>
              </w:rPr>
            </w:pPr>
            <w:r>
              <w:rPr>
                <w:rFonts w:hint="eastAsia"/>
                <w:color w:val="auto"/>
                <w:sz w:val="21"/>
                <w:szCs w:val="21"/>
                <w:u w:val="single"/>
                <w:lang w:val="en-US" w:eastAsia="zh-CN"/>
              </w:rPr>
              <w:t>/</w:t>
            </w:r>
          </w:p>
        </w:tc>
      </w:tr>
      <w:tr w14:paraId="0721B3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90" w:hRule="atLeast"/>
          <w:jc w:val="center"/>
        </w:trPr>
        <w:tc>
          <w:tcPr>
            <w:tcW w:w="308" w:type="pct"/>
            <w:tcBorders>
              <w:tl2br w:val="nil"/>
              <w:tr2bl w:val="nil"/>
            </w:tcBorders>
            <w:vAlign w:val="center"/>
          </w:tcPr>
          <w:p w14:paraId="1E6AA052">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r>
              <w:rPr>
                <w:rFonts w:hint="default"/>
                <w:b/>
                <w:color w:val="auto"/>
                <w:u w:val="single"/>
              </w:rPr>
              <w:t>大气环境</w:t>
            </w:r>
          </w:p>
        </w:tc>
        <w:tc>
          <w:tcPr>
            <w:tcW w:w="1917" w:type="pct"/>
            <w:tcBorders>
              <w:tl2br w:val="nil"/>
              <w:tr2bl w:val="nil"/>
            </w:tcBorders>
            <w:vAlign w:val="center"/>
          </w:tcPr>
          <w:p w14:paraId="477D30FD">
            <w:pPr>
              <w:pStyle w:val="76"/>
              <w:keepNext w:val="0"/>
              <w:keepLines w:val="0"/>
              <w:suppressLineNumbers w:val="0"/>
              <w:adjustRightInd w:val="0"/>
              <w:snapToGrid w:val="0"/>
              <w:spacing w:before="0" w:beforeAutospacing="0" w:after="0" w:afterAutospacing="0" w:line="320" w:lineRule="exact"/>
              <w:ind w:left="0" w:right="0"/>
              <w:jc w:val="left"/>
              <w:rPr>
                <w:rFonts w:hint="default" w:eastAsia="宋体"/>
                <w:color w:val="auto"/>
                <w:sz w:val="21"/>
                <w:szCs w:val="21"/>
                <w:u w:val="single"/>
                <w:lang w:val="en-US" w:eastAsia="zh-CN"/>
              </w:rPr>
            </w:pPr>
            <w:r>
              <w:rPr>
                <w:rFonts w:hint="default" w:eastAsia="宋体"/>
                <w:color w:val="auto"/>
                <w:sz w:val="21"/>
                <w:szCs w:val="21"/>
                <w:u w:val="single"/>
                <w:lang w:val="en-US" w:eastAsia="zh-CN"/>
              </w:rPr>
              <w:t>①施工扬尘：设置围挡、定期洒水、物料堆放覆盖、土方开挖湿法作业、运输车密闭运输等；</w:t>
            </w:r>
          </w:p>
          <w:p w14:paraId="77A31B84">
            <w:pPr>
              <w:pStyle w:val="76"/>
              <w:keepNext w:val="0"/>
              <w:keepLines w:val="0"/>
              <w:suppressLineNumbers w:val="0"/>
              <w:adjustRightInd w:val="0"/>
              <w:snapToGrid w:val="0"/>
              <w:spacing w:before="0" w:beforeAutospacing="0" w:after="0" w:afterAutospacing="0" w:line="320" w:lineRule="exact"/>
              <w:ind w:left="0" w:right="0"/>
              <w:jc w:val="left"/>
              <w:rPr>
                <w:rFonts w:hint="default" w:eastAsia="宋体"/>
                <w:color w:val="auto"/>
                <w:sz w:val="21"/>
                <w:szCs w:val="21"/>
                <w:u w:val="single"/>
                <w:lang w:val="en-US" w:eastAsia="zh-CN"/>
              </w:rPr>
            </w:pPr>
            <w:r>
              <w:rPr>
                <w:rFonts w:hint="default" w:eastAsia="宋体"/>
                <w:color w:val="auto"/>
                <w:sz w:val="21"/>
                <w:szCs w:val="21"/>
                <w:u w:val="single"/>
                <w:lang w:val="en-US" w:eastAsia="zh-CN"/>
              </w:rPr>
              <w:t>②机械尾气和发动机废气：</w:t>
            </w:r>
          </w:p>
          <w:p w14:paraId="622379BA">
            <w:pPr>
              <w:pStyle w:val="76"/>
              <w:keepNext w:val="0"/>
              <w:keepLines w:val="0"/>
              <w:suppressLineNumbers w:val="0"/>
              <w:adjustRightInd w:val="0"/>
              <w:snapToGrid w:val="0"/>
              <w:spacing w:before="0" w:beforeAutospacing="0" w:after="0" w:afterAutospacing="0" w:line="320" w:lineRule="exact"/>
              <w:ind w:left="0" w:right="0"/>
              <w:jc w:val="left"/>
              <w:rPr>
                <w:rFonts w:hint="default" w:eastAsia="宋体"/>
                <w:color w:val="auto"/>
                <w:sz w:val="21"/>
                <w:szCs w:val="21"/>
                <w:u w:val="single"/>
                <w:lang w:val="en-US" w:eastAsia="zh-CN"/>
              </w:rPr>
            </w:pPr>
            <w:r>
              <w:rPr>
                <w:rFonts w:hint="default" w:eastAsia="宋体"/>
                <w:color w:val="auto"/>
                <w:sz w:val="21"/>
                <w:szCs w:val="21"/>
                <w:u w:val="single"/>
                <w:lang w:val="en-US" w:eastAsia="zh-CN"/>
              </w:rPr>
              <w:t>施工单位应加强施工机械设备维护，选用合格的燃油，避免排放未完全燃烧的黑烟，减轻机械尾气对周围空气环境的影响；</w:t>
            </w:r>
          </w:p>
          <w:p w14:paraId="4A66E74F">
            <w:pPr>
              <w:pStyle w:val="76"/>
              <w:keepNext w:val="0"/>
              <w:keepLines w:val="0"/>
              <w:suppressLineNumbers w:val="0"/>
              <w:adjustRightInd w:val="0"/>
              <w:snapToGrid w:val="0"/>
              <w:spacing w:before="0" w:beforeAutospacing="0" w:after="0" w:afterAutospacing="0" w:line="320" w:lineRule="exact"/>
              <w:ind w:left="0" w:right="0"/>
              <w:jc w:val="left"/>
              <w:rPr>
                <w:rFonts w:hint="default" w:eastAsia="宋体"/>
                <w:color w:val="auto"/>
                <w:sz w:val="21"/>
                <w:szCs w:val="21"/>
                <w:u w:val="single"/>
                <w:lang w:val="en-US" w:eastAsia="zh-CN"/>
              </w:rPr>
            </w:pPr>
            <w:r>
              <w:rPr>
                <w:rFonts w:hint="default" w:eastAsia="宋体"/>
                <w:color w:val="auto"/>
                <w:sz w:val="21"/>
                <w:szCs w:val="21"/>
                <w:u w:val="single"/>
                <w:lang w:val="en-US" w:eastAsia="zh-CN"/>
              </w:rPr>
              <w:t>③臭气：清挖淤泥及时清运；喷洒除臭药物和覆盖遮挡</w:t>
            </w:r>
            <w:r>
              <w:rPr>
                <w:rFonts w:hint="eastAsia"/>
                <w:color w:val="auto"/>
                <w:sz w:val="21"/>
                <w:szCs w:val="21"/>
                <w:u w:val="single"/>
                <w:lang w:val="en-US" w:eastAsia="zh-CN"/>
              </w:rPr>
              <w:t>。</w:t>
            </w:r>
          </w:p>
        </w:tc>
        <w:tc>
          <w:tcPr>
            <w:tcW w:w="1307" w:type="pct"/>
            <w:tcBorders>
              <w:tl2br w:val="nil"/>
              <w:tr2bl w:val="nil"/>
            </w:tcBorders>
            <w:vAlign w:val="center"/>
          </w:tcPr>
          <w:p w14:paraId="0B45ED03">
            <w:pPr>
              <w:pStyle w:val="76"/>
              <w:keepNext w:val="0"/>
              <w:keepLines w:val="0"/>
              <w:suppressLineNumbers w:val="0"/>
              <w:adjustRightInd w:val="0"/>
              <w:snapToGrid w:val="0"/>
              <w:spacing w:before="0" w:beforeAutospacing="0" w:after="0" w:afterAutospacing="0" w:line="320" w:lineRule="exact"/>
              <w:ind w:left="0" w:right="0"/>
              <w:jc w:val="center"/>
              <w:rPr>
                <w:rFonts w:hint="eastAsia"/>
                <w:color w:val="auto"/>
                <w:sz w:val="21"/>
                <w:szCs w:val="21"/>
                <w:u w:val="single"/>
                <w:lang w:eastAsia="zh-CN"/>
              </w:rPr>
            </w:pPr>
            <w:r>
              <w:rPr>
                <w:rFonts w:hint="default"/>
                <w:color w:val="auto"/>
                <w:sz w:val="21"/>
                <w:szCs w:val="21"/>
                <w:u w:val="single"/>
              </w:rPr>
              <w:t>《大气污染物综合排放标准》（GB16297-1996）</w:t>
            </w:r>
            <w:r>
              <w:rPr>
                <w:rFonts w:hint="eastAsia"/>
                <w:color w:val="auto"/>
                <w:sz w:val="21"/>
                <w:szCs w:val="21"/>
                <w:u w:val="single"/>
                <w:lang w:eastAsia="zh-CN"/>
              </w:rPr>
              <w:t>无组织排放限值</w:t>
            </w:r>
          </w:p>
          <w:p w14:paraId="2F6F7BB8">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b/>
                <w:bCs/>
                <w:color w:val="auto"/>
                <w:sz w:val="21"/>
                <w:szCs w:val="21"/>
                <w:u w:val="single"/>
                <w:lang w:eastAsia="zh-CN"/>
              </w:rPr>
            </w:pPr>
            <w:r>
              <w:rPr>
                <w:rFonts w:hint="eastAsia"/>
                <w:color w:val="auto"/>
                <w:sz w:val="21"/>
                <w:szCs w:val="21"/>
                <w:u w:val="single"/>
                <w:lang w:eastAsia="zh-CN"/>
              </w:rPr>
              <w:t>《恶臭污染物排放浓度》（GB14533-93）表1厂界标准值二级标准</w:t>
            </w:r>
          </w:p>
        </w:tc>
        <w:tc>
          <w:tcPr>
            <w:tcW w:w="750" w:type="pct"/>
            <w:tcBorders>
              <w:tl2br w:val="nil"/>
              <w:tr2bl w:val="nil"/>
            </w:tcBorders>
            <w:vAlign w:val="center"/>
          </w:tcPr>
          <w:p w14:paraId="618B20C4">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val="en-US" w:eastAsia="zh-CN"/>
              </w:rPr>
            </w:pPr>
            <w:r>
              <w:rPr>
                <w:rFonts w:hint="eastAsia"/>
                <w:color w:val="auto"/>
                <w:sz w:val="21"/>
                <w:szCs w:val="21"/>
                <w:u w:val="single"/>
                <w:lang w:val="en-US" w:eastAsia="zh-CN"/>
              </w:rPr>
              <w:t>/</w:t>
            </w:r>
          </w:p>
        </w:tc>
        <w:tc>
          <w:tcPr>
            <w:tcW w:w="715" w:type="pct"/>
            <w:tcBorders>
              <w:tl2br w:val="nil"/>
              <w:tr2bl w:val="nil"/>
            </w:tcBorders>
            <w:vAlign w:val="center"/>
          </w:tcPr>
          <w:p w14:paraId="2F88F930">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eastAsia="zh-CN"/>
              </w:rPr>
            </w:pPr>
            <w:r>
              <w:rPr>
                <w:rFonts w:hint="eastAsia"/>
                <w:color w:val="auto"/>
                <w:sz w:val="21"/>
                <w:szCs w:val="21"/>
                <w:u w:val="single"/>
                <w:lang w:val="en-US" w:eastAsia="zh-CN"/>
              </w:rPr>
              <w:t>/</w:t>
            </w:r>
          </w:p>
        </w:tc>
      </w:tr>
      <w:tr w14:paraId="2F450F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08" w:type="pct"/>
            <w:tcBorders>
              <w:tl2br w:val="nil"/>
              <w:tr2bl w:val="nil"/>
            </w:tcBorders>
            <w:vAlign w:val="center"/>
          </w:tcPr>
          <w:p w14:paraId="5FF98578">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r>
              <w:rPr>
                <w:rFonts w:hint="default"/>
                <w:b/>
                <w:color w:val="auto"/>
                <w:u w:val="single"/>
              </w:rPr>
              <w:t>固体废物</w:t>
            </w:r>
          </w:p>
        </w:tc>
        <w:tc>
          <w:tcPr>
            <w:tcW w:w="1917" w:type="pct"/>
            <w:tcBorders>
              <w:tl2br w:val="nil"/>
              <w:tr2bl w:val="nil"/>
            </w:tcBorders>
            <w:vAlign w:val="center"/>
          </w:tcPr>
          <w:p w14:paraId="429825E0">
            <w:pPr>
              <w:pStyle w:val="76"/>
              <w:keepNext w:val="0"/>
              <w:keepLines w:val="0"/>
              <w:suppressLineNumbers w:val="0"/>
              <w:adjustRightInd w:val="0"/>
              <w:snapToGrid w:val="0"/>
              <w:spacing w:before="0" w:beforeAutospacing="0" w:after="0" w:afterAutospacing="0" w:line="320" w:lineRule="exact"/>
              <w:ind w:left="0" w:right="0"/>
              <w:jc w:val="left"/>
              <w:rPr>
                <w:rFonts w:hint="eastAsia"/>
                <w:color w:val="auto"/>
                <w:sz w:val="21"/>
                <w:szCs w:val="21"/>
                <w:u w:val="single"/>
                <w:lang w:val="en-US" w:eastAsia="zh-CN"/>
              </w:rPr>
            </w:pPr>
            <w:r>
              <w:rPr>
                <w:rFonts w:hint="eastAsia"/>
                <w:color w:val="auto"/>
                <w:sz w:val="21"/>
                <w:szCs w:val="21"/>
                <w:u w:val="single"/>
                <w:lang w:val="en-US" w:eastAsia="zh-CN"/>
              </w:rPr>
              <w:t>①清淤过程中产生的垃圾，经收集后及时清运；</w:t>
            </w:r>
          </w:p>
          <w:p w14:paraId="33AD06B4">
            <w:pPr>
              <w:pStyle w:val="76"/>
              <w:keepNext w:val="0"/>
              <w:keepLines w:val="0"/>
              <w:suppressLineNumbers w:val="0"/>
              <w:adjustRightInd w:val="0"/>
              <w:snapToGrid w:val="0"/>
              <w:spacing w:before="0" w:beforeAutospacing="0" w:after="0" w:afterAutospacing="0" w:line="320" w:lineRule="exact"/>
              <w:ind w:left="0" w:right="0"/>
              <w:jc w:val="left"/>
              <w:rPr>
                <w:rFonts w:hint="eastAsia"/>
                <w:color w:val="auto"/>
                <w:sz w:val="21"/>
                <w:szCs w:val="21"/>
                <w:u w:val="single"/>
                <w:lang w:val="en-US" w:eastAsia="zh-CN"/>
              </w:rPr>
            </w:pPr>
            <w:r>
              <w:rPr>
                <w:rFonts w:hint="eastAsia"/>
                <w:color w:val="auto"/>
                <w:sz w:val="21"/>
                <w:szCs w:val="21"/>
                <w:u w:val="single"/>
                <w:lang w:val="en-US" w:eastAsia="zh-CN"/>
              </w:rPr>
              <w:t>②淤泥经“石灰调理+板框压滤脱水”后泥饼暂存，后续直接交给其他公司进行资源化利用；；</w:t>
            </w:r>
          </w:p>
          <w:p w14:paraId="303BCF31">
            <w:pPr>
              <w:pStyle w:val="76"/>
              <w:keepNext w:val="0"/>
              <w:keepLines w:val="0"/>
              <w:suppressLineNumbers w:val="0"/>
              <w:adjustRightInd w:val="0"/>
              <w:snapToGrid w:val="0"/>
              <w:spacing w:before="0" w:beforeAutospacing="0" w:after="0" w:afterAutospacing="0" w:line="320" w:lineRule="exact"/>
              <w:ind w:left="0" w:right="0"/>
              <w:jc w:val="left"/>
              <w:rPr>
                <w:rFonts w:hint="default" w:eastAsia="宋体"/>
                <w:color w:val="auto"/>
                <w:sz w:val="21"/>
                <w:szCs w:val="21"/>
                <w:u w:val="single"/>
                <w:lang w:val="en-US" w:eastAsia="zh-CN"/>
              </w:rPr>
            </w:pPr>
            <w:r>
              <w:rPr>
                <w:rFonts w:hint="eastAsia"/>
                <w:color w:val="auto"/>
                <w:sz w:val="21"/>
                <w:szCs w:val="21"/>
                <w:u w:val="single"/>
                <w:lang w:val="en-US" w:eastAsia="zh-CN"/>
              </w:rPr>
              <w:t>③清淤过程中产生的垃圾及施工人员生活垃圾集中分类收集，交由当地环卫部门处理。</w:t>
            </w:r>
          </w:p>
        </w:tc>
        <w:tc>
          <w:tcPr>
            <w:tcW w:w="1307" w:type="pct"/>
            <w:tcBorders>
              <w:tl2br w:val="nil"/>
              <w:tr2bl w:val="nil"/>
            </w:tcBorders>
            <w:vAlign w:val="center"/>
          </w:tcPr>
          <w:p w14:paraId="495C8027">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eastAsia="zh-CN"/>
              </w:rPr>
            </w:pPr>
            <w:r>
              <w:rPr>
                <w:rFonts w:hint="eastAsia"/>
                <w:color w:val="auto"/>
                <w:kern w:val="24"/>
                <w:sz w:val="21"/>
                <w:szCs w:val="21"/>
                <w:u w:val="single"/>
                <w:lang w:val="en-US" w:eastAsia="zh-CN"/>
              </w:rPr>
              <w:t>/</w:t>
            </w:r>
          </w:p>
        </w:tc>
        <w:tc>
          <w:tcPr>
            <w:tcW w:w="750" w:type="pct"/>
            <w:tcBorders>
              <w:tl2br w:val="nil"/>
              <w:tr2bl w:val="nil"/>
            </w:tcBorders>
            <w:vAlign w:val="center"/>
          </w:tcPr>
          <w:p w14:paraId="4CCC0103">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eastAsia="zh-CN"/>
              </w:rPr>
            </w:pPr>
            <w:r>
              <w:rPr>
                <w:rFonts w:hint="eastAsia" w:cs="Times New Roman"/>
                <w:color w:val="auto"/>
                <w:sz w:val="21"/>
                <w:szCs w:val="21"/>
                <w:u w:val="single"/>
                <w:lang w:val="en-US" w:eastAsia="zh-CN"/>
              </w:rPr>
              <w:t>/</w:t>
            </w:r>
          </w:p>
        </w:tc>
        <w:tc>
          <w:tcPr>
            <w:tcW w:w="715" w:type="pct"/>
            <w:tcBorders>
              <w:tl2br w:val="nil"/>
              <w:tr2bl w:val="nil"/>
            </w:tcBorders>
            <w:vAlign w:val="center"/>
          </w:tcPr>
          <w:p w14:paraId="79B2D5B7">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kern w:val="24"/>
                <w:sz w:val="21"/>
                <w:szCs w:val="21"/>
                <w:u w:val="single"/>
                <w:lang w:eastAsia="zh-CN"/>
              </w:rPr>
            </w:pPr>
            <w:r>
              <w:rPr>
                <w:rFonts w:hint="eastAsia"/>
                <w:color w:val="auto"/>
                <w:kern w:val="24"/>
                <w:sz w:val="21"/>
                <w:szCs w:val="21"/>
                <w:u w:val="single"/>
                <w:lang w:val="en-US" w:eastAsia="zh-CN"/>
              </w:rPr>
              <w:t>/</w:t>
            </w:r>
          </w:p>
        </w:tc>
      </w:tr>
      <w:tr w14:paraId="492DFC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08" w:type="pct"/>
            <w:tcBorders>
              <w:tl2br w:val="nil"/>
              <w:tr2bl w:val="nil"/>
            </w:tcBorders>
            <w:vAlign w:val="center"/>
          </w:tcPr>
          <w:p w14:paraId="25D9187D">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r>
              <w:rPr>
                <w:rFonts w:hint="default"/>
                <w:b/>
                <w:color w:val="auto"/>
                <w:u w:val="single"/>
              </w:rPr>
              <w:t>电磁环境</w:t>
            </w:r>
          </w:p>
        </w:tc>
        <w:tc>
          <w:tcPr>
            <w:tcW w:w="1917" w:type="pct"/>
            <w:tcBorders>
              <w:tl2br w:val="nil"/>
              <w:tr2bl w:val="nil"/>
            </w:tcBorders>
            <w:vAlign w:val="center"/>
          </w:tcPr>
          <w:p w14:paraId="10A6CA45">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sz w:val="21"/>
                <w:szCs w:val="21"/>
                <w:u w:val="single"/>
              </w:rPr>
            </w:pPr>
            <w:r>
              <w:rPr>
                <w:rFonts w:hint="default"/>
                <w:color w:val="auto"/>
                <w:sz w:val="21"/>
                <w:szCs w:val="21"/>
                <w:u w:val="single"/>
              </w:rPr>
              <w:t>/</w:t>
            </w:r>
          </w:p>
        </w:tc>
        <w:tc>
          <w:tcPr>
            <w:tcW w:w="1307" w:type="pct"/>
            <w:tcBorders>
              <w:tl2br w:val="nil"/>
              <w:tr2bl w:val="nil"/>
            </w:tcBorders>
            <w:vAlign w:val="center"/>
          </w:tcPr>
          <w:p w14:paraId="5332A24E">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sz w:val="21"/>
                <w:szCs w:val="21"/>
                <w:u w:val="single"/>
              </w:rPr>
            </w:pPr>
            <w:r>
              <w:rPr>
                <w:rFonts w:hint="default"/>
                <w:color w:val="auto"/>
                <w:sz w:val="21"/>
                <w:szCs w:val="21"/>
                <w:u w:val="single"/>
              </w:rPr>
              <w:t>/</w:t>
            </w:r>
          </w:p>
        </w:tc>
        <w:tc>
          <w:tcPr>
            <w:tcW w:w="750" w:type="pct"/>
            <w:tcBorders>
              <w:tl2br w:val="nil"/>
              <w:tr2bl w:val="nil"/>
            </w:tcBorders>
            <w:vAlign w:val="center"/>
          </w:tcPr>
          <w:p w14:paraId="00E3AD8E">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sz w:val="21"/>
                <w:szCs w:val="21"/>
                <w:u w:val="single"/>
              </w:rPr>
            </w:pPr>
            <w:r>
              <w:rPr>
                <w:rFonts w:hint="default"/>
                <w:color w:val="auto"/>
                <w:sz w:val="21"/>
                <w:szCs w:val="21"/>
                <w:u w:val="single"/>
              </w:rPr>
              <w:t>/</w:t>
            </w:r>
          </w:p>
        </w:tc>
        <w:tc>
          <w:tcPr>
            <w:tcW w:w="715" w:type="pct"/>
            <w:tcBorders>
              <w:tl2br w:val="nil"/>
              <w:tr2bl w:val="nil"/>
            </w:tcBorders>
            <w:vAlign w:val="center"/>
          </w:tcPr>
          <w:p w14:paraId="2DF32429">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sz w:val="21"/>
                <w:szCs w:val="21"/>
                <w:u w:val="single"/>
              </w:rPr>
            </w:pPr>
            <w:r>
              <w:rPr>
                <w:rFonts w:hint="default"/>
                <w:color w:val="auto"/>
                <w:sz w:val="21"/>
                <w:szCs w:val="21"/>
                <w:u w:val="single"/>
              </w:rPr>
              <w:t>/</w:t>
            </w:r>
          </w:p>
        </w:tc>
      </w:tr>
      <w:tr w14:paraId="58D3E9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08" w:type="pct"/>
            <w:tcBorders>
              <w:tl2br w:val="nil"/>
              <w:tr2bl w:val="nil"/>
            </w:tcBorders>
            <w:vAlign w:val="center"/>
          </w:tcPr>
          <w:p w14:paraId="2787E254">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r>
              <w:rPr>
                <w:rFonts w:hint="default"/>
                <w:b/>
                <w:color w:val="auto"/>
                <w:u w:val="single"/>
              </w:rPr>
              <w:t>环境风险</w:t>
            </w:r>
          </w:p>
        </w:tc>
        <w:tc>
          <w:tcPr>
            <w:tcW w:w="1917" w:type="pct"/>
            <w:tcBorders>
              <w:tl2br w:val="nil"/>
              <w:tr2bl w:val="nil"/>
            </w:tcBorders>
            <w:vAlign w:val="center"/>
          </w:tcPr>
          <w:p w14:paraId="75B81330">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sz w:val="21"/>
                <w:szCs w:val="21"/>
                <w:u w:val="single"/>
              </w:rPr>
            </w:pPr>
            <w:r>
              <w:rPr>
                <w:rFonts w:hint="default" w:eastAsia="宋体"/>
                <w:color w:val="auto"/>
                <w:sz w:val="21"/>
                <w:szCs w:val="21"/>
                <w:u w:val="single"/>
                <w:lang w:eastAsia="zh-CN"/>
              </w:rPr>
              <w:t>使用专用的施工机械，禁止使用改造机械，按规章制度和施工程序进行施工；施工前应在</w:t>
            </w:r>
            <w:r>
              <w:rPr>
                <w:rFonts w:hint="eastAsia" w:eastAsia="宋体"/>
                <w:color w:val="auto"/>
                <w:sz w:val="21"/>
                <w:szCs w:val="21"/>
                <w:u w:val="single"/>
                <w:lang w:val="en-US" w:eastAsia="zh-CN"/>
              </w:rPr>
              <w:t>施工水域</w:t>
            </w:r>
            <w:r>
              <w:rPr>
                <w:rFonts w:hint="default" w:eastAsia="宋体"/>
                <w:color w:val="auto"/>
                <w:sz w:val="21"/>
                <w:szCs w:val="21"/>
                <w:u w:val="single"/>
                <w:lang w:eastAsia="zh-CN"/>
              </w:rPr>
              <w:t>附近采取必要的防护措施，禁止施工污染物排入水体，施工机械必须设置事故溢油应急设备及相关设施，如溢油拦截设备（围油栏等附属设备）、溢油回收设备（吸油毡、吸油机）等进行围油敷设，回收溢油作业。制定突发环境事件应急预案并备案</w:t>
            </w:r>
          </w:p>
        </w:tc>
        <w:tc>
          <w:tcPr>
            <w:tcW w:w="1307" w:type="pct"/>
            <w:tcBorders>
              <w:tl2br w:val="nil"/>
              <w:tr2bl w:val="nil"/>
            </w:tcBorders>
            <w:vAlign w:val="center"/>
          </w:tcPr>
          <w:p w14:paraId="0F443B97">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sz w:val="21"/>
                <w:szCs w:val="21"/>
                <w:u w:val="single"/>
              </w:rPr>
            </w:pPr>
            <w:r>
              <w:rPr>
                <w:rFonts w:hint="eastAsia"/>
                <w:color w:val="auto"/>
                <w:sz w:val="21"/>
                <w:szCs w:val="21"/>
                <w:u w:val="single"/>
                <w:lang w:eastAsia="zh-CN"/>
              </w:rPr>
              <w:t>报</w:t>
            </w:r>
            <w:r>
              <w:rPr>
                <w:rFonts w:hint="eastAsia"/>
                <w:color w:val="auto"/>
                <w:sz w:val="21"/>
                <w:szCs w:val="21"/>
                <w:u w:val="single"/>
                <w:lang w:val="en-US" w:eastAsia="zh-CN"/>
              </w:rPr>
              <w:t>岳阳</w:t>
            </w:r>
            <w:r>
              <w:rPr>
                <w:rFonts w:hint="eastAsia"/>
                <w:color w:val="auto"/>
                <w:sz w:val="21"/>
                <w:szCs w:val="21"/>
                <w:u w:val="single"/>
                <w:lang w:eastAsia="zh-CN"/>
              </w:rPr>
              <w:t>市生态环境局</w:t>
            </w:r>
            <w:r>
              <w:rPr>
                <w:rFonts w:hint="eastAsia"/>
                <w:color w:val="auto"/>
                <w:sz w:val="21"/>
                <w:szCs w:val="21"/>
                <w:u w:val="single"/>
                <w:lang w:val="en-US" w:eastAsia="zh-CN"/>
              </w:rPr>
              <w:t>临湘</w:t>
            </w:r>
            <w:r>
              <w:rPr>
                <w:rFonts w:hint="eastAsia"/>
                <w:color w:val="auto"/>
                <w:sz w:val="21"/>
                <w:szCs w:val="21"/>
                <w:u w:val="single"/>
                <w:lang w:eastAsia="zh-CN"/>
              </w:rPr>
              <w:t>分局进行备案，三年一修订，并严格按照应急要求落实建设</w:t>
            </w:r>
          </w:p>
        </w:tc>
        <w:tc>
          <w:tcPr>
            <w:tcW w:w="750" w:type="pct"/>
            <w:tcBorders>
              <w:tl2br w:val="nil"/>
              <w:tr2bl w:val="nil"/>
            </w:tcBorders>
            <w:vAlign w:val="center"/>
          </w:tcPr>
          <w:p w14:paraId="70DED990">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eastAsia="zh-CN"/>
              </w:rPr>
            </w:pPr>
            <w:r>
              <w:rPr>
                <w:rFonts w:hint="eastAsia"/>
                <w:color w:val="auto"/>
                <w:sz w:val="21"/>
                <w:szCs w:val="21"/>
                <w:u w:val="single"/>
                <w:lang w:val="en-US" w:eastAsia="zh-CN"/>
              </w:rPr>
              <w:t>/</w:t>
            </w:r>
          </w:p>
        </w:tc>
        <w:tc>
          <w:tcPr>
            <w:tcW w:w="715" w:type="pct"/>
            <w:tcBorders>
              <w:tl2br w:val="nil"/>
              <w:tr2bl w:val="nil"/>
            </w:tcBorders>
            <w:vAlign w:val="center"/>
          </w:tcPr>
          <w:p w14:paraId="7A821F0C">
            <w:pPr>
              <w:pStyle w:val="76"/>
              <w:keepNext w:val="0"/>
              <w:keepLines w:val="0"/>
              <w:suppressLineNumbers w:val="0"/>
              <w:adjustRightInd w:val="0"/>
              <w:snapToGrid w:val="0"/>
              <w:spacing w:before="0" w:beforeAutospacing="0" w:after="0" w:afterAutospacing="0" w:line="320" w:lineRule="exact"/>
              <w:ind w:left="0" w:right="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r>
      <w:tr w14:paraId="48B61B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08" w:type="pct"/>
            <w:tcBorders>
              <w:tl2br w:val="nil"/>
              <w:tr2bl w:val="nil"/>
            </w:tcBorders>
            <w:vAlign w:val="center"/>
          </w:tcPr>
          <w:p w14:paraId="077A3BC1">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r>
              <w:rPr>
                <w:rFonts w:hint="default"/>
                <w:b/>
                <w:color w:val="auto"/>
                <w:u w:val="single"/>
              </w:rPr>
              <w:t>环境监测</w:t>
            </w:r>
          </w:p>
        </w:tc>
        <w:tc>
          <w:tcPr>
            <w:tcW w:w="1917" w:type="pct"/>
            <w:tcBorders>
              <w:tl2br w:val="nil"/>
              <w:tr2bl w:val="nil"/>
            </w:tcBorders>
            <w:vAlign w:val="center"/>
          </w:tcPr>
          <w:p w14:paraId="14DA5593">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eastAsia="zh-CN"/>
              </w:rPr>
            </w:pPr>
            <w:r>
              <w:rPr>
                <w:rFonts w:hint="default"/>
                <w:color w:val="auto"/>
                <w:sz w:val="21"/>
                <w:szCs w:val="21"/>
                <w:u w:val="single"/>
              </w:rPr>
              <w:t>根据</w:t>
            </w:r>
            <w:r>
              <w:rPr>
                <w:rFonts w:hint="eastAsia"/>
                <w:color w:val="auto"/>
                <w:sz w:val="21"/>
                <w:szCs w:val="21"/>
                <w:u w:val="single"/>
                <w:lang w:val="en-US" w:eastAsia="zh-CN"/>
              </w:rPr>
              <w:t>施工期</w:t>
            </w:r>
            <w:r>
              <w:rPr>
                <w:rFonts w:hint="default"/>
                <w:color w:val="auto"/>
                <w:sz w:val="21"/>
                <w:szCs w:val="21"/>
                <w:u w:val="single"/>
              </w:rPr>
              <w:t>监测计划</w:t>
            </w:r>
            <w:r>
              <w:rPr>
                <w:rFonts w:hint="eastAsia"/>
                <w:color w:val="auto"/>
                <w:sz w:val="21"/>
                <w:szCs w:val="21"/>
                <w:u w:val="single"/>
                <w:lang w:eastAsia="zh-CN"/>
              </w:rPr>
              <w:t>，随机抽查场界 TSP、噪声达标情况以及地表水环境质量达标情况</w:t>
            </w:r>
          </w:p>
        </w:tc>
        <w:tc>
          <w:tcPr>
            <w:tcW w:w="1307" w:type="pct"/>
            <w:tcBorders>
              <w:tl2br w:val="nil"/>
              <w:tr2bl w:val="nil"/>
            </w:tcBorders>
            <w:vAlign w:val="center"/>
          </w:tcPr>
          <w:p w14:paraId="3BF17023">
            <w:pPr>
              <w:pStyle w:val="76"/>
              <w:keepNext w:val="0"/>
              <w:keepLines w:val="0"/>
              <w:suppressLineNumbers w:val="0"/>
              <w:adjustRightInd w:val="0"/>
              <w:snapToGrid w:val="0"/>
              <w:spacing w:before="0" w:beforeAutospacing="0" w:after="0" w:afterAutospacing="0" w:line="320" w:lineRule="exact"/>
              <w:ind w:left="0" w:right="0"/>
              <w:jc w:val="center"/>
              <w:rPr>
                <w:rFonts w:hint="default"/>
                <w:color w:val="auto"/>
                <w:sz w:val="21"/>
                <w:szCs w:val="21"/>
                <w:u w:val="single"/>
              </w:rPr>
            </w:pPr>
            <w:r>
              <w:rPr>
                <w:rFonts w:hint="default"/>
                <w:color w:val="auto"/>
                <w:sz w:val="21"/>
                <w:szCs w:val="21"/>
                <w:u w:val="single"/>
              </w:rPr>
              <w:t>专业检测机构出具的检测报告</w:t>
            </w:r>
          </w:p>
        </w:tc>
        <w:tc>
          <w:tcPr>
            <w:tcW w:w="750" w:type="pct"/>
            <w:tcBorders>
              <w:tl2br w:val="nil"/>
              <w:tr2bl w:val="nil"/>
            </w:tcBorders>
            <w:vAlign w:val="center"/>
          </w:tcPr>
          <w:p w14:paraId="22CFB656">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val="en-US" w:eastAsia="zh-CN"/>
              </w:rPr>
            </w:pPr>
            <w:r>
              <w:rPr>
                <w:rFonts w:hint="eastAsia"/>
                <w:color w:val="auto"/>
                <w:sz w:val="21"/>
                <w:szCs w:val="21"/>
                <w:u w:val="single"/>
                <w:lang w:val="en-US" w:eastAsia="zh-CN"/>
              </w:rPr>
              <w:t>/</w:t>
            </w:r>
          </w:p>
        </w:tc>
        <w:tc>
          <w:tcPr>
            <w:tcW w:w="715" w:type="pct"/>
            <w:tcBorders>
              <w:tl2br w:val="nil"/>
              <w:tr2bl w:val="nil"/>
            </w:tcBorders>
            <w:vAlign w:val="center"/>
          </w:tcPr>
          <w:p w14:paraId="23060339">
            <w:pPr>
              <w:pStyle w:val="76"/>
              <w:keepNext w:val="0"/>
              <w:keepLines w:val="0"/>
              <w:suppressLineNumbers w:val="0"/>
              <w:adjustRightInd w:val="0"/>
              <w:snapToGrid w:val="0"/>
              <w:spacing w:before="0" w:beforeAutospacing="0" w:after="0" w:afterAutospacing="0" w:line="320" w:lineRule="exact"/>
              <w:ind w:left="0" w:right="0"/>
              <w:jc w:val="center"/>
              <w:rPr>
                <w:rFonts w:hint="eastAsia" w:eastAsia="宋体"/>
                <w:color w:val="auto"/>
                <w:sz w:val="21"/>
                <w:szCs w:val="21"/>
                <w:u w:val="single"/>
                <w:lang w:val="en-US" w:eastAsia="zh-CN"/>
              </w:rPr>
            </w:pPr>
            <w:r>
              <w:rPr>
                <w:rFonts w:hint="eastAsia"/>
                <w:color w:val="auto"/>
                <w:sz w:val="21"/>
                <w:szCs w:val="21"/>
                <w:u w:val="single"/>
                <w:lang w:val="en-US" w:eastAsia="zh-CN"/>
              </w:rPr>
              <w:t>/</w:t>
            </w:r>
          </w:p>
        </w:tc>
      </w:tr>
      <w:tr w14:paraId="1F8FA7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08" w:type="pct"/>
            <w:tcBorders>
              <w:tl2br w:val="nil"/>
              <w:tr2bl w:val="nil"/>
            </w:tcBorders>
            <w:vAlign w:val="center"/>
          </w:tcPr>
          <w:p w14:paraId="4E679F49">
            <w:pPr>
              <w:pStyle w:val="76"/>
              <w:keepNext w:val="0"/>
              <w:keepLines w:val="0"/>
              <w:suppressLineNumbers w:val="0"/>
              <w:adjustRightInd w:val="0"/>
              <w:snapToGrid w:val="0"/>
              <w:spacing w:before="0" w:beforeAutospacing="0" w:after="0" w:afterAutospacing="0" w:line="320" w:lineRule="exact"/>
              <w:ind w:left="0" w:right="0"/>
              <w:jc w:val="center"/>
              <w:rPr>
                <w:rFonts w:hint="default"/>
                <w:b/>
                <w:color w:val="auto"/>
                <w:u w:val="single"/>
              </w:rPr>
            </w:pPr>
            <w:r>
              <w:rPr>
                <w:rFonts w:hint="default"/>
                <w:b/>
                <w:color w:val="auto"/>
                <w:u w:val="single"/>
              </w:rPr>
              <w:t>其他</w:t>
            </w:r>
          </w:p>
        </w:tc>
        <w:tc>
          <w:tcPr>
            <w:tcW w:w="4691" w:type="pct"/>
            <w:gridSpan w:val="4"/>
            <w:tcBorders>
              <w:tl2br w:val="nil"/>
              <w:tr2bl w:val="nil"/>
            </w:tcBorders>
            <w:vAlign w:val="center"/>
          </w:tcPr>
          <w:p w14:paraId="7FBEBF12">
            <w:pPr>
              <w:pStyle w:val="76"/>
              <w:keepNext w:val="0"/>
              <w:keepLines w:val="0"/>
              <w:suppressLineNumbers w:val="0"/>
              <w:adjustRightInd w:val="0"/>
              <w:snapToGrid w:val="0"/>
              <w:spacing w:before="0" w:beforeAutospacing="0" w:after="0" w:afterAutospacing="0" w:line="320" w:lineRule="exact"/>
              <w:ind w:left="0" w:right="0"/>
              <w:jc w:val="both"/>
              <w:rPr>
                <w:rFonts w:hint="default"/>
                <w:color w:val="auto"/>
                <w:sz w:val="21"/>
                <w:szCs w:val="21"/>
                <w:u w:val="single"/>
              </w:rPr>
            </w:pPr>
            <w:r>
              <w:rPr>
                <w:rFonts w:hint="default"/>
                <w:color w:val="auto"/>
                <w:sz w:val="21"/>
                <w:szCs w:val="21"/>
                <w:u w:val="single"/>
              </w:rPr>
              <w:t>①建设项目配套建设的环境保护设施经验收合格后,其主体工程方可投入生产或者使用；未经验收或者验收不合格的，不得投入生产或者使用。</w:t>
            </w:r>
          </w:p>
          <w:p w14:paraId="1E9329D7">
            <w:pPr>
              <w:pStyle w:val="76"/>
              <w:keepNext w:val="0"/>
              <w:keepLines w:val="0"/>
              <w:suppressLineNumbers w:val="0"/>
              <w:adjustRightInd w:val="0"/>
              <w:snapToGrid w:val="0"/>
              <w:spacing w:before="0" w:beforeAutospacing="0" w:after="0" w:afterAutospacing="0" w:line="320" w:lineRule="exact"/>
              <w:ind w:left="0" w:right="0"/>
              <w:jc w:val="both"/>
              <w:rPr>
                <w:rFonts w:hint="default"/>
                <w:color w:val="auto"/>
                <w:sz w:val="21"/>
                <w:szCs w:val="21"/>
                <w:u w:val="single"/>
              </w:rPr>
            </w:pPr>
            <w:r>
              <w:rPr>
                <w:rFonts w:hint="default"/>
                <w:color w:val="auto"/>
                <w:sz w:val="21"/>
                <w:szCs w:val="21"/>
                <w:u w:val="single"/>
              </w:rPr>
              <w:t>②除需要取得排污许可证的水和大气污染防治设施外,其他环境保护设施的验收期限一般不超过</w:t>
            </w:r>
            <w:r>
              <w:rPr>
                <w:rFonts w:hint="eastAsia"/>
                <w:color w:val="auto"/>
                <w:sz w:val="21"/>
                <w:szCs w:val="21"/>
                <w:u w:val="single"/>
                <w:lang w:val="en-US" w:eastAsia="zh-CN"/>
              </w:rPr>
              <w:t>3</w:t>
            </w:r>
            <w:r>
              <w:rPr>
                <w:rFonts w:hint="default"/>
                <w:color w:val="auto"/>
                <w:sz w:val="21"/>
                <w:szCs w:val="21"/>
                <w:u w:val="single"/>
              </w:rPr>
              <w:t>个月；需要对该类环境保护设施进行调试或者整改的，验收期限可以适当延期，但最长不超过12个月。</w:t>
            </w:r>
          </w:p>
          <w:p w14:paraId="05F56296">
            <w:pPr>
              <w:pStyle w:val="76"/>
              <w:keepNext w:val="0"/>
              <w:keepLines w:val="0"/>
              <w:suppressLineNumbers w:val="0"/>
              <w:adjustRightInd w:val="0"/>
              <w:snapToGrid w:val="0"/>
              <w:spacing w:before="0" w:beforeAutospacing="0" w:after="0" w:afterAutospacing="0" w:line="320" w:lineRule="exact"/>
              <w:ind w:left="0" w:right="0"/>
              <w:jc w:val="both"/>
              <w:rPr>
                <w:rFonts w:hint="default"/>
                <w:color w:val="auto"/>
                <w:sz w:val="21"/>
                <w:szCs w:val="21"/>
                <w:u w:val="single"/>
              </w:rPr>
            </w:pPr>
            <w:r>
              <w:rPr>
                <w:rFonts w:hint="default"/>
                <w:color w:val="auto"/>
                <w:sz w:val="21"/>
                <w:szCs w:val="21"/>
                <w:u w:val="single"/>
              </w:rPr>
              <w:t>③建设单位自行编制或委托具备相应技术能力的机构，对项目环境保护设施落实情况进行调查，开展相关环境监测，编制竣工环境保护验收监测报告。</w:t>
            </w:r>
          </w:p>
        </w:tc>
      </w:tr>
    </w:tbl>
    <w:p w14:paraId="2508A194">
      <w:pPr>
        <w:pStyle w:val="23"/>
        <w:jc w:val="center"/>
        <w:outlineLvl w:val="0"/>
        <w:rPr>
          <w:rFonts w:ascii="黑体" w:hAnsi="黑体" w:eastAsia="黑体"/>
          <w:snapToGrid w:val="0"/>
          <w:color w:val="FF0000"/>
          <w:sz w:val="30"/>
          <w:szCs w:val="30"/>
          <w:u w:val="singl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CB237B3">
      <w:pPr>
        <w:pStyle w:val="23"/>
        <w:spacing w:before="249" w:beforeLines="80" w:beforeAutospacing="0"/>
        <w:jc w:val="center"/>
        <w:outlineLvl w:val="0"/>
        <w:rPr>
          <w:rFonts w:ascii="黑体" w:hAnsi="黑体" w:eastAsia="黑体"/>
          <w:color w:val="auto"/>
          <w:sz w:val="30"/>
          <w:szCs w:val="30"/>
          <w:u w:val="none"/>
        </w:rPr>
      </w:pPr>
      <w:bookmarkStart w:id="9" w:name="_Toc85201455"/>
      <w:r>
        <w:rPr>
          <w:rFonts w:hint="eastAsia" w:ascii="黑体" w:hAnsi="黑体" w:eastAsia="黑体"/>
          <w:color w:val="auto"/>
          <w:sz w:val="30"/>
          <w:szCs w:val="30"/>
          <w:u w:val="none"/>
        </w:rPr>
        <w:t>七、结论</w:t>
      </w:r>
      <w:bookmarkEnd w:id="9"/>
    </w:p>
    <w:tbl>
      <w:tblPr>
        <w:tblStyle w:val="27"/>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2"/>
      </w:tblGrid>
      <w:tr w14:paraId="6CD81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072" w:type="dxa"/>
            <w:vAlign w:val="center"/>
          </w:tcPr>
          <w:p w14:paraId="45FDBD89">
            <w:pPr>
              <w:keepNext w:val="0"/>
              <w:keepLines w:val="0"/>
              <w:suppressLineNumbers w:val="0"/>
              <w:adjustRightInd w:val="0"/>
              <w:snapToGrid w:val="0"/>
              <w:spacing w:before="0" w:beforeAutospacing="0" w:after="0" w:afterAutospacing="0" w:line="360" w:lineRule="auto"/>
              <w:ind w:left="0" w:right="0" w:firstLine="480" w:firstLineChars="200"/>
              <w:jc w:val="center"/>
              <w:rPr>
                <w:rFonts w:hint="default" w:ascii="宋体" w:hAnsi="宋体"/>
                <w:color w:val="auto"/>
                <w:sz w:val="24"/>
                <w:szCs w:val="24"/>
                <w:u w:val="none"/>
              </w:rPr>
            </w:pPr>
            <w:r>
              <w:rPr>
                <w:rFonts w:hint="default" w:ascii="宋体" w:hAnsi="宋体"/>
                <w:color w:val="auto"/>
                <w:sz w:val="24"/>
                <w:szCs w:val="24"/>
                <w:u w:val="none"/>
              </w:rPr>
              <w:t>本项目的建设在施工期间的负面影响是客观存在的，其负面的影响主要有两个方面：一方面，工程建设需要对河道进行疏浚、清淤，造成短时间内河道水质污染物超标，使局部环境遭到破坏；另一方面，由于工程须调用大量的施工机械，机械噪音以及施工期间物料运输和存放过程的飘散或流失将对周边环境产生不利影响。</w:t>
            </w:r>
            <w:r>
              <w:rPr>
                <w:rFonts w:hint="eastAsia" w:ascii="宋体" w:hAnsi="宋体"/>
                <w:color w:val="auto"/>
                <w:sz w:val="24"/>
                <w:szCs w:val="24"/>
                <w:u w:val="none"/>
                <w:lang w:val="en-US" w:eastAsia="zh-CN"/>
              </w:rPr>
              <w:t>但在</w:t>
            </w:r>
            <w:r>
              <w:rPr>
                <w:rFonts w:hint="default" w:ascii="宋体" w:hAnsi="宋体"/>
                <w:color w:val="auto"/>
                <w:sz w:val="24"/>
                <w:szCs w:val="24"/>
                <w:u w:val="none"/>
              </w:rPr>
              <w:t>本项目</w:t>
            </w:r>
            <w:r>
              <w:rPr>
                <w:rFonts w:hint="eastAsia" w:ascii="宋体" w:hAnsi="宋体"/>
                <w:color w:val="auto"/>
                <w:sz w:val="24"/>
                <w:szCs w:val="24"/>
                <w:u w:val="none"/>
                <w:lang w:val="en-US" w:eastAsia="zh-CN"/>
              </w:rPr>
              <w:t>根据环评要求</w:t>
            </w:r>
            <w:r>
              <w:rPr>
                <w:rFonts w:hint="default" w:ascii="宋体" w:hAnsi="宋体"/>
                <w:color w:val="auto"/>
                <w:sz w:val="24"/>
                <w:szCs w:val="24"/>
                <w:u w:val="none"/>
              </w:rPr>
              <w:t>采取相应的预防和控制措施</w:t>
            </w:r>
            <w:r>
              <w:rPr>
                <w:rFonts w:hint="eastAsia" w:ascii="宋体" w:hAnsi="宋体"/>
                <w:color w:val="auto"/>
                <w:sz w:val="24"/>
                <w:szCs w:val="24"/>
                <w:u w:val="none"/>
                <w:lang w:val="en-US" w:eastAsia="zh-CN"/>
              </w:rPr>
              <w:t>后</w:t>
            </w:r>
            <w:r>
              <w:rPr>
                <w:rFonts w:hint="default" w:ascii="宋体" w:hAnsi="宋体"/>
                <w:color w:val="auto"/>
                <w:sz w:val="24"/>
                <w:szCs w:val="24"/>
                <w:u w:val="none"/>
              </w:rPr>
              <w:t>，</w:t>
            </w:r>
            <w:r>
              <w:rPr>
                <w:rFonts w:hint="eastAsia" w:ascii="宋体" w:hAnsi="宋体"/>
                <w:color w:val="auto"/>
                <w:sz w:val="24"/>
                <w:szCs w:val="24"/>
                <w:u w:val="none"/>
                <w:lang w:val="en-US" w:eastAsia="zh-CN"/>
              </w:rPr>
              <w:t>且</w:t>
            </w:r>
            <w:r>
              <w:rPr>
                <w:rFonts w:hint="default" w:ascii="宋体" w:hAnsi="宋体"/>
                <w:color w:val="auto"/>
                <w:sz w:val="24"/>
                <w:szCs w:val="24"/>
                <w:u w:val="none"/>
              </w:rPr>
              <w:t>工程竣工后作好迹地的植被恢复并采取相应的工程保护措施，其对环境和生态的负面影响是短暂的，且后期能够恢复。</w:t>
            </w:r>
          </w:p>
          <w:p w14:paraId="6942C5A9">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宋体" w:hAnsi="宋体"/>
                <w:color w:val="FF0000"/>
                <w:szCs w:val="21"/>
                <w:u w:val="none"/>
              </w:rPr>
            </w:pPr>
            <w:r>
              <w:rPr>
                <w:rFonts w:hint="default" w:ascii="宋体" w:hAnsi="宋体"/>
                <w:color w:val="auto"/>
                <w:sz w:val="24"/>
                <w:szCs w:val="24"/>
                <w:u w:val="none"/>
              </w:rPr>
              <w:t>因此，在落实工程设计拟定的环境保护方案和环境影响报告表中提出的各项环境保护对策措施的基础上，从环境保护角度分析，本工程建设是可行的。</w:t>
            </w:r>
          </w:p>
        </w:tc>
      </w:tr>
    </w:tbl>
    <w:p w14:paraId="27BA4048">
      <w:pPr>
        <w:pStyle w:val="23"/>
        <w:adjustRightInd w:val="0"/>
        <w:snapToGrid w:val="0"/>
        <w:spacing w:before="0" w:beforeAutospacing="0" w:after="0" w:afterAutospacing="0" w:line="648" w:lineRule="auto"/>
        <w:outlineLvl w:val="0"/>
        <w:rPr>
          <w:color w:val="FF0000"/>
          <w:sz w:val="32"/>
          <w:szCs w:val="32"/>
          <w:u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5A677134">
      <w:pPr>
        <w:pStyle w:val="23"/>
        <w:adjustRightInd w:val="0"/>
        <w:snapToGrid w:val="0"/>
        <w:spacing w:before="0" w:beforeAutospacing="0" w:after="0" w:afterAutospacing="0" w:line="360" w:lineRule="auto"/>
        <w:outlineLvl w:val="0"/>
        <w:rPr>
          <w:rFonts w:ascii="Times New Roman" w:hAnsi="Times New Roman"/>
          <w:color w:val="auto"/>
          <w:sz w:val="32"/>
          <w:szCs w:val="32"/>
          <w:u w:val="none"/>
        </w:rPr>
      </w:pPr>
      <w:bookmarkStart w:id="10" w:name="_Toc85201456"/>
      <w:r>
        <w:rPr>
          <w:rFonts w:hint="eastAsia"/>
          <w:color w:val="auto"/>
          <w:sz w:val="32"/>
          <w:szCs w:val="32"/>
          <w:u w:val="none"/>
        </w:rPr>
        <w:t>附表</w:t>
      </w:r>
      <w:bookmarkEnd w:id="10"/>
    </w:p>
    <w:p w14:paraId="6586691C">
      <w:pPr>
        <w:pStyle w:val="23"/>
        <w:adjustRightInd w:val="0"/>
        <w:snapToGrid w:val="0"/>
        <w:spacing w:before="0" w:beforeAutospacing="0" w:after="0" w:afterAutospacing="0" w:line="480" w:lineRule="auto"/>
        <w:jc w:val="center"/>
        <w:rPr>
          <w:rFonts w:ascii="Times New Roman" w:hAnsi="Times New Roman" w:cs="宋体"/>
          <w:color w:val="auto"/>
          <w:sz w:val="38"/>
          <w:szCs w:val="38"/>
          <w:u w:val="none"/>
        </w:rPr>
      </w:pPr>
      <w:r>
        <w:rPr>
          <w:rFonts w:hint="eastAsia"/>
          <w:color w:val="auto"/>
          <w:sz w:val="38"/>
          <w:szCs w:val="38"/>
          <w:u w:val="none"/>
        </w:rPr>
        <w:t>建设项目污染物排放量汇总表</w:t>
      </w:r>
    </w:p>
    <w:tbl>
      <w:tblPr>
        <w:tblStyle w:val="27"/>
        <w:tblW w:w="0" w:type="auto"/>
        <w:tblInd w:w="8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783"/>
        <w:gridCol w:w="1002"/>
      </w:tblGrid>
      <w:tr w14:paraId="4CC897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op w:val="single" w:color="auto" w:sz="8" w:space="0"/>
              <w:left w:val="single" w:color="auto" w:sz="8" w:space="0"/>
              <w:bottom w:val="single" w:color="auto" w:sz="4" w:space="0"/>
              <w:right w:val="single" w:color="auto" w:sz="4" w:space="0"/>
              <w:tl2br w:val="single" w:color="auto" w:sz="4" w:space="0"/>
            </w:tcBorders>
            <w:tcMar>
              <w:top w:w="0" w:type="dxa"/>
              <w:left w:w="28" w:type="dxa"/>
              <w:bottom w:w="0" w:type="dxa"/>
              <w:right w:w="28" w:type="dxa"/>
            </w:tcMar>
            <w:vAlign w:val="center"/>
          </w:tcPr>
          <w:p w14:paraId="56D85DC8">
            <w:pPr>
              <w:pStyle w:val="53"/>
              <w:keepNext w:val="0"/>
              <w:keepLines w:val="0"/>
              <w:suppressLineNumbers w:val="0"/>
              <w:spacing w:before="0" w:beforeLines="0" w:beforeAutospacing="0" w:after="0" w:afterLines="0" w:afterAutospacing="0"/>
              <w:ind w:left="0" w:right="0"/>
              <w:jc w:val="right"/>
              <w:rPr>
                <w:rFonts w:hint="default" w:ascii="Times New Roman"/>
                <w:color w:val="auto"/>
                <w:spacing w:val="-6"/>
                <w:kern w:val="21"/>
                <w:szCs w:val="21"/>
                <w:u w:val="none"/>
              </w:rPr>
            </w:pPr>
            <w:r>
              <w:rPr>
                <w:rFonts w:hint="eastAsia" w:ascii="Times New Roman"/>
                <w:color w:val="auto"/>
                <w:spacing w:val="-6"/>
                <w:kern w:val="21"/>
                <w:u w:val="none"/>
              </w:rPr>
              <w:t>项目</w:t>
            </w:r>
          </w:p>
          <w:p w14:paraId="79420662">
            <w:pPr>
              <w:pStyle w:val="53"/>
              <w:keepNext w:val="0"/>
              <w:keepLines w:val="0"/>
              <w:suppressLineNumbers w:val="0"/>
              <w:spacing w:before="0" w:beforeLines="0" w:beforeAutospacing="0" w:after="0" w:afterLines="0" w:afterAutospacing="0"/>
              <w:ind w:left="0" w:right="0"/>
              <w:jc w:val="left"/>
              <w:rPr>
                <w:rFonts w:hint="default" w:ascii="Times New Roman"/>
                <w:color w:val="auto"/>
                <w:spacing w:val="-6"/>
                <w:kern w:val="21"/>
                <w:u w:val="none"/>
              </w:rPr>
            </w:pPr>
            <w:r>
              <w:rPr>
                <w:rFonts w:hint="eastAsia" w:ascii="Times New Roman"/>
                <w:color w:val="auto"/>
                <w:spacing w:val="-6"/>
                <w:kern w:val="21"/>
                <w:u w:val="none"/>
              </w:rPr>
              <w:t>分类</w:t>
            </w:r>
          </w:p>
        </w:tc>
        <w:tc>
          <w:tcPr>
            <w:tcW w:w="1417"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4EED99D5">
            <w:pPr>
              <w:pStyle w:val="53"/>
              <w:keepNext w:val="0"/>
              <w:keepLines w:val="0"/>
              <w:suppressLineNumbers w:val="0"/>
              <w:spacing w:before="0" w:beforeLines="0" w:beforeAutospacing="0" w:after="0" w:afterLines="0" w:afterAutospacing="0"/>
              <w:ind w:left="0" w:right="0"/>
              <w:rPr>
                <w:rFonts w:hint="default" w:ascii="Times New Roman"/>
                <w:color w:val="auto"/>
                <w:spacing w:val="-6"/>
                <w:kern w:val="21"/>
                <w:u w:val="none"/>
              </w:rPr>
            </w:pPr>
            <w:r>
              <w:rPr>
                <w:rFonts w:hint="eastAsia" w:ascii="Times New Roman"/>
                <w:color w:val="auto"/>
                <w:spacing w:val="-6"/>
                <w:kern w:val="21"/>
                <w:u w:val="none"/>
              </w:rPr>
              <w:t>污染物名称</w:t>
            </w:r>
          </w:p>
        </w:tc>
        <w:tc>
          <w:tcPr>
            <w:tcW w:w="1701"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3815C726">
            <w:pPr>
              <w:pStyle w:val="53"/>
              <w:keepNext w:val="0"/>
              <w:keepLines w:val="0"/>
              <w:suppressLineNumbers w:val="0"/>
              <w:spacing w:before="0" w:beforeLines="0" w:beforeAutospacing="0" w:after="0" w:afterLines="0" w:afterAutospacing="0"/>
              <w:ind w:left="0" w:right="0"/>
              <w:rPr>
                <w:rFonts w:hint="default" w:ascii="Times New Roman"/>
                <w:color w:val="auto"/>
                <w:spacing w:val="-6"/>
                <w:kern w:val="21"/>
                <w:szCs w:val="21"/>
                <w:u w:val="none"/>
              </w:rPr>
            </w:pPr>
            <w:r>
              <w:rPr>
                <w:rFonts w:hint="default" w:ascii="Times New Roman" w:hAnsi="Times New Roman"/>
                <w:color w:val="auto"/>
                <w:spacing w:val="-6"/>
                <w:kern w:val="21"/>
                <w:u w:val="none"/>
              </w:rPr>
              <w:t>现有工程</w:t>
            </w:r>
          </w:p>
          <w:p w14:paraId="346C6FF8">
            <w:pPr>
              <w:pStyle w:val="53"/>
              <w:keepNext w:val="0"/>
              <w:keepLines w:val="0"/>
              <w:suppressLineNumbers w:val="0"/>
              <w:spacing w:before="0" w:beforeLines="0" w:beforeAutospacing="0" w:after="0" w:afterLines="0" w:afterAutospacing="0"/>
              <w:ind w:left="0" w:right="0"/>
              <w:rPr>
                <w:rFonts w:hint="default"/>
                <w:color w:val="auto"/>
                <w:u w:val="none"/>
              </w:rPr>
            </w:pPr>
            <w:r>
              <w:rPr>
                <w:rFonts w:hint="default" w:ascii="Times New Roman" w:hAnsi="Times New Roman"/>
                <w:color w:val="auto"/>
                <w:spacing w:val="-6"/>
                <w:kern w:val="21"/>
                <w:u w:val="none"/>
              </w:rPr>
              <w:t>排放量（固</w:t>
            </w:r>
            <w:r>
              <w:rPr>
                <w:rFonts w:hint="eastAsia" w:ascii="Times New Roman"/>
                <w:color w:val="auto"/>
                <w:spacing w:val="-6"/>
                <w:kern w:val="21"/>
                <w:u w:val="none"/>
              </w:rPr>
              <w:t>体</w:t>
            </w:r>
            <w:r>
              <w:rPr>
                <w:rFonts w:hint="default" w:ascii="Times New Roman" w:hAnsi="Times New Roman"/>
                <w:color w:val="auto"/>
                <w:spacing w:val="-6"/>
                <w:kern w:val="21"/>
                <w:u w:val="none"/>
              </w:rPr>
              <w:t>废</w:t>
            </w:r>
            <w:r>
              <w:rPr>
                <w:rFonts w:hint="eastAsia" w:ascii="Times New Roman"/>
                <w:color w:val="auto"/>
                <w:spacing w:val="-6"/>
                <w:kern w:val="21"/>
                <w:u w:val="none"/>
              </w:rPr>
              <w:t>物</w:t>
            </w:r>
            <w:r>
              <w:rPr>
                <w:rFonts w:hint="default" w:ascii="Times New Roman" w:hAnsi="Times New Roman"/>
                <w:color w:val="auto"/>
                <w:spacing w:val="-6"/>
                <w:kern w:val="21"/>
                <w:u w:val="none"/>
              </w:rPr>
              <w:t>产生量）</w:t>
            </w:r>
            <w:r>
              <w:rPr>
                <w:rFonts w:hint="default"/>
                <w:color w:val="auto"/>
                <w:spacing w:val="-6"/>
                <w:kern w:val="21"/>
                <w:u w:val="none"/>
              </w:rPr>
              <w:t>①</w:t>
            </w:r>
          </w:p>
        </w:tc>
        <w:tc>
          <w:tcPr>
            <w:tcW w:w="1276"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1182AC16">
            <w:pPr>
              <w:pStyle w:val="53"/>
              <w:keepNext w:val="0"/>
              <w:keepLines w:val="0"/>
              <w:suppressLineNumbers w:val="0"/>
              <w:spacing w:before="0" w:beforeLines="0" w:beforeAutospacing="0" w:after="0" w:afterLines="0" w:afterAutospacing="0"/>
              <w:ind w:left="0" w:right="0"/>
              <w:rPr>
                <w:rFonts w:hint="default" w:ascii="Times New Roman" w:hAnsi="Times New Roman"/>
                <w:color w:val="auto"/>
                <w:spacing w:val="-6"/>
                <w:kern w:val="21"/>
                <w:szCs w:val="21"/>
                <w:u w:val="none"/>
              </w:rPr>
            </w:pPr>
            <w:r>
              <w:rPr>
                <w:rFonts w:hint="default" w:ascii="Times New Roman" w:hAnsi="Times New Roman"/>
                <w:color w:val="auto"/>
                <w:spacing w:val="-6"/>
                <w:kern w:val="21"/>
                <w:u w:val="none"/>
              </w:rPr>
              <w:t>现有工程</w:t>
            </w:r>
          </w:p>
          <w:p w14:paraId="255A57EA">
            <w:pPr>
              <w:pStyle w:val="53"/>
              <w:keepNext w:val="0"/>
              <w:keepLines w:val="0"/>
              <w:suppressLineNumbers w:val="0"/>
              <w:spacing w:before="0" w:beforeLines="0" w:beforeAutospacing="0" w:after="0" w:afterLines="0" w:afterAutospacing="0"/>
              <w:ind w:left="0" w:right="0"/>
              <w:rPr>
                <w:rFonts w:hint="default" w:ascii="Times New Roman" w:hAnsi="Times New Roman"/>
                <w:color w:val="auto"/>
                <w:spacing w:val="-6"/>
                <w:kern w:val="21"/>
                <w:u w:val="none"/>
              </w:rPr>
            </w:pPr>
            <w:r>
              <w:rPr>
                <w:rFonts w:hint="default" w:ascii="Times New Roman" w:hAnsi="Times New Roman"/>
                <w:color w:val="auto"/>
                <w:spacing w:val="-6"/>
                <w:kern w:val="21"/>
                <w:u w:val="none"/>
              </w:rPr>
              <w:t>许可排放量</w:t>
            </w:r>
          </w:p>
          <w:p w14:paraId="0209E495">
            <w:pPr>
              <w:pStyle w:val="53"/>
              <w:keepNext w:val="0"/>
              <w:keepLines w:val="0"/>
              <w:suppressLineNumbers w:val="0"/>
              <w:spacing w:before="0" w:beforeLines="0" w:beforeAutospacing="0" w:after="0" w:afterLines="0" w:afterAutospacing="0"/>
              <w:ind w:left="0" w:right="0"/>
              <w:rPr>
                <w:rFonts w:hint="default"/>
                <w:color w:val="auto"/>
                <w:u w:val="none"/>
              </w:rPr>
            </w:pPr>
            <w:r>
              <w:rPr>
                <w:rFonts w:hint="default"/>
                <w:color w:val="auto"/>
                <w:spacing w:val="-6"/>
                <w:kern w:val="21"/>
                <w:u w:val="none"/>
              </w:rPr>
              <w:t>②</w:t>
            </w:r>
          </w:p>
        </w:tc>
        <w:tc>
          <w:tcPr>
            <w:tcW w:w="1701"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1B745847">
            <w:pPr>
              <w:pStyle w:val="53"/>
              <w:keepNext w:val="0"/>
              <w:keepLines w:val="0"/>
              <w:suppressLineNumbers w:val="0"/>
              <w:spacing w:before="0" w:beforeLines="0" w:beforeAutospacing="0" w:after="0" w:afterLines="0" w:afterAutospacing="0"/>
              <w:ind w:left="0" w:right="0"/>
              <w:rPr>
                <w:rFonts w:hint="default" w:ascii="Times New Roman"/>
                <w:color w:val="auto"/>
                <w:spacing w:val="-6"/>
                <w:kern w:val="21"/>
                <w:szCs w:val="21"/>
                <w:u w:val="none"/>
              </w:rPr>
            </w:pPr>
            <w:r>
              <w:rPr>
                <w:rFonts w:hint="default" w:ascii="Times New Roman" w:hAnsi="Times New Roman"/>
                <w:color w:val="auto"/>
                <w:spacing w:val="-6"/>
                <w:kern w:val="21"/>
                <w:u w:val="none"/>
              </w:rPr>
              <w:t>在建工程</w:t>
            </w:r>
          </w:p>
          <w:p w14:paraId="243A78E3">
            <w:pPr>
              <w:pStyle w:val="53"/>
              <w:keepNext w:val="0"/>
              <w:keepLines w:val="0"/>
              <w:suppressLineNumbers w:val="0"/>
              <w:spacing w:before="0" w:beforeLines="0" w:beforeAutospacing="0" w:after="0" w:afterLines="0" w:afterAutospacing="0"/>
              <w:ind w:left="0" w:right="0"/>
              <w:rPr>
                <w:rFonts w:hint="default"/>
                <w:color w:val="auto"/>
                <w:u w:val="none"/>
              </w:rPr>
            </w:pPr>
            <w:r>
              <w:rPr>
                <w:rFonts w:hint="default" w:ascii="Times New Roman" w:hAnsi="Times New Roman"/>
                <w:color w:val="auto"/>
                <w:spacing w:val="-6"/>
                <w:kern w:val="21"/>
                <w:u w:val="none"/>
              </w:rPr>
              <w:t>排放量（固</w:t>
            </w:r>
            <w:r>
              <w:rPr>
                <w:rFonts w:hint="eastAsia" w:ascii="Times New Roman"/>
                <w:color w:val="auto"/>
                <w:spacing w:val="-6"/>
                <w:kern w:val="21"/>
                <w:u w:val="none"/>
              </w:rPr>
              <w:t>体</w:t>
            </w:r>
            <w:r>
              <w:rPr>
                <w:rFonts w:hint="default" w:ascii="Times New Roman" w:hAnsi="Times New Roman"/>
                <w:color w:val="auto"/>
                <w:spacing w:val="-6"/>
                <w:kern w:val="21"/>
                <w:u w:val="none"/>
              </w:rPr>
              <w:t>废</w:t>
            </w:r>
            <w:r>
              <w:rPr>
                <w:rFonts w:hint="eastAsia" w:ascii="Times New Roman"/>
                <w:color w:val="auto"/>
                <w:spacing w:val="-6"/>
                <w:kern w:val="21"/>
                <w:u w:val="none"/>
              </w:rPr>
              <w:t>物</w:t>
            </w:r>
            <w:r>
              <w:rPr>
                <w:rFonts w:hint="default" w:ascii="Times New Roman" w:hAnsi="Times New Roman"/>
                <w:color w:val="auto"/>
                <w:spacing w:val="-6"/>
                <w:kern w:val="21"/>
                <w:u w:val="none"/>
              </w:rPr>
              <w:t>产生量）</w:t>
            </w:r>
            <w:r>
              <w:rPr>
                <w:rFonts w:hint="default"/>
                <w:color w:val="auto"/>
                <w:spacing w:val="-6"/>
                <w:kern w:val="21"/>
                <w:u w:val="none"/>
              </w:rPr>
              <w:t>③</w:t>
            </w:r>
          </w:p>
        </w:tc>
        <w:tc>
          <w:tcPr>
            <w:tcW w:w="1559"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5747FCF0">
            <w:pPr>
              <w:pStyle w:val="53"/>
              <w:keepNext w:val="0"/>
              <w:keepLines w:val="0"/>
              <w:suppressLineNumbers w:val="0"/>
              <w:spacing w:before="0" w:beforeLines="0" w:beforeAutospacing="0" w:after="0" w:afterLines="0" w:afterAutospacing="0"/>
              <w:ind w:left="0" w:right="0"/>
              <w:rPr>
                <w:rFonts w:hint="default" w:ascii="Times New Roman"/>
                <w:color w:val="auto"/>
                <w:spacing w:val="-6"/>
                <w:kern w:val="21"/>
                <w:szCs w:val="21"/>
                <w:u w:val="none"/>
              </w:rPr>
            </w:pPr>
            <w:r>
              <w:rPr>
                <w:rFonts w:hint="default" w:ascii="Times New Roman" w:hAnsi="Times New Roman"/>
                <w:color w:val="auto"/>
                <w:spacing w:val="-6"/>
                <w:kern w:val="21"/>
                <w:u w:val="none"/>
              </w:rPr>
              <w:t>本项目</w:t>
            </w:r>
          </w:p>
          <w:p w14:paraId="18FFED8E">
            <w:pPr>
              <w:pStyle w:val="53"/>
              <w:keepNext w:val="0"/>
              <w:keepLines w:val="0"/>
              <w:suppressLineNumbers w:val="0"/>
              <w:spacing w:before="0" w:beforeLines="0" w:beforeAutospacing="0" w:after="0" w:afterLines="0" w:afterAutospacing="0"/>
              <w:ind w:left="0" w:right="0"/>
              <w:rPr>
                <w:rFonts w:hint="default"/>
                <w:color w:val="auto"/>
                <w:u w:val="none"/>
              </w:rPr>
            </w:pPr>
            <w:r>
              <w:rPr>
                <w:rFonts w:hint="default" w:ascii="Times New Roman" w:hAnsi="Times New Roman"/>
                <w:color w:val="auto"/>
                <w:spacing w:val="-6"/>
                <w:kern w:val="21"/>
                <w:u w:val="none"/>
              </w:rPr>
              <w:t>排放量（固</w:t>
            </w:r>
            <w:r>
              <w:rPr>
                <w:rFonts w:hint="eastAsia" w:ascii="Times New Roman"/>
                <w:color w:val="auto"/>
                <w:spacing w:val="-6"/>
                <w:kern w:val="21"/>
                <w:u w:val="none"/>
              </w:rPr>
              <w:t>体</w:t>
            </w:r>
            <w:r>
              <w:rPr>
                <w:rFonts w:hint="default" w:ascii="Times New Roman" w:hAnsi="Times New Roman"/>
                <w:color w:val="auto"/>
                <w:spacing w:val="-6"/>
                <w:kern w:val="21"/>
                <w:u w:val="none"/>
              </w:rPr>
              <w:t>废</w:t>
            </w:r>
            <w:r>
              <w:rPr>
                <w:rFonts w:hint="eastAsia" w:ascii="Times New Roman"/>
                <w:color w:val="auto"/>
                <w:spacing w:val="-6"/>
                <w:kern w:val="21"/>
                <w:u w:val="none"/>
              </w:rPr>
              <w:t>物</w:t>
            </w:r>
            <w:r>
              <w:rPr>
                <w:rFonts w:hint="default" w:ascii="Times New Roman" w:hAnsi="Times New Roman"/>
                <w:color w:val="auto"/>
                <w:spacing w:val="-6"/>
                <w:kern w:val="21"/>
                <w:u w:val="none"/>
              </w:rPr>
              <w:t>产生量）</w:t>
            </w:r>
            <w:r>
              <w:rPr>
                <w:rFonts w:hint="default"/>
                <w:color w:val="auto"/>
                <w:spacing w:val="-6"/>
                <w:kern w:val="21"/>
                <w:u w:val="none"/>
              </w:rPr>
              <w:t>④</w:t>
            </w:r>
          </w:p>
        </w:tc>
        <w:tc>
          <w:tcPr>
            <w:tcW w:w="1761"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1A3F24D3">
            <w:pPr>
              <w:pStyle w:val="53"/>
              <w:keepNext w:val="0"/>
              <w:keepLines w:val="0"/>
              <w:suppressLineNumbers w:val="0"/>
              <w:spacing w:before="0" w:beforeLines="0" w:beforeAutospacing="0" w:after="0" w:afterLines="0" w:afterAutospacing="0"/>
              <w:ind w:left="0" w:right="0"/>
              <w:rPr>
                <w:rFonts w:hint="default" w:ascii="Times New Roman"/>
                <w:color w:val="auto"/>
                <w:spacing w:val="-16"/>
                <w:kern w:val="21"/>
                <w:szCs w:val="21"/>
                <w:u w:val="none"/>
              </w:rPr>
            </w:pPr>
            <w:r>
              <w:rPr>
                <w:rFonts w:hint="default" w:ascii="Times New Roman" w:hAnsi="Times New Roman"/>
                <w:color w:val="auto"/>
                <w:spacing w:val="-16"/>
                <w:kern w:val="21"/>
                <w:u w:val="none"/>
              </w:rPr>
              <w:t>以新带老削减量</w:t>
            </w:r>
          </w:p>
          <w:p w14:paraId="5C9CE83F">
            <w:pPr>
              <w:pStyle w:val="53"/>
              <w:keepNext w:val="0"/>
              <w:keepLines w:val="0"/>
              <w:suppressLineNumbers w:val="0"/>
              <w:spacing w:before="0" w:beforeLines="0" w:beforeAutospacing="0" w:after="0" w:afterLines="0" w:afterAutospacing="0"/>
              <w:ind w:left="0" w:right="0"/>
              <w:rPr>
                <w:rFonts w:hint="default"/>
                <w:color w:val="auto"/>
                <w:u w:val="none"/>
              </w:rPr>
            </w:pPr>
            <w:r>
              <w:rPr>
                <w:rFonts w:hint="default" w:ascii="Times New Roman" w:hAnsi="Times New Roman"/>
                <w:color w:val="auto"/>
                <w:spacing w:val="-16"/>
                <w:kern w:val="21"/>
                <w:u w:val="none"/>
              </w:rPr>
              <w:t>（新建项目不填）</w:t>
            </w:r>
            <w:r>
              <w:rPr>
                <w:rFonts w:hint="default"/>
                <w:color w:val="auto"/>
                <w:spacing w:val="-16"/>
                <w:kern w:val="21"/>
                <w:u w:val="none"/>
              </w:rPr>
              <w:t>⑤</w:t>
            </w:r>
          </w:p>
        </w:tc>
        <w:tc>
          <w:tcPr>
            <w:tcW w:w="1783"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55DAE1E7">
            <w:pPr>
              <w:pStyle w:val="53"/>
              <w:keepNext w:val="0"/>
              <w:keepLines w:val="0"/>
              <w:suppressLineNumbers w:val="0"/>
              <w:spacing w:before="0" w:beforeLines="0" w:beforeAutospacing="0" w:after="0" w:afterLines="0" w:afterAutospacing="0"/>
              <w:ind w:left="0" w:right="0"/>
              <w:rPr>
                <w:rFonts w:hint="default" w:ascii="Times New Roman"/>
                <w:color w:val="auto"/>
                <w:spacing w:val="-16"/>
                <w:kern w:val="21"/>
                <w:szCs w:val="21"/>
                <w:u w:val="none"/>
              </w:rPr>
            </w:pPr>
            <w:r>
              <w:rPr>
                <w:rFonts w:hint="default" w:ascii="Times New Roman" w:hAnsi="Times New Roman"/>
                <w:color w:val="auto"/>
                <w:spacing w:val="-16"/>
                <w:kern w:val="21"/>
                <w:u w:val="none"/>
              </w:rPr>
              <w:t>本项目建成后</w:t>
            </w:r>
          </w:p>
          <w:p w14:paraId="1E0AE8B5">
            <w:pPr>
              <w:pStyle w:val="53"/>
              <w:keepNext w:val="0"/>
              <w:keepLines w:val="0"/>
              <w:suppressLineNumbers w:val="0"/>
              <w:spacing w:before="0" w:beforeLines="0" w:beforeAutospacing="0" w:after="0" w:afterLines="0" w:afterAutospacing="0"/>
              <w:ind w:left="0" w:right="0"/>
              <w:rPr>
                <w:rFonts w:hint="default"/>
                <w:color w:val="auto"/>
                <w:u w:val="none"/>
              </w:rPr>
            </w:pPr>
            <w:r>
              <w:rPr>
                <w:rFonts w:hint="eastAsia" w:ascii="Times New Roman"/>
                <w:color w:val="auto"/>
                <w:spacing w:val="-16"/>
                <w:kern w:val="21"/>
                <w:u w:val="none"/>
              </w:rPr>
              <w:t>全厂</w:t>
            </w:r>
            <w:r>
              <w:rPr>
                <w:rFonts w:hint="default" w:ascii="Times New Roman" w:hAnsi="Times New Roman"/>
                <w:color w:val="auto"/>
                <w:spacing w:val="-16"/>
                <w:kern w:val="21"/>
                <w:u w:val="none"/>
              </w:rPr>
              <w:t>排放量（固</w:t>
            </w:r>
            <w:r>
              <w:rPr>
                <w:rFonts w:hint="eastAsia" w:ascii="Times New Roman"/>
                <w:color w:val="auto"/>
                <w:spacing w:val="-16"/>
                <w:kern w:val="21"/>
                <w:u w:val="none"/>
              </w:rPr>
              <w:t>体</w:t>
            </w:r>
            <w:r>
              <w:rPr>
                <w:rFonts w:hint="default" w:ascii="Times New Roman" w:hAnsi="Times New Roman"/>
                <w:color w:val="auto"/>
                <w:spacing w:val="-16"/>
                <w:kern w:val="21"/>
                <w:u w:val="none"/>
              </w:rPr>
              <w:t>废</w:t>
            </w:r>
            <w:r>
              <w:rPr>
                <w:rFonts w:hint="eastAsia" w:ascii="Times New Roman"/>
                <w:color w:val="auto"/>
                <w:spacing w:val="-16"/>
                <w:kern w:val="21"/>
                <w:u w:val="none"/>
              </w:rPr>
              <w:t>物</w:t>
            </w:r>
            <w:r>
              <w:rPr>
                <w:rFonts w:hint="default" w:ascii="Times New Roman" w:hAnsi="Times New Roman"/>
                <w:color w:val="auto"/>
                <w:spacing w:val="-16"/>
                <w:kern w:val="21"/>
                <w:u w:val="none"/>
              </w:rPr>
              <w:t>产生量）</w:t>
            </w:r>
            <w:r>
              <w:rPr>
                <w:rFonts w:hint="default"/>
                <w:color w:val="auto"/>
                <w:spacing w:val="-16"/>
                <w:kern w:val="21"/>
                <w:u w:val="none"/>
              </w:rPr>
              <w:t>⑥</w:t>
            </w:r>
          </w:p>
        </w:tc>
        <w:tc>
          <w:tcPr>
            <w:tcW w:w="1002" w:type="dxa"/>
            <w:tcBorders>
              <w:top w:val="single" w:color="auto" w:sz="8" w:space="0"/>
              <w:left w:val="single" w:color="auto" w:sz="4" w:space="0"/>
              <w:bottom w:val="single" w:color="auto" w:sz="4" w:space="0"/>
              <w:right w:val="single" w:color="auto" w:sz="8" w:space="0"/>
            </w:tcBorders>
            <w:tcMar>
              <w:top w:w="0" w:type="dxa"/>
              <w:left w:w="28" w:type="dxa"/>
              <w:bottom w:w="0" w:type="dxa"/>
              <w:right w:w="28" w:type="dxa"/>
            </w:tcMar>
            <w:vAlign w:val="center"/>
          </w:tcPr>
          <w:p w14:paraId="36FA9B92">
            <w:pPr>
              <w:pStyle w:val="53"/>
              <w:keepNext w:val="0"/>
              <w:keepLines w:val="0"/>
              <w:suppressLineNumbers w:val="0"/>
              <w:spacing w:before="0" w:beforeLines="0" w:beforeAutospacing="0" w:after="0" w:afterLines="0" w:afterAutospacing="0"/>
              <w:ind w:left="0" w:right="0"/>
              <w:rPr>
                <w:rFonts w:hint="default" w:ascii="Times New Roman" w:hAnsi="Times New Roman"/>
                <w:color w:val="auto"/>
                <w:spacing w:val="-6"/>
                <w:kern w:val="21"/>
                <w:szCs w:val="21"/>
                <w:u w:val="none"/>
              </w:rPr>
            </w:pPr>
            <w:r>
              <w:rPr>
                <w:rFonts w:hint="default" w:ascii="Times New Roman" w:hAnsi="Times New Roman"/>
                <w:color w:val="auto"/>
                <w:spacing w:val="-6"/>
                <w:kern w:val="21"/>
                <w:u w:val="none"/>
              </w:rPr>
              <w:t>变化量</w:t>
            </w:r>
          </w:p>
          <w:p w14:paraId="1A2CA80C">
            <w:pPr>
              <w:pStyle w:val="53"/>
              <w:keepNext w:val="0"/>
              <w:keepLines w:val="0"/>
              <w:suppressLineNumbers w:val="0"/>
              <w:spacing w:before="0" w:beforeLines="0" w:beforeAutospacing="0" w:after="0" w:afterLines="0" w:afterAutospacing="0"/>
              <w:ind w:left="0" w:right="0"/>
              <w:rPr>
                <w:rFonts w:hint="default"/>
                <w:color w:val="auto"/>
                <w:u w:val="none"/>
              </w:rPr>
            </w:pPr>
            <w:r>
              <w:rPr>
                <w:rFonts w:hint="default"/>
                <w:color w:val="auto"/>
                <w:spacing w:val="-6"/>
                <w:kern w:val="21"/>
                <w:u w:val="none"/>
              </w:rPr>
              <w:t>⑦</w:t>
            </w:r>
          </w:p>
        </w:tc>
      </w:tr>
      <w:tr w14:paraId="067ACF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tcBorders>
              <w:top w:val="single" w:color="auto" w:sz="4" w:space="0"/>
              <w:left w:val="single" w:color="auto" w:sz="8" w:space="0"/>
              <w:bottom w:val="single" w:color="auto" w:sz="4" w:space="0"/>
              <w:right w:val="single" w:color="auto" w:sz="4" w:space="0"/>
            </w:tcBorders>
            <w:vAlign w:val="center"/>
          </w:tcPr>
          <w:p w14:paraId="6E12031B">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color w:val="auto"/>
                <w:u w:val="none"/>
              </w:rPr>
              <w:t>废气</w:t>
            </w:r>
          </w:p>
        </w:tc>
        <w:tc>
          <w:tcPr>
            <w:tcW w:w="1417" w:type="dxa"/>
            <w:tcBorders>
              <w:top w:val="single" w:color="auto" w:sz="4" w:space="0"/>
              <w:left w:val="single" w:color="auto" w:sz="4" w:space="0"/>
              <w:bottom w:val="single" w:color="auto" w:sz="4" w:space="0"/>
              <w:right w:val="single" w:color="auto" w:sz="4" w:space="0"/>
            </w:tcBorders>
            <w:vAlign w:val="center"/>
          </w:tcPr>
          <w:p w14:paraId="3AE6B095">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color w:val="auto"/>
                <w:u w:val="none"/>
              </w:rPr>
              <w:t>颗粒物</w:t>
            </w:r>
          </w:p>
        </w:tc>
        <w:tc>
          <w:tcPr>
            <w:tcW w:w="1701" w:type="dxa"/>
            <w:tcBorders>
              <w:top w:val="single" w:color="auto" w:sz="4" w:space="0"/>
              <w:left w:val="single" w:color="auto" w:sz="4" w:space="0"/>
              <w:bottom w:val="single" w:color="auto" w:sz="4" w:space="0"/>
              <w:right w:val="single" w:color="auto" w:sz="4" w:space="0"/>
            </w:tcBorders>
            <w:vAlign w:val="center"/>
          </w:tcPr>
          <w:p w14:paraId="5AD14A48">
            <w:pPr>
              <w:pStyle w:val="53"/>
              <w:keepNext w:val="0"/>
              <w:keepLines w:val="0"/>
              <w:suppressLineNumbers w:val="0"/>
              <w:spacing w:before="0" w:beforeLines="0" w:beforeAutospacing="0" w:after="0" w:afterLines="0" w:afterAutospacing="0"/>
              <w:ind w:left="0" w:leftChars="0" w:right="0" w:rightChars="0"/>
              <w:rPr>
                <w:rFonts w:hint="default" w:ascii="Times New Roman"/>
                <w:color w:val="auto"/>
                <w:u w:val="none"/>
              </w:rPr>
            </w:pPr>
            <w:r>
              <w:rPr>
                <w:rFonts w:hint="eastAsia" w:ascii="Times New Roman" w:hAnsi="Times New Roman"/>
                <w:color w:val="auto"/>
                <w:u w:val="none"/>
              </w:rPr>
              <w:t>/</w:t>
            </w:r>
          </w:p>
        </w:tc>
        <w:tc>
          <w:tcPr>
            <w:tcW w:w="1276" w:type="dxa"/>
            <w:tcBorders>
              <w:top w:val="single" w:color="auto" w:sz="4" w:space="0"/>
              <w:left w:val="single" w:color="auto" w:sz="4" w:space="0"/>
              <w:bottom w:val="single" w:color="auto" w:sz="4" w:space="0"/>
              <w:right w:val="single" w:color="auto" w:sz="4" w:space="0"/>
            </w:tcBorders>
            <w:vAlign w:val="center"/>
          </w:tcPr>
          <w:p w14:paraId="50DAC476">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hAnsi="Times New Roman"/>
                <w:color w:val="auto"/>
                <w:u w:val="none"/>
              </w:rPr>
              <w:t>/</w:t>
            </w:r>
          </w:p>
        </w:tc>
        <w:tc>
          <w:tcPr>
            <w:tcW w:w="1701" w:type="dxa"/>
            <w:tcBorders>
              <w:top w:val="single" w:color="auto" w:sz="4" w:space="0"/>
              <w:left w:val="single" w:color="auto" w:sz="4" w:space="0"/>
              <w:bottom w:val="single" w:color="auto" w:sz="4" w:space="0"/>
              <w:right w:val="single" w:color="auto" w:sz="4" w:space="0"/>
            </w:tcBorders>
            <w:vAlign w:val="center"/>
          </w:tcPr>
          <w:p w14:paraId="33AA889C">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hAnsi="Times New Roman"/>
                <w:color w:val="auto"/>
                <w:u w:val="none"/>
              </w:rPr>
              <w:t>/</w:t>
            </w:r>
          </w:p>
        </w:tc>
        <w:tc>
          <w:tcPr>
            <w:tcW w:w="1559" w:type="dxa"/>
            <w:tcBorders>
              <w:top w:val="single" w:color="auto" w:sz="4" w:space="0"/>
              <w:left w:val="single" w:color="auto" w:sz="4" w:space="0"/>
              <w:bottom w:val="single" w:color="auto" w:sz="4" w:space="0"/>
              <w:right w:val="single" w:color="auto" w:sz="4" w:space="0"/>
            </w:tcBorders>
            <w:vAlign w:val="center"/>
          </w:tcPr>
          <w:p w14:paraId="6E5F397E">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olor w:val="auto"/>
                <w:u w:val="none"/>
                <w:lang w:val="en-US" w:eastAsia="zh-CN"/>
              </w:rPr>
            </w:pPr>
            <w:r>
              <w:rPr>
                <w:rFonts w:hint="eastAsia" w:ascii="Times New Roman" w:hAnsi="Times New Roman"/>
                <w:color w:val="auto"/>
                <w:u w:val="none"/>
              </w:rPr>
              <w:t>/</w:t>
            </w:r>
          </w:p>
        </w:tc>
        <w:tc>
          <w:tcPr>
            <w:tcW w:w="1761" w:type="dxa"/>
            <w:tcBorders>
              <w:top w:val="single" w:color="auto" w:sz="4" w:space="0"/>
              <w:left w:val="single" w:color="auto" w:sz="4" w:space="0"/>
              <w:bottom w:val="single" w:color="auto" w:sz="4" w:space="0"/>
              <w:right w:val="single" w:color="auto" w:sz="4" w:space="0"/>
            </w:tcBorders>
            <w:vAlign w:val="center"/>
          </w:tcPr>
          <w:p w14:paraId="7313F5A0">
            <w:pPr>
              <w:pStyle w:val="53"/>
              <w:keepNext w:val="0"/>
              <w:keepLines w:val="0"/>
              <w:suppressLineNumbers w:val="0"/>
              <w:spacing w:before="0" w:beforeLines="0" w:beforeAutospacing="0" w:after="0" w:afterLines="0" w:afterAutospacing="0"/>
              <w:ind w:left="0" w:leftChars="0" w:right="0" w:rightChars="0"/>
              <w:rPr>
                <w:rFonts w:hint="default" w:ascii="Times New Roman"/>
                <w:color w:val="auto"/>
                <w:u w:val="none"/>
              </w:rPr>
            </w:pPr>
            <w:r>
              <w:rPr>
                <w:rFonts w:hint="eastAsia" w:ascii="Times New Roman" w:hAnsi="Times New Roman"/>
                <w:color w:val="auto"/>
                <w:u w:val="none"/>
              </w:rPr>
              <w:t>/</w:t>
            </w:r>
          </w:p>
        </w:tc>
        <w:tc>
          <w:tcPr>
            <w:tcW w:w="1783" w:type="dxa"/>
            <w:tcBorders>
              <w:top w:val="single" w:color="auto" w:sz="4" w:space="0"/>
              <w:left w:val="single" w:color="auto" w:sz="4" w:space="0"/>
              <w:bottom w:val="single" w:color="auto" w:sz="4" w:space="0"/>
              <w:right w:val="single" w:color="auto" w:sz="4" w:space="0"/>
            </w:tcBorders>
            <w:vAlign w:val="center"/>
          </w:tcPr>
          <w:p w14:paraId="482ABC10">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olor w:val="auto"/>
                <w:u w:val="none"/>
                <w:lang w:val="en-US" w:eastAsia="zh-CN"/>
              </w:rPr>
            </w:pPr>
            <w:r>
              <w:rPr>
                <w:rFonts w:hint="eastAsia" w:ascii="Times New Roman" w:hAnsi="Times New Roman"/>
                <w:color w:val="auto"/>
                <w:u w:val="none"/>
              </w:rPr>
              <w:t>/</w:t>
            </w:r>
          </w:p>
        </w:tc>
        <w:tc>
          <w:tcPr>
            <w:tcW w:w="1002" w:type="dxa"/>
            <w:tcBorders>
              <w:top w:val="single" w:color="auto" w:sz="4" w:space="0"/>
              <w:left w:val="single" w:color="auto" w:sz="4" w:space="0"/>
              <w:bottom w:val="single" w:color="auto" w:sz="4" w:space="0"/>
              <w:right w:val="single" w:color="auto" w:sz="8" w:space="0"/>
            </w:tcBorders>
            <w:vAlign w:val="center"/>
          </w:tcPr>
          <w:p w14:paraId="5CFDCE93">
            <w:pPr>
              <w:pStyle w:val="53"/>
              <w:keepNext w:val="0"/>
              <w:keepLines w:val="0"/>
              <w:suppressLineNumbers w:val="0"/>
              <w:spacing w:before="0" w:beforeLines="0" w:beforeAutospacing="0" w:after="0" w:afterLines="0" w:afterAutospacing="0"/>
              <w:ind w:left="0" w:leftChars="0" w:right="0" w:rightChars="0"/>
              <w:rPr>
                <w:rFonts w:hint="default" w:ascii="Times New Roman" w:hAnsi="Times New Roman"/>
                <w:color w:val="auto"/>
                <w:u w:val="none"/>
              </w:rPr>
            </w:pPr>
            <w:r>
              <w:rPr>
                <w:rFonts w:hint="eastAsia" w:ascii="Times New Roman" w:hAnsi="Times New Roman"/>
                <w:color w:val="auto"/>
                <w:u w:val="none"/>
              </w:rPr>
              <w:t>/</w:t>
            </w:r>
          </w:p>
        </w:tc>
      </w:tr>
      <w:tr w14:paraId="1305F9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Borders>
              <w:top w:val="single" w:color="auto" w:sz="4" w:space="0"/>
              <w:left w:val="single" w:color="auto" w:sz="8" w:space="0"/>
              <w:bottom w:val="single" w:color="auto" w:sz="4" w:space="0"/>
              <w:right w:val="single" w:color="auto" w:sz="4" w:space="0"/>
            </w:tcBorders>
            <w:vAlign w:val="center"/>
          </w:tcPr>
          <w:p w14:paraId="0D2FC6AB">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color w:val="auto"/>
                <w:u w:val="none"/>
              </w:rPr>
              <w:t>废水</w:t>
            </w:r>
          </w:p>
        </w:tc>
        <w:tc>
          <w:tcPr>
            <w:tcW w:w="1417" w:type="dxa"/>
            <w:tcBorders>
              <w:top w:val="single" w:color="auto" w:sz="4" w:space="0"/>
              <w:left w:val="single" w:color="auto" w:sz="4" w:space="0"/>
              <w:bottom w:val="single" w:color="auto" w:sz="4" w:space="0"/>
              <w:right w:val="single" w:color="auto" w:sz="4" w:space="0"/>
            </w:tcBorders>
            <w:vAlign w:val="center"/>
          </w:tcPr>
          <w:p w14:paraId="6AA3D136">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hAnsi="Times New Roman"/>
                <w:color w:val="auto"/>
                <w:u w:val="none"/>
              </w:rPr>
              <w:t>COD</w:t>
            </w:r>
            <w:r>
              <w:rPr>
                <w:rFonts w:hint="eastAsia" w:ascii="Times New Roman" w:hAnsi="Times New Roman"/>
                <w:color w:val="auto"/>
                <w:u w:val="none"/>
                <w:vertAlign w:val="subscript"/>
              </w:rPr>
              <w:t>Cr</w:t>
            </w:r>
          </w:p>
        </w:tc>
        <w:tc>
          <w:tcPr>
            <w:tcW w:w="1701" w:type="dxa"/>
            <w:tcBorders>
              <w:top w:val="single" w:color="auto" w:sz="4" w:space="0"/>
              <w:left w:val="single" w:color="auto" w:sz="4" w:space="0"/>
              <w:bottom w:val="single" w:color="auto" w:sz="4" w:space="0"/>
              <w:right w:val="single" w:color="auto" w:sz="4" w:space="0"/>
            </w:tcBorders>
            <w:vAlign w:val="center"/>
          </w:tcPr>
          <w:p w14:paraId="5B9251F0">
            <w:pPr>
              <w:pStyle w:val="53"/>
              <w:keepNext w:val="0"/>
              <w:keepLines w:val="0"/>
              <w:suppressLineNumbers w:val="0"/>
              <w:spacing w:before="0" w:beforeLines="0" w:beforeAutospacing="0" w:after="0" w:afterLines="0" w:afterAutospacing="0"/>
              <w:ind w:left="0" w:leftChars="0" w:right="0" w:rightChars="0"/>
              <w:rPr>
                <w:rFonts w:hint="default" w:ascii="Times New Roman"/>
                <w:color w:val="auto"/>
                <w:u w:val="none"/>
              </w:rPr>
            </w:pPr>
            <w:r>
              <w:rPr>
                <w:rFonts w:hint="eastAsia" w:ascii="Times New Roman" w:hAnsi="Times New Roman"/>
                <w:color w:val="auto"/>
                <w:u w:val="none"/>
              </w:rPr>
              <w:t>/</w:t>
            </w:r>
          </w:p>
        </w:tc>
        <w:tc>
          <w:tcPr>
            <w:tcW w:w="1276" w:type="dxa"/>
            <w:tcBorders>
              <w:top w:val="single" w:color="auto" w:sz="4" w:space="0"/>
              <w:left w:val="single" w:color="auto" w:sz="4" w:space="0"/>
              <w:bottom w:val="single" w:color="auto" w:sz="4" w:space="0"/>
              <w:right w:val="single" w:color="auto" w:sz="4" w:space="0"/>
            </w:tcBorders>
            <w:vAlign w:val="center"/>
          </w:tcPr>
          <w:p w14:paraId="502E0A8B">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hAnsi="Times New Roman"/>
                <w:color w:val="auto"/>
                <w:u w:val="none"/>
              </w:rPr>
              <w:t>/</w:t>
            </w:r>
          </w:p>
        </w:tc>
        <w:tc>
          <w:tcPr>
            <w:tcW w:w="1701" w:type="dxa"/>
            <w:tcBorders>
              <w:top w:val="single" w:color="auto" w:sz="4" w:space="0"/>
              <w:left w:val="single" w:color="auto" w:sz="4" w:space="0"/>
              <w:bottom w:val="single" w:color="auto" w:sz="4" w:space="0"/>
              <w:right w:val="single" w:color="auto" w:sz="4" w:space="0"/>
            </w:tcBorders>
            <w:vAlign w:val="center"/>
          </w:tcPr>
          <w:p w14:paraId="5C8EE4D3">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hAnsi="Times New Roman"/>
                <w:color w:val="auto"/>
                <w:u w:val="none"/>
              </w:rPr>
              <w:t>/</w:t>
            </w:r>
          </w:p>
        </w:tc>
        <w:tc>
          <w:tcPr>
            <w:tcW w:w="1559" w:type="dxa"/>
            <w:tcBorders>
              <w:top w:val="single" w:color="auto" w:sz="4" w:space="0"/>
              <w:left w:val="single" w:color="auto" w:sz="4" w:space="0"/>
              <w:bottom w:val="single" w:color="auto" w:sz="4" w:space="0"/>
              <w:right w:val="single" w:color="auto" w:sz="4" w:space="0"/>
            </w:tcBorders>
            <w:vAlign w:val="center"/>
          </w:tcPr>
          <w:p w14:paraId="674FA046">
            <w:pPr>
              <w:keepNext w:val="0"/>
              <w:keepLines w:val="0"/>
              <w:suppressLineNumbers w:val="0"/>
              <w:spacing w:before="0" w:beforeLines="0" w:beforeAutospacing="0" w:after="0" w:afterLines="0" w:afterAutospacing="0"/>
              <w:ind w:left="0" w:right="0"/>
              <w:jc w:val="center"/>
              <w:rPr>
                <w:rFonts w:hint="default" w:ascii="Times New Roman"/>
                <w:color w:val="auto"/>
                <w:u w:val="none"/>
              </w:rPr>
            </w:pPr>
            <w:r>
              <w:rPr>
                <w:rFonts w:hint="eastAsia" w:ascii="Times New Roman" w:hAnsi="Times New Roman"/>
                <w:color w:val="auto"/>
                <w:u w:val="none"/>
              </w:rPr>
              <w:t>/</w:t>
            </w:r>
          </w:p>
        </w:tc>
        <w:tc>
          <w:tcPr>
            <w:tcW w:w="1761" w:type="dxa"/>
            <w:tcBorders>
              <w:top w:val="single" w:color="auto" w:sz="4" w:space="0"/>
              <w:left w:val="single" w:color="auto" w:sz="4" w:space="0"/>
              <w:bottom w:val="single" w:color="auto" w:sz="4" w:space="0"/>
              <w:right w:val="single" w:color="auto" w:sz="4" w:space="0"/>
            </w:tcBorders>
            <w:vAlign w:val="center"/>
          </w:tcPr>
          <w:p w14:paraId="3C7E06D3">
            <w:pPr>
              <w:pStyle w:val="53"/>
              <w:keepNext w:val="0"/>
              <w:keepLines w:val="0"/>
              <w:suppressLineNumbers w:val="0"/>
              <w:spacing w:before="0" w:beforeLines="0" w:beforeAutospacing="0" w:after="0" w:afterLines="0" w:afterAutospacing="0"/>
              <w:ind w:left="0" w:leftChars="0" w:right="0" w:rightChars="0"/>
              <w:rPr>
                <w:rFonts w:hint="default" w:ascii="Times New Roman"/>
                <w:color w:val="auto"/>
                <w:u w:val="none"/>
              </w:rPr>
            </w:pPr>
            <w:r>
              <w:rPr>
                <w:rFonts w:hint="eastAsia" w:ascii="Times New Roman" w:hAnsi="Times New Roman"/>
                <w:color w:val="auto"/>
                <w:u w:val="none"/>
              </w:rPr>
              <w:t>/</w:t>
            </w:r>
          </w:p>
        </w:tc>
        <w:tc>
          <w:tcPr>
            <w:tcW w:w="1783" w:type="dxa"/>
            <w:tcBorders>
              <w:top w:val="single" w:color="auto" w:sz="4" w:space="0"/>
              <w:left w:val="single" w:color="auto" w:sz="4" w:space="0"/>
              <w:bottom w:val="single" w:color="auto" w:sz="4" w:space="0"/>
              <w:right w:val="single" w:color="auto" w:sz="4" w:space="0"/>
            </w:tcBorders>
            <w:vAlign w:val="center"/>
          </w:tcPr>
          <w:p w14:paraId="405E8C50">
            <w:pPr>
              <w:keepNext w:val="0"/>
              <w:keepLines w:val="0"/>
              <w:suppressLineNumbers w:val="0"/>
              <w:spacing w:before="0" w:beforeLines="0" w:beforeAutospacing="0" w:after="0" w:afterLines="0" w:afterAutospacing="0"/>
              <w:ind w:left="0" w:leftChars="0" w:right="0" w:rightChars="0"/>
              <w:jc w:val="center"/>
              <w:rPr>
                <w:rFonts w:hint="default" w:ascii="Times New Roman"/>
                <w:color w:val="auto"/>
                <w:u w:val="none"/>
              </w:rPr>
            </w:pPr>
            <w:r>
              <w:rPr>
                <w:rFonts w:hint="eastAsia" w:ascii="Times New Roman" w:hAnsi="Times New Roman"/>
                <w:color w:val="auto"/>
                <w:u w:val="none"/>
              </w:rPr>
              <w:t>/</w:t>
            </w:r>
          </w:p>
        </w:tc>
        <w:tc>
          <w:tcPr>
            <w:tcW w:w="1002" w:type="dxa"/>
            <w:tcBorders>
              <w:top w:val="single" w:color="auto" w:sz="4" w:space="0"/>
              <w:left w:val="single" w:color="auto" w:sz="4" w:space="0"/>
              <w:bottom w:val="single" w:color="auto" w:sz="4" w:space="0"/>
              <w:right w:val="single" w:color="auto" w:sz="8" w:space="0"/>
            </w:tcBorders>
            <w:vAlign w:val="center"/>
          </w:tcPr>
          <w:p w14:paraId="217F53A3">
            <w:pPr>
              <w:pStyle w:val="53"/>
              <w:keepNext w:val="0"/>
              <w:keepLines w:val="0"/>
              <w:suppressLineNumbers w:val="0"/>
              <w:spacing w:before="0" w:beforeLines="0" w:beforeAutospacing="0" w:after="0" w:afterLines="0" w:afterAutospacing="0"/>
              <w:ind w:left="0" w:leftChars="0" w:right="0" w:rightChars="0"/>
              <w:rPr>
                <w:rFonts w:hint="default" w:ascii="Times New Roman"/>
                <w:color w:val="auto"/>
                <w:u w:val="none"/>
              </w:rPr>
            </w:pPr>
            <w:r>
              <w:rPr>
                <w:rFonts w:hint="eastAsia" w:ascii="Times New Roman" w:hAnsi="Times New Roman"/>
                <w:color w:val="auto"/>
                <w:u w:val="none"/>
              </w:rPr>
              <w:t>/</w:t>
            </w:r>
          </w:p>
        </w:tc>
      </w:tr>
      <w:tr w14:paraId="2BD547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top w:val="single" w:color="auto" w:sz="4" w:space="0"/>
              <w:left w:val="single" w:color="auto" w:sz="8" w:space="0"/>
              <w:bottom w:val="single" w:color="auto" w:sz="4" w:space="0"/>
              <w:right w:val="single" w:color="auto" w:sz="4" w:space="0"/>
            </w:tcBorders>
            <w:vAlign w:val="center"/>
          </w:tcPr>
          <w:p w14:paraId="02B12D34">
            <w:pPr>
              <w:keepNext w:val="0"/>
              <w:keepLines w:val="0"/>
              <w:widowControl/>
              <w:suppressLineNumbers w:val="0"/>
              <w:spacing w:before="0" w:beforeAutospacing="0" w:after="0" w:afterAutospacing="0"/>
              <w:ind w:left="0" w:right="0"/>
              <w:jc w:val="left"/>
              <w:rPr>
                <w:rFonts w:hint="default" w:hAnsi="宋体"/>
                <w:color w:val="auto"/>
                <w:kern w:val="0"/>
                <w:szCs w:val="21"/>
                <w:u w:val="none"/>
              </w:rPr>
            </w:pPr>
          </w:p>
        </w:tc>
        <w:tc>
          <w:tcPr>
            <w:tcW w:w="1417" w:type="dxa"/>
            <w:tcBorders>
              <w:top w:val="single" w:color="auto" w:sz="4" w:space="0"/>
              <w:left w:val="single" w:color="auto" w:sz="4" w:space="0"/>
              <w:bottom w:val="single" w:color="auto" w:sz="4" w:space="0"/>
              <w:right w:val="single" w:color="auto" w:sz="4" w:space="0"/>
            </w:tcBorders>
            <w:vAlign w:val="center"/>
          </w:tcPr>
          <w:p w14:paraId="0E0DD308">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hAnsi="Times New Roman"/>
                <w:color w:val="auto"/>
                <w:u w:val="none"/>
              </w:rPr>
              <w:t>NH</w:t>
            </w:r>
            <w:r>
              <w:rPr>
                <w:rFonts w:hint="eastAsia" w:ascii="Times New Roman" w:hAnsi="Times New Roman"/>
                <w:color w:val="auto"/>
                <w:u w:val="none"/>
                <w:vertAlign w:val="subscript"/>
              </w:rPr>
              <w:t>3</w:t>
            </w:r>
            <w:r>
              <w:rPr>
                <w:rFonts w:hint="eastAsia" w:ascii="Times New Roman" w:hAnsi="Times New Roman"/>
                <w:color w:val="auto"/>
                <w:u w:val="none"/>
              </w:rPr>
              <w:t>-N</w:t>
            </w:r>
          </w:p>
        </w:tc>
        <w:tc>
          <w:tcPr>
            <w:tcW w:w="1701" w:type="dxa"/>
            <w:tcBorders>
              <w:top w:val="single" w:color="auto" w:sz="4" w:space="0"/>
              <w:left w:val="single" w:color="auto" w:sz="4" w:space="0"/>
              <w:bottom w:val="single" w:color="auto" w:sz="4" w:space="0"/>
              <w:right w:val="single" w:color="auto" w:sz="4" w:space="0"/>
            </w:tcBorders>
            <w:vAlign w:val="center"/>
          </w:tcPr>
          <w:p w14:paraId="7A0D6F43">
            <w:pPr>
              <w:pStyle w:val="53"/>
              <w:keepNext w:val="0"/>
              <w:keepLines w:val="0"/>
              <w:suppressLineNumbers w:val="0"/>
              <w:spacing w:before="0" w:beforeLines="0" w:beforeAutospacing="0" w:after="0" w:afterLines="0" w:afterAutospacing="0"/>
              <w:ind w:left="0" w:leftChars="0" w:right="0" w:rightChars="0"/>
              <w:rPr>
                <w:rFonts w:hint="default" w:ascii="Times New Roman"/>
                <w:color w:val="auto"/>
                <w:u w:val="none"/>
              </w:rPr>
            </w:pPr>
            <w:r>
              <w:rPr>
                <w:rFonts w:hint="eastAsia" w:ascii="Times New Roman" w:hAnsi="Times New Roman"/>
                <w:color w:val="auto"/>
                <w:u w:val="none"/>
              </w:rPr>
              <w:t>/</w:t>
            </w:r>
          </w:p>
        </w:tc>
        <w:tc>
          <w:tcPr>
            <w:tcW w:w="1276" w:type="dxa"/>
            <w:tcBorders>
              <w:top w:val="single" w:color="auto" w:sz="4" w:space="0"/>
              <w:left w:val="single" w:color="auto" w:sz="4" w:space="0"/>
              <w:bottom w:val="single" w:color="auto" w:sz="4" w:space="0"/>
              <w:right w:val="single" w:color="auto" w:sz="4" w:space="0"/>
            </w:tcBorders>
            <w:vAlign w:val="center"/>
          </w:tcPr>
          <w:p w14:paraId="670807EF">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hAnsi="Times New Roman"/>
                <w:color w:val="auto"/>
                <w:u w:val="none"/>
              </w:rPr>
              <w:t>/</w:t>
            </w:r>
          </w:p>
        </w:tc>
        <w:tc>
          <w:tcPr>
            <w:tcW w:w="1701" w:type="dxa"/>
            <w:tcBorders>
              <w:top w:val="single" w:color="auto" w:sz="4" w:space="0"/>
              <w:left w:val="single" w:color="auto" w:sz="4" w:space="0"/>
              <w:bottom w:val="single" w:color="auto" w:sz="4" w:space="0"/>
              <w:right w:val="single" w:color="auto" w:sz="4" w:space="0"/>
            </w:tcBorders>
            <w:vAlign w:val="center"/>
          </w:tcPr>
          <w:p w14:paraId="1DEBDEF4">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hAnsi="Times New Roman"/>
                <w:color w:val="auto"/>
                <w:u w:val="none"/>
              </w:rPr>
              <w:t>/</w:t>
            </w:r>
          </w:p>
        </w:tc>
        <w:tc>
          <w:tcPr>
            <w:tcW w:w="1559" w:type="dxa"/>
            <w:tcBorders>
              <w:top w:val="single" w:color="auto" w:sz="4" w:space="0"/>
              <w:left w:val="single" w:color="auto" w:sz="4" w:space="0"/>
              <w:bottom w:val="single" w:color="auto" w:sz="4" w:space="0"/>
              <w:right w:val="single" w:color="auto" w:sz="4" w:space="0"/>
            </w:tcBorders>
            <w:vAlign w:val="center"/>
          </w:tcPr>
          <w:p w14:paraId="1FA1F434">
            <w:pPr>
              <w:keepNext w:val="0"/>
              <w:keepLines w:val="0"/>
              <w:suppressLineNumbers w:val="0"/>
              <w:spacing w:before="0" w:beforeLines="0" w:beforeAutospacing="0" w:after="0" w:afterLines="0" w:afterAutospacing="0"/>
              <w:ind w:left="0" w:right="0"/>
              <w:jc w:val="center"/>
              <w:rPr>
                <w:rFonts w:hint="default" w:ascii="Times New Roman"/>
                <w:color w:val="auto"/>
                <w:u w:val="none"/>
              </w:rPr>
            </w:pPr>
            <w:r>
              <w:rPr>
                <w:rFonts w:hint="eastAsia" w:ascii="Times New Roman" w:hAnsi="Times New Roman"/>
                <w:color w:val="auto"/>
                <w:u w:val="none"/>
              </w:rPr>
              <w:t>/</w:t>
            </w:r>
          </w:p>
        </w:tc>
        <w:tc>
          <w:tcPr>
            <w:tcW w:w="1761" w:type="dxa"/>
            <w:tcBorders>
              <w:top w:val="single" w:color="auto" w:sz="4" w:space="0"/>
              <w:left w:val="single" w:color="auto" w:sz="4" w:space="0"/>
              <w:bottom w:val="single" w:color="auto" w:sz="4" w:space="0"/>
              <w:right w:val="single" w:color="auto" w:sz="4" w:space="0"/>
            </w:tcBorders>
            <w:vAlign w:val="center"/>
          </w:tcPr>
          <w:p w14:paraId="4CABB076">
            <w:pPr>
              <w:pStyle w:val="53"/>
              <w:keepNext w:val="0"/>
              <w:keepLines w:val="0"/>
              <w:suppressLineNumbers w:val="0"/>
              <w:spacing w:before="0" w:beforeLines="0" w:beforeAutospacing="0" w:after="0" w:afterLines="0" w:afterAutospacing="0"/>
              <w:ind w:left="0" w:leftChars="0" w:right="0" w:rightChars="0"/>
              <w:rPr>
                <w:rFonts w:hint="default" w:ascii="Times New Roman"/>
                <w:color w:val="auto"/>
                <w:u w:val="none"/>
              </w:rPr>
            </w:pPr>
            <w:r>
              <w:rPr>
                <w:rFonts w:hint="eastAsia" w:ascii="Times New Roman" w:hAnsi="Times New Roman"/>
                <w:color w:val="auto"/>
                <w:u w:val="none"/>
              </w:rPr>
              <w:t>/</w:t>
            </w:r>
          </w:p>
        </w:tc>
        <w:tc>
          <w:tcPr>
            <w:tcW w:w="1783" w:type="dxa"/>
            <w:tcBorders>
              <w:top w:val="single" w:color="auto" w:sz="4" w:space="0"/>
              <w:left w:val="single" w:color="auto" w:sz="4" w:space="0"/>
              <w:bottom w:val="single" w:color="auto" w:sz="4" w:space="0"/>
              <w:right w:val="single" w:color="auto" w:sz="4" w:space="0"/>
            </w:tcBorders>
            <w:vAlign w:val="center"/>
          </w:tcPr>
          <w:p w14:paraId="48EAFD42">
            <w:pPr>
              <w:keepNext w:val="0"/>
              <w:keepLines w:val="0"/>
              <w:suppressLineNumbers w:val="0"/>
              <w:spacing w:before="0" w:beforeLines="0" w:beforeAutospacing="0" w:after="0" w:afterLines="0" w:afterAutospacing="0"/>
              <w:ind w:left="0" w:leftChars="0" w:right="0" w:rightChars="0"/>
              <w:jc w:val="center"/>
              <w:rPr>
                <w:rFonts w:hint="default" w:ascii="Times New Roman"/>
                <w:color w:val="auto"/>
                <w:u w:val="none"/>
              </w:rPr>
            </w:pPr>
            <w:r>
              <w:rPr>
                <w:rFonts w:hint="eastAsia" w:ascii="Times New Roman" w:hAnsi="Times New Roman"/>
                <w:color w:val="auto"/>
                <w:u w:val="none"/>
              </w:rPr>
              <w:t>/</w:t>
            </w:r>
          </w:p>
        </w:tc>
        <w:tc>
          <w:tcPr>
            <w:tcW w:w="1002" w:type="dxa"/>
            <w:tcBorders>
              <w:top w:val="single" w:color="auto" w:sz="4" w:space="0"/>
              <w:left w:val="single" w:color="auto" w:sz="4" w:space="0"/>
              <w:bottom w:val="single" w:color="auto" w:sz="4" w:space="0"/>
              <w:right w:val="single" w:color="auto" w:sz="8" w:space="0"/>
            </w:tcBorders>
            <w:vAlign w:val="center"/>
          </w:tcPr>
          <w:p w14:paraId="5D556478">
            <w:pPr>
              <w:pStyle w:val="53"/>
              <w:keepNext w:val="0"/>
              <w:keepLines w:val="0"/>
              <w:suppressLineNumbers w:val="0"/>
              <w:spacing w:before="0" w:beforeLines="0" w:beforeAutospacing="0" w:after="0" w:afterLines="0" w:afterAutospacing="0"/>
              <w:ind w:left="0" w:leftChars="0" w:right="0" w:rightChars="0"/>
              <w:rPr>
                <w:rFonts w:hint="default" w:ascii="Times New Roman"/>
                <w:color w:val="auto"/>
                <w:u w:val="none"/>
              </w:rPr>
            </w:pPr>
            <w:r>
              <w:rPr>
                <w:rFonts w:hint="eastAsia" w:ascii="Times New Roman" w:hAnsi="Times New Roman"/>
                <w:color w:val="auto"/>
                <w:u w:val="none"/>
              </w:rPr>
              <w:t>/</w:t>
            </w:r>
          </w:p>
        </w:tc>
      </w:tr>
      <w:tr w14:paraId="76C7FB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tcBorders>
              <w:top w:val="single" w:color="auto" w:sz="4" w:space="0"/>
              <w:left w:val="single" w:color="auto" w:sz="8" w:space="0"/>
              <w:right w:val="single" w:color="auto" w:sz="4" w:space="0"/>
            </w:tcBorders>
            <w:vAlign w:val="center"/>
          </w:tcPr>
          <w:p w14:paraId="2164C426">
            <w:pPr>
              <w:pStyle w:val="53"/>
              <w:keepNext w:val="0"/>
              <w:keepLines w:val="0"/>
              <w:suppressLineNumbers w:val="0"/>
              <w:spacing w:before="0" w:beforeLines="0" w:beforeAutospacing="0" w:after="0" w:afterLines="0" w:afterAutospacing="0"/>
              <w:ind w:left="0" w:right="0"/>
              <w:rPr>
                <w:rFonts w:hint="default" w:ascii="Times New Roman"/>
                <w:color w:val="auto"/>
                <w:kern w:val="0"/>
                <w:szCs w:val="21"/>
                <w:u w:val="none"/>
              </w:rPr>
            </w:pPr>
            <w:r>
              <w:rPr>
                <w:rFonts w:hint="eastAsia" w:ascii="Times New Roman"/>
                <w:color w:val="auto"/>
                <w:u w:val="none"/>
              </w:rPr>
              <w:t>一般工业</w:t>
            </w:r>
          </w:p>
          <w:p w14:paraId="34FC4C42">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color w:val="auto"/>
                <w:u w:val="none"/>
              </w:rPr>
              <w:t>固体废物</w:t>
            </w:r>
          </w:p>
        </w:tc>
        <w:tc>
          <w:tcPr>
            <w:tcW w:w="1417" w:type="dxa"/>
            <w:tcBorders>
              <w:top w:val="single" w:color="auto" w:sz="4" w:space="0"/>
              <w:left w:val="single" w:color="auto" w:sz="4" w:space="0"/>
              <w:bottom w:val="single" w:color="auto" w:sz="4" w:space="0"/>
              <w:right w:val="single" w:color="auto" w:sz="4" w:space="0"/>
            </w:tcBorders>
            <w:vAlign w:val="center"/>
          </w:tcPr>
          <w:p w14:paraId="7538622F">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color w:val="auto"/>
                <w:u w:val="none"/>
              </w:rPr>
              <w:t>生活垃圾</w:t>
            </w:r>
          </w:p>
        </w:tc>
        <w:tc>
          <w:tcPr>
            <w:tcW w:w="1701" w:type="dxa"/>
            <w:tcBorders>
              <w:top w:val="single" w:color="auto" w:sz="4" w:space="0"/>
              <w:left w:val="single" w:color="auto" w:sz="4" w:space="0"/>
              <w:bottom w:val="single" w:color="auto" w:sz="4" w:space="0"/>
              <w:right w:val="single" w:color="auto" w:sz="4" w:space="0"/>
            </w:tcBorders>
            <w:vAlign w:val="center"/>
          </w:tcPr>
          <w:p w14:paraId="04AEE394">
            <w:pPr>
              <w:pStyle w:val="53"/>
              <w:keepNext w:val="0"/>
              <w:keepLines w:val="0"/>
              <w:suppressLineNumbers w:val="0"/>
              <w:spacing w:before="0" w:beforeLines="0" w:beforeAutospacing="0" w:after="0" w:afterLines="0" w:afterAutospacing="0"/>
              <w:ind w:left="0" w:leftChars="0" w:right="0" w:rightChars="0"/>
              <w:rPr>
                <w:rFonts w:hint="default" w:ascii="Times New Roman"/>
                <w:color w:val="auto"/>
                <w:u w:val="none"/>
              </w:rPr>
            </w:pPr>
            <w:r>
              <w:rPr>
                <w:rFonts w:hint="eastAsia" w:ascii="Times New Roman" w:hAnsi="Times New Roman"/>
                <w:color w:val="auto"/>
                <w:u w:val="none"/>
              </w:rPr>
              <w:t>/</w:t>
            </w:r>
          </w:p>
        </w:tc>
        <w:tc>
          <w:tcPr>
            <w:tcW w:w="1276" w:type="dxa"/>
            <w:tcBorders>
              <w:top w:val="single" w:color="auto" w:sz="4" w:space="0"/>
              <w:left w:val="single" w:color="auto" w:sz="4" w:space="0"/>
              <w:bottom w:val="single" w:color="auto" w:sz="4" w:space="0"/>
              <w:right w:val="single" w:color="auto" w:sz="4" w:space="0"/>
            </w:tcBorders>
            <w:vAlign w:val="center"/>
          </w:tcPr>
          <w:p w14:paraId="4D221E11">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hAnsi="Times New Roman"/>
                <w:color w:val="auto"/>
                <w:u w:val="none"/>
              </w:rPr>
              <w:t>/</w:t>
            </w:r>
          </w:p>
        </w:tc>
        <w:tc>
          <w:tcPr>
            <w:tcW w:w="1701" w:type="dxa"/>
            <w:tcBorders>
              <w:top w:val="single" w:color="auto" w:sz="4" w:space="0"/>
              <w:left w:val="single" w:color="auto" w:sz="4" w:space="0"/>
              <w:bottom w:val="single" w:color="auto" w:sz="4" w:space="0"/>
              <w:right w:val="single" w:color="auto" w:sz="4" w:space="0"/>
            </w:tcBorders>
            <w:vAlign w:val="center"/>
          </w:tcPr>
          <w:p w14:paraId="72478A8D">
            <w:pPr>
              <w:pStyle w:val="53"/>
              <w:keepNext w:val="0"/>
              <w:keepLines w:val="0"/>
              <w:suppressLineNumbers w:val="0"/>
              <w:spacing w:before="0" w:beforeLines="0" w:beforeAutospacing="0" w:after="0" w:afterLines="0" w:afterAutospacing="0"/>
              <w:ind w:left="0" w:right="0"/>
              <w:rPr>
                <w:rFonts w:hint="default" w:ascii="Times New Roman"/>
                <w:color w:val="auto"/>
                <w:u w:val="none"/>
              </w:rPr>
            </w:pPr>
            <w:r>
              <w:rPr>
                <w:rFonts w:hint="eastAsia" w:ascii="Times New Roman" w:hAnsi="Times New Roman"/>
                <w:color w:val="auto"/>
                <w:u w:val="none"/>
              </w:rPr>
              <w:t>/</w:t>
            </w:r>
          </w:p>
        </w:tc>
        <w:tc>
          <w:tcPr>
            <w:tcW w:w="1559" w:type="dxa"/>
            <w:tcBorders>
              <w:top w:val="single" w:color="auto" w:sz="4" w:space="0"/>
              <w:left w:val="single" w:color="auto" w:sz="4" w:space="0"/>
              <w:bottom w:val="single" w:color="auto" w:sz="4" w:space="0"/>
              <w:right w:val="single" w:color="auto" w:sz="4" w:space="0"/>
            </w:tcBorders>
            <w:vAlign w:val="center"/>
          </w:tcPr>
          <w:p w14:paraId="435E1BA8">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olor w:val="auto"/>
                <w:u w:val="none"/>
                <w:lang w:val="en-US" w:eastAsia="zh-CN"/>
              </w:rPr>
            </w:pPr>
            <w:r>
              <w:rPr>
                <w:rFonts w:hint="eastAsia" w:ascii="Times New Roman" w:hAnsi="Times New Roman"/>
                <w:color w:val="auto"/>
                <w:u w:val="none"/>
              </w:rPr>
              <w:t>/</w:t>
            </w:r>
          </w:p>
        </w:tc>
        <w:tc>
          <w:tcPr>
            <w:tcW w:w="1761" w:type="dxa"/>
            <w:tcBorders>
              <w:top w:val="single" w:color="auto" w:sz="4" w:space="0"/>
              <w:left w:val="single" w:color="auto" w:sz="4" w:space="0"/>
              <w:bottom w:val="single" w:color="auto" w:sz="4" w:space="0"/>
              <w:right w:val="single" w:color="auto" w:sz="4" w:space="0"/>
            </w:tcBorders>
            <w:vAlign w:val="center"/>
          </w:tcPr>
          <w:p w14:paraId="3BEC8321">
            <w:pPr>
              <w:keepNext w:val="0"/>
              <w:keepLines w:val="0"/>
              <w:suppressLineNumbers w:val="0"/>
              <w:spacing w:before="0" w:beforeLines="0" w:beforeAutospacing="0" w:after="0" w:afterLines="0" w:afterAutospacing="0"/>
              <w:ind w:left="0" w:leftChars="0" w:right="0" w:rightChars="0"/>
              <w:jc w:val="center"/>
              <w:rPr>
                <w:rFonts w:hint="default" w:ascii="Times New Roman"/>
                <w:color w:val="auto"/>
                <w:u w:val="none"/>
              </w:rPr>
            </w:pPr>
            <w:r>
              <w:rPr>
                <w:rFonts w:hint="eastAsia" w:ascii="Times New Roman" w:hAnsi="Times New Roman"/>
                <w:color w:val="auto"/>
                <w:u w:val="none"/>
              </w:rPr>
              <w:t>/</w:t>
            </w:r>
          </w:p>
        </w:tc>
        <w:tc>
          <w:tcPr>
            <w:tcW w:w="1783" w:type="dxa"/>
            <w:tcBorders>
              <w:top w:val="single" w:color="auto" w:sz="4" w:space="0"/>
              <w:left w:val="single" w:color="auto" w:sz="4" w:space="0"/>
              <w:bottom w:val="single" w:color="auto" w:sz="4" w:space="0"/>
              <w:right w:val="single" w:color="auto" w:sz="4" w:space="0"/>
            </w:tcBorders>
            <w:vAlign w:val="center"/>
          </w:tcPr>
          <w:p w14:paraId="292175A1">
            <w:pPr>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color w:val="auto"/>
                <w:u w:val="none"/>
              </w:rPr>
            </w:pPr>
            <w:r>
              <w:rPr>
                <w:rFonts w:hint="eastAsia" w:ascii="Times New Roman" w:hAnsi="Times New Roman"/>
                <w:color w:val="auto"/>
                <w:u w:val="none"/>
              </w:rPr>
              <w:t>/</w:t>
            </w:r>
          </w:p>
        </w:tc>
        <w:tc>
          <w:tcPr>
            <w:tcW w:w="1002" w:type="dxa"/>
            <w:tcBorders>
              <w:top w:val="single" w:color="auto" w:sz="4" w:space="0"/>
              <w:left w:val="single" w:color="auto" w:sz="4" w:space="0"/>
              <w:bottom w:val="single" w:color="auto" w:sz="4" w:space="0"/>
              <w:right w:val="single" w:color="auto" w:sz="8" w:space="0"/>
            </w:tcBorders>
            <w:vAlign w:val="center"/>
          </w:tcPr>
          <w:p w14:paraId="18B5CAB0">
            <w:pPr>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color w:val="auto"/>
                <w:u w:val="none"/>
              </w:rPr>
            </w:pPr>
            <w:r>
              <w:rPr>
                <w:rFonts w:hint="eastAsia" w:ascii="Times New Roman" w:hAnsi="Times New Roman"/>
                <w:color w:val="auto"/>
                <w:u w:val="none"/>
              </w:rPr>
              <w:t>/</w:t>
            </w:r>
          </w:p>
        </w:tc>
      </w:tr>
    </w:tbl>
    <w:p w14:paraId="50FF7031">
      <w:pPr>
        <w:pStyle w:val="53"/>
        <w:spacing w:before="249" w:beforeLines="80" w:after="31"/>
        <w:jc w:val="left"/>
        <w:rPr>
          <w:rFonts w:ascii="黑体" w:hAnsi="黑体" w:eastAsia="黑体"/>
          <w:snapToGrid w:val="0"/>
          <w:color w:val="auto"/>
          <w:sz w:val="30"/>
          <w:szCs w:val="30"/>
          <w:u w:val="none"/>
        </w:rPr>
      </w:pPr>
      <w:r>
        <w:rPr>
          <w:color w:val="auto"/>
          <w:kern w:val="21"/>
          <w:u w:val="none"/>
        </w:rPr>
        <w:t>注：</w:t>
      </w:r>
      <w:r>
        <w:rPr>
          <w:rFonts w:hint="eastAsia"/>
          <w:color w:val="auto"/>
          <w:u w:val="none"/>
        </w:rPr>
        <w:t>⑥</w:t>
      </w:r>
      <w:r>
        <w:rPr>
          <w:rFonts w:ascii="Times New Roman" w:hAnsi="Times New Roman"/>
          <w:color w:val="auto"/>
          <w:spacing w:val="-16"/>
          <w:kern w:val="21"/>
          <w:u w:val="none"/>
        </w:rPr>
        <w:t>=</w:t>
      </w:r>
      <w:r>
        <w:rPr>
          <w:rFonts w:hint="eastAsia"/>
          <w:color w:val="auto"/>
          <w:u w:val="none"/>
        </w:rPr>
        <w:t>①</w:t>
      </w:r>
      <w:r>
        <w:rPr>
          <w:rFonts w:ascii="Times New Roman" w:hAnsi="Times New Roman"/>
          <w:color w:val="auto"/>
          <w:spacing w:val="-6"/>
          <w:kern w:val="21"/>
          <w:u w:val="none"/>
        </w:rPr>
        <w:t>+</w:t>
      </w:r>
      <w:r>
        <w:rPr>
          <w:rFonts w:hint="eastAsia"/>
          <w:color w:val="auto"/>
          <w:u w:val="none"/>
        </w:rPr>
        <w:t>③</w:t>
      </w:r>
      <w:r>
        <w:rPr>
          <w:rFonts w:ascii="Times New Roman" w:hAnsi="Times New Roman"/>
          <w:color w:val="auto"/>
          <w:spacing w:val="-6"/>
          <w:kern w:val="21"/>
          <w:u w:val="none"/>
        </w:rPr>
        <w:t>+</w:t>
      </w:r>
      <w:r>
        <w:rPr>
          <w:rFonts w:hint="eastAsia"/>
          <w:color w:val="auto"/>
          <w:u w:val="none"/>
        </w:rPr>
        <w:t>④</w:t>
      </w:r>
      <w:r>
        <w:rPr>
          <w:rFonts w:ascii="Times New Roman" w:hAnsi="Times New Roman"/>
          <w:color w:val="auto"/>
          <w:spacing w:val="-6"/>
          <w:kern w:val="21"/>
          <w:u w:val="none"/>
        </w:rPr>
        <w:t>-</w:t>
      </w:r>
      <w:r>
        <w:rPr>
          <w:rFonts w:hint="eastAsia"/>
          <w:color w:val="auto"/>
          <w:u w:val="none"/>
        </w:rPr>
        <w:t>⑤</w:t>
      </w:r>
      <w:r>
        <w:rPr>
          <w:color w:val="auto"/>
          <w:spacing w:val="-16"/>
          <w:kern w:val="21"/>
          <w:u w:val="none"/>
        </w:rPr>
        <w:t>；</w:t>
      </w:r>
      <w:r>
        <w:rPr>
          <w:rFonts w:hint="eastAsia"/>
          <w:color w:val="auto"/>
          <w:u w:val="none"/>
        </w:rPr>
        <w:t>⑦</w:t>
      </w:r>
      <w:r>
        <w:rPr>
          <w:rFonts w:ascii="Times New Roman" w:hAnsi="Times New Roman"/>
          <w:color w:val="auto"/>
          <w:spacing w:val="-6"/>
          <w:kern w:val="21"/>
          <w:u w:val="none"/>
        </w:rPr>
        <w:t>=</w:t>
      </w:r>
      <w:r>
        <w:rPr>
          <w:rFonts w:hint="eastAsia"/>
          <w:color w:val="auto"/>
          <w:u w:val="none"/>
        </w:rPr>
        <w:t>⑥</w:t>
      </w:r>
      <w:r>
        <w:rPr>
          <w:rFonts w:ascii="Times New Roman" w:hAnsi="Times New Roman"/>
          <w:color w:val="auto"/>
          <w:spacing w:val="-16"/>
          <w:kern w:val="21"/>
          <w:u w:val="none"/>
        </w:rPr>
        <w:t>-</w:t>
      </w:r>
      <w:r>
        <w:rPr>
          <w:rFonts w:hint="eastAsia"/>
          <w:color w:val="auto"/>
          <w:u w:val="none"/>
        </w:rPr>
        <w:t>①</w:t>
      </w:r>
      <w:r>
        <w:rPr>
          <w:rFonts w:ascii="黑体" w:hAnsi="黑体" w:eastAsia="黑体"/>
          <w:snapToGrid w:val="0"/>
          <w:color w:val="auto"/>
          <w:sz w:val="30"/>
          <w:szCs w:val="30"/>
          <w:u w:val="none"/>
        </w:rPr>
        <w:tab/>
      </w:r>
    </w:p>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新宋体-18030">
    <w:altName w:val="宋体"/>
    <w:panose1 w:val="00000000000000000000"/>
    <w:charset w:val="00"/>
    <w:family w:val="auto"/>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imesNewRomanPSMT">
    <w:altName w:val="Times New Roman"/>
    <w:panose1 w:val="00000000000000000000"/>
    <w:charset w:val="00"/>
    <w:family w:val="roman"/>
    <w:pitch w:val="default"/>
    <w:sig w:usb0="00000000" w:usb1="00000000" w:usb2="00000000" w:usb3="00000000" w:csb0="00000000" w:csb1="00000000"/>
  </w:font>
  <w:font w:name="方正小标宋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0"/>
    <w:family w:val="auto"/>
    <w:pitch w:val="default"/>
    <w:sig w:usb0="00000000" w:usb1="00000000" w:usb2="00000000" w:usb3="00000000" w:csb0="80000000" w:csb1="00000000"/>
  </w:font>
  <w:font w:name="瀹嬩綋">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CIDFont+F2">
    <w:altName w:val="宋体"/>
    <w:panose1 w:val="00000000000000000000"/>
    <w:charset w:val="86"/>
    <w:family w:val="auto"/>
    <w:pitch w:val="default"/>
    <w:sig w:usb0="00000000" w:usb1="00000000" w:usb2="00000010" w:usb3="00000000" w:csb0="00040000" w:csb1="00000000"/>
  </w:font>
  <w:font w:name="CIDFont+F1">
    <w:altName w:val="宋体"/>
    <w:panose1 w:val="00000000000000000000"/>
    <w:charset w:val="86"/>
    <w:family w:val="auto"/>
    <w:pitch w:val="default"/>
    <w:sig w:usb0="00000000" w:usb1="00000000" w:usb2="00000010" w:usb3="00000000" w:csb0="00040000"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F5A635">
    <w:pPr>
      <w:pStyle w:val="17"/>
      <w:jc w:val="center"/>
      <w:rPr>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C65D51">
    <w:pPr>
      <w:pStyle w:val="17"/>
      <w:jc w:val="center"/>
      <w:rPr>
        <w:sz w:val="24"/>
        <w:szCs w:val="24"/>
      </w:rP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75</w:t>
    </w:r>
    <w:r>
      <w:rPr>
        <w:sz w:val="24"/>
        <w:szCs w:val="24"/>
      </w:rPr>
      <w:fldChar w:fldCharType="end"/>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3C7D32"/>
    <w:multiLevelType w:val="singleLevel"/>
    <w:tmpl w:val="893C7D32"/>
    <w:lvl w:ilvl="0" w:tentative="0">
      <w:start w:val="1"/>
      <w:numFmt w:val="decimal"/>
      <w:suff w:val="nothing"/>
      <w:lvlText w:val="%1、"/>
      <w:lvlJc w:val="left"/>
    </w:lvl>
  </w:abstractNum>
  <w:abstractNum w:abstractNumId="1">
    <w:nsid w:val="C850C59D"/>
    <w:multiLevelType w:val="singleLevel"/>
    <w:tmpl w:val="C850C59D"/>
    <w:lvl w:ilvl="0" w:tentative="0">
      <w:start w:val="1"/>
      <w:numFmt w:val="decimal"/>
      <w:suff w:val="nothing"/>
      <w:lvlText w:val="（%1）"/>
      <w:lvlJc w:val="left"/>
    </w:lvl>
  </w:abstractNum>
  <w:abstractNum w:abstractNumId="2">
    <w:nsid w:val="CA2DE686"/>
    <w:multiLevelType w:val="singleLevel"/>
    <w:tmpl w:val="CA2DE686"/>
    <w:lvl w:ilvl="0" w:tentative="0">
      <w:start w:val="3"/>
      <w:numFmt w:val="decimal"/>
      <w:suff w:val="nothing"/>
      <w:lvlText w:val="（%1）"/>
      <w:lvlJc w:val="left"/>
    </w:lvl>
  </w:abstractNum>
  <w:abstractNum w:abstractNumId="3">
    <w:nsid w:val="D5AB8007"/>
    <w:multiLevelType w:val="singleLevel"/>
    <w:tmpl w:val="D5AB8007"/>
    <w:lvl w:ilvl="0" w:tentative="0">
      <w:start w:val="1"/>
      <w:numFmt w:val="bullet"/>
      <w:pStyle w:val="14"/>
      <w:lvlText w:val=""/>
      <w:lvlJc w:val="left"/>
      <w:pPr>
        <w:tabs>
          <w:tab w:val="left" w:pos="2040"/>
        </w:tabs>
        <w:ind w:left="2040" w:hanging="360"/>
      </w:pPr>
      <w:rPr>
        <w:rFonts w:hint="default" w:ascii="Wingdings" w:hAnsi="Wingdings"/>
      </w:rPr>
    </w:lvl>
  </w:abstractNum>
  <w:abstractNum w:abstractNumId="4">
    <w:nsid w:val="DC6D4FE2"/>
    <w:multiLevelType w:val="singleLevel"/>
    <w:tmpl w:val="DC6D4FE2"/>
    <w:lvl w:ilvl="0" w:tentative="0">
      <w:start w:val="1"/>
      <w:numFmt w:val="decimal"/>
      <w:suff w:val="nothing"/>
      <w:lvlText w:val="%1）"/>
      <w:lvlJc w:val="left"/>
    </w:lvl>
  </w:abstractNum>
  <w:abstractNum w:abstractNumId="5">
    <w:nsid w:val="E09B94C2"/>
    <w:multiLevelType w:val="singleLevel"/>
    <w:tmpl w:val="E09B94C2"/>
    <w:lvl w:ilvl="0" w:tentative="0">
      <w:start w:val="2"/>
      <w:numFmt w:val="decimal"/>
      <w:suff w:val="nothing"/>
      <w:lvlText w:val="%1）"/>
      <w:lvlJc w:val="left"/>
    </w:lvl>
  </w:abstractNum>
  <w:abstractNum w:abstractNumId="6">
    <w:nsid w:val="FFF2CD93"/>
    <w:multiLevelType w:val="singleLevel"/>
    <w:tmpl w:val="FFF2CD93"/>
    <w:lvl w:ilvl="0" w:tentative="0">
      <w:start w:val="1"/>
      <w:numFmt w:val="decimal"/>
      <w:suff w:val="nothing"/>
      <w:lvlText w:val="%1）"/>
      <w:lvlJc w:val="left"/>
    </w:lvl>
  </w:abstractNum>
  <w:abstractNum w:abstractNumId="7">
    <w:nsid w:val="05A21240"/>
    <w:multiLevelType w:val="singleLevel"/>
    <w:tmpl w:val="05A21240"/>
    <w:lvl w:ilvl="0" w:tentative="0">
      <w:start w:val="3"/>
      <w:numFmt w:val="decimal"/>
      <w:suff w:val="nothing"/>
      <w:lvlText w:val="%1）"/>
      <w:lvlJc w:val="left"/>
    </w:lvl>
  </w:abstractNum>
  <w:abstractNum w:abstractNumId="8">
    <w:nsid w:val="2DCF0B75"/>
    <w:multiLevelType w:val="multilevel"/>
    <w:tmpl w:val="2DCF0B75"/>
    <w:lvl w:ilvl="0" w:tentative="0">
      <w:start w:val="1"/>
      <w:numFmt w:val="decimal"/>
      <w:pStyle w:val="83"/>
      <w:lvlText w:val="表2-%1  "/>
      <w:lvlJc w:val="center"/>
      <w:pPr>
        <w:ind w:left="900" w:hanging="420"/>
      </w:pPr>
      <w:rPr>
        <w:rFonts w:hint="eastAsia"/>
        <w:sz w:val="21"/>
        <w:szCs w:val="21"/>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3"/>
  </w:num>
  <w:num w:numId="2">
    <w:abstractNumId w:val="8"/>
  </w:num>
  <w:num w:numId="3">
    <w:abstractNumId w:val="2"/>
  </w:num>
  <w:num w:numId="4">
    <w:abstractNumId w:val="4"/>
  </w:num>
  <w:num w:numId="5">
    <w:abstractNumId w:val="0"/>
  </w:num>
  <w:num w:numId="6">
    <w:abstractNumId w:val="7"/>
  </w:num>
  <w:num w:numId="7">
    <w:abstractNumId w:val="6"/>
  </w:num>
  <w:num w:numId="8">
    <w:abstractNumId w:val="5"/>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wNTM5NzYwMDRjMzkwZTVkZjY2ODkwMGIxNGU0OTUifQ=="/>
    <w:docVar w:name="KSO_WPS_MARK_KEY" w:val="7dde68b9-dc68-427c-af92-6454e4a3ce39"/>
  </w:docVars>
  <w:rsids>
    <w:rsidRoot w:val="00172A27"/>
    <w:rsid w:val="000001D3"/>
    <w:rsid w:val="00001143"/>
    <w:rsid w:val="00001618"/>
    <w:rsid w:val="000028DF"/>
    <w:rsid w:val="00002AA3"/>
    <w:rsid w:val="00002F29"/>
    <w:rsid w:val="0000405A"/>
    <w:rsid w:val="000040C7"/>
    <w:rsid w:val="00004B17"/>
    <w:rsid w:val="00004BC3"/>
    <w:rsid w:val="00005069"/>
    <w:rsid w:val="000056F4"/>
    <w:rsid w:val="00005EC7"/>
    <w:rsid w:val="00005FD4"/>
    <w:rsid w:val="000064ED"/>
    <w:rsid w:val="000069C8"/>
    <w:rsid w:val="00007D9E"/>
    <w:rsid w:val="00007F2C"/>
    <w:rsid w:val="0001032E"/>
    <w:rsid w:val="0001079B"/>
    <w:rsid w:val="000107FD"/>
    <w:rsid w:val="00010C34"/>
    <w:rsid w:val="00011945"/>
    <w:rsid w:val="0001194F"/>
    <w:rsid w:val="00011D96"/>
    <w:rsid w:val="00012929"/>
    <w:rsid w:val="00012BDD"/>
    <w:rsid w:val="00014EA9"/>
    <w:rsid w:val="00015109"/>
    <w:rsid w:val="000158DC"/>
    <w:rsid w:val="00015AC3"/>
    <w:rsid w:val="00016344"/>
    <w:rsid w:val="0001651C"/>
    <w:rsid w:val="000174DF"/>
    <w:rsid w:val="000176F5"/>
    <w:rsid w:val="00017E65"/>
    <w:rsid w:val="00017E98"/>
    <w:rsid w:val="00020F45"/>
    <w:rsid w:val="000218CE"/>
    <w:rsid w:val="00021A66"/>
    <w:rsid w:val="00022F60"/>
    <w:rsid w:val="000241CC"/>
    <w:rsid w:val="0002477F"/>
    <w:rsid w:val="00025CC9"/>
    <w:rsid w:val="000263DB"/>
    <w:rsid w:val="00026DAA"/>
    <w:rsid w:val="0002732D"/>
    <w:rsid w:val="00027D7A"/>
    <w:rsid w:val="0003008B"/>
    <w:rsid w:val="000304ED"/>
    <w:rsid w:val="00030A04"/>
    <w:rsid w:val="00030CD0"/>
    <w:rsid w:val="00031000"/>
    <w:rsid w:val="0003159B"/>
    <w:rsid w:val="000316CD"/>
    <w:rsid w:val="00031C26"/>
    <w:rsid w:val="00032929"/>
    <w:rsid w:val="00032932"/>
    <w:rsid w:val="00032C1C"/>
    <w:rsid w:val="00032C54"/>
    <w:rsid w:val="0003570C"/>
    <w:rsid w:val="000359DF"/>
    <w:rsid w:val="000363A2"/>
    <w:rsid w:val="00040660"/>
    <w:rsid w:val="000412F1"/>
    <w:rsid w:val="0004201D"/>
    <w:rsid w:val="0004241B"/>
    <w:rsid w:val="0004391C"/>
    <w:rsid w:val="000448EC"/>
    <w:rsid w:val="00045B23"/>
    <w:rsid w:val="00046F03"/>
    <w:rsid w:val="00047367"/>
    <w:rsid w:val="000504E1"/>
    <w:rsid w:val="0005058C"/>
    <w:rsid w:val="00052097"/>
    <w:rsid w:val="000524DB"/>
    <w:rsid w:val="00053456"/>
    <w:rsid w:val="00053B36"/>
    <w:rsid w:val="00054155"/>
    <w:rsid w:val="00054266"/>
    <w:rsid w:val="00054A35"/>
    <w:rsid w:val="00054E42"/>
    <w:rsid w:val="00055ABD"/>
    <w:rsid w:val="00055AC5"/>
    <w:rsid w:val="00055CF4"/>
    <w:rsid w:val="0005600C"/>
    <w:rsid w:val="0005666A"/>
    <w:rsid w:val="00056717"/>
    <w:rsid w:val="00056C2F"/>
    <w:rsid w:val="00057711"/>
    <w:rsid w:val="00057ABE"/>
    <w:rsid w:val="00057FE0"/>
    <w:rsid w:val="00060687"/>
    <w:rsid w:val="00060BF1"/>
    <w:rsid w:val="00061CD8"/>
    <w:rsid w:val="00062C88"/>
    <w:rsid w:val="000643B9"/>
    <w:rsid w:val="000653FF"/>
    <w:rsid w:val="00065461"/>
    <w:rsid w:val="00065A8E"/>
    <w:rsid w:val="0006666F"/>
    <w:rsid w:val="000668F9"/>
    <w:rsid w:val="0006694D"/>
    <w:rsid w:val="00066A7F"/>
    <w:rsid w:val="00066BDA"/>
    <w:rsid w:val="000704F1"/>
    <w:rsid w:val="00072831"/>
    <w:rsid w:val="00073C25"/>
    <w:rsid w:val="000764DC"/>
    <w:rsid w:val="000769D8"/>
    <w:rsid w:val="00076AAE"/>
    <w:rsid w:val="00080743"/>
    <w:rsid w:val="00081EB7"/>
    <w:rsid w:val="00081F76"/>
    <w:rsid w:val="00083966"/>
    <w:rsid w:val="00085E84"/>
    <w:rsid w:val="000865E9"/>
    <w:rsid w:val="00086642"/>
    <w:rsid w:val="00086A24"/>
    <w:rsid w:val="00086E3C"/>
    <w:rsid w:val="00086E6A"/>
    <w:rsid w:val="00087659"/>
    <w:rsid w:val="00087F95"/>
    <w:rsid w:val="000909F6"/>
    <w:rsid w:val="00091AA1"/>
    <w:rsid w:val="00092EB2"/>
    <w:rsid w:val="000940FC"/>
    <w:rsid w:val="0009413E"/>
    <w:rsid w:val="000945A5"/>
    <w:rsid w:val="0009463E"/>
    <w:rsid w:val="00095CC3"/>
    <w:rsid w:val="0009716B"/>
    <w:rsid w:val="00097819"/>
    <w:rsid w:val="000A174A"/>
    <w:rsid w:val="000A1FBF"/>
    <w:rsid w:val="000A2585"/>
    <w:rsid w:val="000A2B2D"/>
    <w:rsid w:val="000A2B50"/>
    <w:rsid w:val="000A2C53"/>
    <w:rsid w:val="000A2CDE"/>
    <w:rsid w:val="000A3C4E"/>
    <w:rsid w:val="000A425C"/>
    <w:rsid w:val="000A49CE"/>
    <w:rsid w:val="000A53A3"/>
    <w:rsid w:val="000A5819"/>
    <w:rsid w:val="000A5A21"/>
    <w:rsid w:val="000A5FDA"/>
    <w:rsid w:val="000A62C5"/>
    <w:rsid w:val="000A6D35"/>
    <w:rsid w:val="000A709C"/>
    <w:rsid w:val="000B011E"/>
    <w:rsid w:val="000B0354"/>
    <w:rsid w:val="000B1715"/>
    <w:rsid w:val="000B1EE2"/>
    <w:rsid w:val="000B2063"/>
    <w:rsid w:val="000B2256"/>
    <w:rsid w:val="000B3BF1"/>
    <w:rsid w:val="000B404A"/>
    <w:rsid w:val="000B5518"/>
    <w:rsid w:val="000B5545"/>
    <w:rsid w:val="000B58CA"/>
    <w:rsid w:val="000B5B4A"/>
    <w:rsid w:val="000B62D2"/>
    <w:rsid w:val="000B6BE0"/>
    <w:rsid w:val="000B7ADD"/>
    <w:rsid w:val="000C0ABF"/>
    <w:rsid w:val="000C11DC"/>
    <w:rsid w:val="000C19C7"/>
    <w:rsid w:val="000C2BA9"/>
    <w:rsid w:val="000C3DB1"/>
    <w:rsid w:val="000C4121"/>
    <w:rsid w:val="000C4C12"/>
    <w:rsid w:val="000C638F"/>
    <w:rsid w:val="000C69B7"/>
    <w:rsid w:val="000C7285"/>
    <w:rsid w:val="000C7A9C"/>
    <w:rsid w:val="000D024D"/>
    <w:rsid w:val="000D035E"/>
    <w:rsid w:val="000D0C21"/>
    <w:rsid w:val="000D11AA"/>
    <w:rsid w:val="000D233B"/>
    <w:rsid w:val="000D2620"/>
    <w:rsid w:val="000D3907"/>
    <w:rsid w:val="000D417E"/>
    <w:rsid w:val="000D4208"/>
    <w:rsid w:val="000D6360"/>
    <w:rsid w:val="000D7224"/>
    <w:rsid w:val="000E0CEF"/>
    <w:rsid w:val="000E1C51"/>
    <w:rsid w:val="000E25A4"/>
    <w:rsid w:val="000E3E0A"/>
    <w:rsid w:val="000E55E0"/>
    <w:rsid w:val="000E6455"/>
    <w:rsid w:val="000E7149"/>
    <w:rsid w:val="000E7800"/>
    <w:rsid w:val="000E7ACC"/>
    <w:rsid w:val="000E7CBF"/>
    <w:rsid w:val="000F0FFC"/>
    <w:rsid w:val="000F1E0E"/>
    <w:rsid w:val="000F1FED"/>
    <w:rsid w:val="000F2960"/>
    <w:rsid w:val="000F355D"/>
    <w:rsid w:val="000F39C2"/>
    <w:rsid w:val="000F4326"/>
    <w:rsid w:val="000F439F"/>
    <w:rsid w:val="000F4A87"/>
    <w:rsid w:val="000F5354"/>
    <w:rsid w:val="000F5812"/>
    <w:rsid w:val="000F5EDB"/>
    <w:rsid w:val="000F6397"/>
    <w:rsid w:val="000F6BD8"/>
    <w:rsid w:val="000F7491"/>
    <w:rsid w:val="000F7C8C"/>
    <w:rsid w:val="000F7F85"/>
    <w:rsid w:val="001000A2"/>
    <w:rsid w:val="001000E5"/>
    <w:rsid w:val="0010028B"/>
    <w:rsid w:val="001015BF"/>
    <w:rsid w:val="0010166E"/>
    <w:rsid w:val="00103D0B"/>
    <w:rsid w:val="001055A8"/>
    <w:rsid w:val="0010579F"/>
    <w:rsid w:val="0010603F"/>
    <w:rsid w:val="00106D48"/>
    <w:rsid w:val="00107C4D"/>
    <w:rsid w:val="00110F6C"/>
    <w:rsid w:val="001113B1"/>
    <w:rsid w:val="001113BA"/>
    <w:rsid w:val="00111CDC"/>
    <w:rsid w:val="00112300"/>
    <w:rsid w:val="00112AF9"/>
    <w:rsid w:val="00113711"/>
    <w:rsid w:val="00113852"/>
    <w:rsid w:val="001139EA"/>
    <w:rsid w:val="00113D97"/>
    <w:rsid w:val="00114561"/>
    <w:rsid w:val="001163E2"/>
    <w:rsid w:val="00116AA1"/>
    <w:rsid w:val="00117266"/>
    <w:rsid w:val="001176DE"/>
    <w:rsid w:val="00117CDB"/>
    <w:rsid w:val="00117E75"/>
    <w:rsid w:val="00122FE9"/>
    <w:rsid w:val="00123CB4"/>
    <w:rsid w:val="001244F8"/>
    <w:rsid w:val="00124BC1"/>
    <w:rsid w:val="001251FB"/>
    <w:rsid w:val="00126042"/>
    <w:rsid w:val="001265E5"/>
    <w:rsid w:val="00126EE4"/>
    <w:rsid w:val="00127333"/>
    <w:rsid w:val="00127725"/>
    <w:rsid w:val="00130A5D"/>
    <w:rsid w:val="00131921"/>
    <w:rsid w:val="00131986"/>
    <w:rsid w:val="001319B1"/>
    <w:rsid w:val="0013233D"/>
    <w:rsid w:val="001328DF"/>
    <w:rsid w:val="00132F6C"/>
    <w:rsid w:val="00133559"/>
    <w:rsid w:val="00133D83"/>
    <w:rsid w:val="00134AF4"/>
    <w:rsid w:val="00134EDE"/>
    <w:rsid w:val="00134F02"/>
    <w:rsid w:val="0013724C"/>
    <w:rsid w:val="001373C6"/>
    <w:rsid w:val="00137655"/>
    <w:rsid w:val="001404A3"/>
    <w:rsid w:val="001411D7"/>
    <w:rsid w:val="00141C54"/>
    <w:rsid w:val="0014342B"/>
    <w:rsid w:val="0014462F"/>
    <w:rsid w:val="001452A5"/>
    <w:rsid w:val="00145B5D"/>
    <w:rsid w:val="00146187"/>
    <w:rsid w:val="00146D83"/>
    <w:rsid w:val="00146EF9"/>
    <w:rsid w:val="0014793E"/>
    <w:rsid w:val="00147A21"/>
    <w:rsid w:val="0015072A"/>
    <w:rsid w:val="00150AF1"/>
    <w:rsid w:val="00151070"/>
    <w:rsid w:val="001513BD"/>
    <w:rsid w:val="0015183C"/>
    <w:rsid w:val="00151AC9"/>
    <w:rsid w:val="00153197"/>
    <w:rsid w:val="00153421"/>
    <w:rsid w:val="001538F4"/>
    <w:rsid w:val="00153AA2"/>
    <w:rsid w:val="00154151"/>
    <w:rsid w:val="001547B9"/>
    <w:rsid w:val="00154931"/>
    <w:rsid w:val="00155DFF"/>
    <w:rsid w:val="001561BF"/>
    <w:rsid w:val="0015651B"/>
    <w:rsid w:val="00160005"/>
    <w:rsid w:val="001621AB"/>
    <w:rsid w:val="001621DF"/>
    <w:rsid w:val="00162523"/>
    <w:rsid w:val="001625E4"/>
    <w:rsid w:val="00162BBF"/>
    <w:rsid w:val="001630EE"/>
    <w:rsid w:val="001647B4"/>
    <w:rsid w:val="0016666B"/>
    <w:rsid w:val="0016670D"/>
    <w:rsid w:val="001675EF"/>
    <w:rsid w:val="0016773C"/>
    <w:rsid w:val="0017131E"/>
    <w:rsid w:val="00171DB2"/>
    <w:rsid w:val="001728A8"/>
    <w:rsid w:val="001731D0"/>
    <w:rsid w:val="0017335A"/>
    <w:rsid w:val="00173932"/>
    <w:rsid w:val="00173D1D"/>
    <w:rsid w:val="0017491B"/>
    <w:rsid w:val="00174E6C"/>
    <w:rsid w:val="00176966"/>
    <w:rsid w:val="00176AD4"/>
    <w:rsid w:val="001772E5"/>
    <w:rsid w:val="00177614"/>
    <w:rsid w:val="001806D4"/>
    <w:rsid w:val="0018098F"/>
    <w:rsid w:val="00181723"/>
    <w:rsid w:val="00181DB9"/>
    <w:rsid w:val="00182C4D"/>
    <w:rsid w:val="00183177"/>
    <w:rsid w:val="00183C58"/>
    <w:rsid w:val="001841B1"/>
    <w:rsid w:val="00184404"/>
    <w:rsid w:val="001857A1"/>
    <w:rsid w:val="00185DD3"/>
    <w:rsid w:val="00186124"/>
    <w:rsid w:val="00186C69"/>
    <w:rsid w:val="001878EB"/>
    <w:rsid w:val="00187B92"/>
    <w:rsid w:val="0019022E"/>
    <w:rsid w:val="00190E87"/>
    <w:rsid w:val="00192018"/>
    <w:rsid w:val="00192369"/>
    <w:rsid w:val="00192A91"/>
    <w:rsid w:val="00192E7F"/>
    <w:rsid w:val="00192E9E"/>
    <w:rsid w:val="00192FC3"/>
    <w:rsid w:val="0019321F"/>
    <w:rsid w:val="001937D6"/>
    <w:rsid w:val="00193EB1"/>
    <w:rsid w:val="00194557"/>
    <w:rsid w:val="00194DCB"/>
    <w:rsid w:val="001969FC"/>
    <w:rsid w:val="00196EF5"/>
    <w:rsid w:val="00197AD5"/>
    <w:rsid w:val="001A080F"/>
    <w:rsid w:val="001A0FF9"/>
    <w:rsid w:val="001A2587"/>
    <w:rsid w:val="001A29DB"/>
    <w:rsid w:val="001A2AEE"/>
    <w:rsid w:val="001A2C08"/>
    <w:rsid w:val="001A2CC9"/>
    <w:rsid w:val="001A421A"/>
    <w:rsid w:val="001A4BD0"/>
    <w:rsid w:val="001A51EE"/>
    <w:rsid w:val="001A547D"/>
    <w:rsid w:val="001A565D"/>
    <w:rsid w:val="001A58B2"/>
    <w:rsid w:val="001A591E"/>
    <w:rsid w:val="001A66E7"/>
    <w:rsid w:val="001A6714"/>
    <w:rsid w:val="001A69B2"/>
    <w:rsid w:val="001A6A8E"/>
    <w:rsid w:val="001A6EC9"/>
    <w:rsid w:val="001A7C3F"/>
    <w:rsid w:val="001B0210"/>
    <w:rsid w:val="001B0AD2"/>
    <w:rsid w:val="001B137E"/>
    <w:rsid w:val="001B162B"/>
    <w:rsid w:val="001B1AE4"/>
    <w:rsid w:val="001B1B58"/>
    <w:rsid w:val="001B1D25"/>
    <w:rsid w:val="001B20A0"/>
    <w:rsid w:val="001B39A9"/>
    <w:rsid w:val="001B44FD"/>
    <w:rsid w:val="001B45F6"/>
    <w:rsid w:val="001B4EAE"/>
    <w:rsid w:val="001B4F4B"/>
    <w:rsid w:val="001B5679"/>
    <w:rsid w:val="001B6569"/>
    <w:rsid w:val="001C1DAD"/>
    <w:rsid w:val="001C1F4F"/>
    <w:rsid w:val="001C250A"/>
    <w:rsid w:val="001C2665"/>
    <w:rsid w:val="001C277D"/>
    <w:rsid w:val="001C2C91"/>
    <w:rsid w:val="001C2D5F"/>
    <w:rsid w:val="001C2E16"/>
    <w:rsid w:val="001C2EFF"/>
    <w:rsid w:val="001C3035"/>
    <w:rsid w:val="001C333B"/>
    <w:rsid w:val="001C412E"/>
    <w:rsid w:val="001C4ACF"/>
    <w:rsid w:val="001C5004"/>
    <w:rsid w:val="001C51DB"/>
    <w:rsid w:val="001C5556"/>
    <w:rsid w:val="001C5D8E"/>
    <w:rsid w:val="001C64D7"/>
    <w:rsid w:val="001C7CF3"/>
    <w:rsid w:val="001C7D7A"/>
    <w:rsid w:val="001D0587"/>
    <w:rsid w:val="001D0627"/>
    <w:rsid w:val="001D146F"/>
    <w:rsid w:val="001D14C2"/>
    <w:rsid w:val="001D186D"/>
    <w:rsid w:val="001D22F1"/>
    <w:rsid w:val="001D25F1"/>
    <w:rsid w:val="001D2E6D"/>
    <w:rsid w:val="001D32C1"/>
    <w:rsid w:val="001D3B5C"/>
    <w:rsid w:val="001D3B8B"/>
    <w:rsid w:val="001D4B96"/>
    <w:rsid w:val="001D4D23"/>
    <w:rsid w:val="001D579C"/>
    <w:rsid w:val="001D6824"/>
    <w:rsid w:val="001D6F95"/>
    <w:rsid w:val="001D6FA3"/>
    <w:rsid w:val="001D7D74"/>
    <w:rsid w:val="001E0F7A"/>
    <w:rsid w:val="001E1224"/>
    <w:rsid w:val="001E1DCD"/>
    <w:rsid w:val="001E31C7"/>
    <w:rsid w:val="001E34A3"/>
    <w:rsid w:val="001E55FF"/>
    <w:rsid w:val="001E636D"/>
    <w:rsid w:val="001E7E64"/>
    <w:rsid w:val="001E7F23"/>
    <w:rsid w:val="001F0310"/>
    <w:rsid w:val="001F0AA8"/>
    <w:rsid w:val="001F0ABE"/>
    <w:rsid w:val="001F0B01"/>
    <w:rsid w:val="001F11D9"/>
    <w:rsid w:val="001F1683"/>
    <w:rsid w:val="001F18D9"/>
    <w:rsid w:val="001F2178"/>
    <w:rsid w:val="001F2A12"/>
    <w:rsid w:val="001F36E1"/>
    <w:rsid w:val="001F4B79"/>
    <w:rsid w:val="00200A85"/>
    <w:rsid w:val="002018C1"/>
    <w:rsid w:val="00201A8A"/>
    <w:rsid w:val="00201C10"/>
    <w:rsid w:val="00202210"/>
    <w:rsid w:val="00202FAD"/>
    <w:rsid w:val="00203375"/>
    <w:rsid w:val="00203942"/>
    <w:rsid w:val="002040AE"/>
    <w:rsid w:val="00205A5A"/>
    <w:rsid w:val="00205D34"/>
    <w:rsid w:val="0020627F"/>
    <w:rsid w:val="002071CA"/>
    <w:rsid w:val="00207BB5"/>
    <w:rsid w:val="0021048E"/>
    <w:rsid w:val="0021084E"/>
    <w:rsid w:val="00210FBB"/>
    <w:rsid w:val="00211184"/>
    <w:rsid w:val="002117E7"/>
    <w:rsid w:val="00212095"/>
    <w:rsid w:val="002121E9"/>
    <w:rsid w:val="00213888"/>
    <w:rsid w:val="00215987"/>
    <w:rsid w:val="00216108"/>
    <w:rsid w:val="00216660"/>
    <w:rsid w:val="00216971"/>
    <w:rsid w:val="00216B2A"/>
    <w:rsid w:val="002230BB"/>
    <w:rsid w:val="00223BBC"/>
    <w:rsid w:val="00224233"/>
    <w:rsid w:val="00224823"/>
    <w:rsid w:val="00224FF9"/>
    <w:rsid w:val="00225478"/>
    <w:rsid w:val="00225BA5"/>
    <w:rsid w:val="00225EB1"/>
    <w:rsid w:val="0022655D"/>
    <w:rsid w:val="0022732D"/>
    <w:rsid w:val="00231103"/>
    <w:rsid w:val="00231399"/>
    <w:rsid w:val="002324BA"/>
    <w:rsid w:val="00233D32"/>
    <w:rsid w:val="00234895"/>
    <w:rsid w:val="00234AA7"/>
    <w:rsid w:val="00234F9C"/>
    <w:rsid w:val="0023550C"/>
    <w:rsid w:val="002365B3"/>
    <w:rsid w:val="00236ED4"/>
    <w:rsid w:val="00237535"/>
    <w:rsid w:val="002403A9"/>
    <w:rsid w:val="00240650"/>
    <w:rsid w:val="002406D1"/>
    <w:rsid w:val="002407BE"/>
    <w:rsid w:val="00240BDF"/>
    <w:rsid w:val="00240D13"/>
    <w:rsid w:val="00240D62"/>
    <w:rsid w:val="00241229"/>
    <w:rsid w:val="00242841"/>
    <w:rsid w:val="00243AB1"/>
    <w:rsid w:val="00243B43"/>
    <w:rsid w:val="00244F06"/>
    <w:rsid w:val="002459B5"/>
    <w:rsid w:val="00245B7F"/>
    <w:rsid w:val="002467EA"/>
    <w:rsid w:val="0024775D"/>
    <w:rsid w:val="002500AF"/>
    <w:rsid w:val="00251514"/>
    <w:rsid w:val="00251888"/>
    <w:rsid w:val="00252DD6"/>
    <w:rsid w:val="00254EA8"/>
    <w:rsid w:val="00255E95"/>
    <w:rsid w:val="002563B9"/>
    <w:rsid w:val="0025758D"/>
    <w:rsid w:val="0025796B"/>
    <w:rsid w:val="00260EF6"/>
    <w:rsid w:val="00261C57"/>
    <w:rsid w:val="00261E42"/>
    <w:rsid w:val="00262B05"/>
    <w:rsid w:val="00262BBE"/>
    <w:rsid w:val="00262E14"/>
    <w:rsid w:val="00264E16"/>
    <w:rsid w:val="002655C4"/>
    <w:rsid w:val="00265D16"/>
    <w:rsid w:val="0026616A"/>
    <w:rsid w:val="002664C8"/>
    <w:rsid w:val="00266CE5"/>
    <w:rsid w:val="00267760"/>
    <w:rsid w:val="00270B03"/>
    <w:rsid w:val="00272A1A"/>
    <w:rsid w:val="00272E9E"/>
    <w:rsid w:val="00273391"/>
    <w:rsid w:val="0027379D"/>
    <w:rsid w:val="00275A2B"/>
    <w:rsid w:val="00276011"/>
    <w:rsid w:val="00277A28"/>
    <w:rsid w:val="00277B0C"/>
    <w:rsid w:val="002802E1"/>
    <w:rsid w:val="002835B3"/>
    <w:rsid w:val="002835E7"/>
    <w:rsid w:val="002850A3"/>
    <w:rsid w:val="002857EB"/>
    <w:rsid w:val="00285B15"/>
    <w:rsid w:val="00286854"/>
    <w:rsid w:val="00287546"/>
    <w:rsid w:val="00287FEE"/>
    <w:rsid w:val="002900ED"/>
    <w:rsid w:val="002914D6"/>
    <w:rsid w:val="00291673"/>
    <w:rsid w:val="0029233D"/>
    <w:rsid w:val="00292429"/>
    <w:rsid w:val="00292447"/>
    <w:rsid w:val="00292624"/>
    <w:rsid w:val="002931DA"/>
    <w:rsid w:val="00293A0E"/>
    <w:rsid w:val="00293E72"/>
    <w:rsid w:val="0029439F"/>
    <w:rsid w:val="002943E0"/>
    <w:rsid w:val="0029512A"/>
    <w:rsid w:val="0029579C"/>
    <w:rsid w:val="002977A6"/>
    <w:rsid w:val="002A0322"/>
    <w:rsid w:val="002A0650"/>
    <w:rsid w:val="002A1E6E"/>
    <w:rsid w:val="002A1E92"/>
    <w:rsid w:val="002A2B1D"/>
    <w:rsid w:val="002A3554"/>
    <w:rsid w:val="002A3877"/>
    <w:rsid w:val="002A3929"/>
    <w:rsid w:val="002A407B"/>
    <w:rsid w:val="002A4313"/>
    <w:rsid w:val="002A4924"/>
    <w:rsid w:val="002A54B8"/>
    <w:rsid w:val="002A61DA"/>
    <w:rsid w:val="002A62F1"/>
    <w:rsid w:val="002A6554"/>
    <w:rsid w:val="002A7809"/>
    <w:rsid w:val="002A7D39"/>
    <w:rsid w:val="002A7FA6"/>
    <w:rsid w:val="002B0A62"/>
    <w:rsid w:val="002B1222"/>
    <w:rsid w:val="002B1F62"/>
    <w:rsid w:val="002B2423"/>
    <w:rsid w:val="002B2568"/>
    <w:rsid w:val="002B25BC"/>
    <w:rsid w:val="002B272F"/>
    <w:rsid w:val="002B2D40"/>
    <w:rsid w:val="002B3293"/>
    <w:rsid w:val="002B3746"/>
    <w:rsid w:val="002B3BB4"/>
    <w:rsid w:val="002B41D1"/>
    <w:rsid w:val="002B4CE6"/>
    <w:rsid w:val="002B53AA"/>
    <w:rsid w:val="002B5B42"/>
    <w:rsid w:val="002B706E"/>
    <w:rsid w:val="002C00CC"/>
    <w:rsid w:val="002C0324"/>
    <w:rsid w:val="002C0AE7"/>
    <w:rsid w:val="002C16F9"/>
    <w:rsid w:val="002C1AC1"/>
    <w:rsid w:val="002C1BA2"/>
    <w:rsid w:val="002C2395"/>
    <w:rsid w:val="002C2F49"/>
    <w:rsid w:val="002C309F"/>
    <w:rsid w:val="002C36C5"/>
    <w:rsid w:val="002C3CF0"/>
    <w:rsid w:val="002C43A6"/>
    <w:rsid w:val="002C6BD2"/>
    <w:rsid w:val="002C75C7"/>
    <w:rsid w:val="002C76CF"/>
    <w:rsid w:val="002D03AA"/>
    <w:rsid w:val="002D0E50"/>
    <w:rsid w:val="002D153B"/>
    <w:rsid w:val="002D19A9"/>
    <w:rsid w:val="002D23B1"/>
    <w:rsid w:val="002D280B"/>
    <w:rsid w:val="002D33B8"/>
    <w:rsid w:val="002D3473"/>
    <w:rsid w:val="002D41C6"/>
    <w:rsid w:val="002D4566"/>
    <w:rsid w:val="002D4810"/>
    <w:rsid w:val="002D5129"/>
    <w:rsid w:val="002D55E1"/>
    <w:rsid w:val="002D5B28"/>
    <w:rsid w:val="002D5ED6"/>
    <w:rsid w:val="002D618F"/>
    <w:rsid w:val="002E0474"/>
    <w:rsid w:val="002E0614"/>
    <w:rsid w:val="002E0F0A"/>
    <w:rsid w:val="002E0F82"/>
    <w:rsid w:val="002E105B"/>
    <w:rsid w:val="002E1296"/>
    <w:rsid w:val="002E3C0B"/>
    <w:rsid w:val="002E4014"/>
    <w:rsid w:val="002E4481"/>
    <w:rsid w:val="002E4763"/>
    <w:rsid w:val="002E4C06"/>
    <w:rsid w:val="002E58C9"/>
    <w:rsid w:val="002E5A66"/>
    <w:rsid w:val="002E611F"/>
    <w:rsid w:val="002E63A9"/>
    <w:rsid w:val="002E65E8"/>
    <w:rsid w:val="002E6B2E"/>
    <w:rsid w:val="002E6D1C"/>
    <w:rsid w:val="002E6D83"/>
    <w:rsid w:val="002E7462"/>
    <w:rsid w:val="002E749D"/>
    <w:rsid w:val="002E75A3"/>
    <w:rsid w:val="002E7731"/>
    <w:rsid w:val="002F26F6"/>
    <w:rsid w:val="002F3F26"/>
    <w:rsid w:val="002F45F9"/>
    <w:rsid w:val="002F48FC"/>
    <w:rsid w:val="002F4E5B"/>
    <w:rsid w:val="002F50B4"/>
    <w:rsid w:val="002F5C08"/>
    <w:rsid w:val="002F7C7D"/>
    <w:rsid w:val="00300267"/>
    <w:rsid w:val="00300341"/>
    <w:rsid w:val="00300DCB"/>
    <w:rsid w:val="003012E4"/>
    <w:rsid w:val="0030157C"/>
    <w:rsid w:val="00302003"/>
    <w:rsid w:val="0030241E"/>
    <w:rsid w:val="00303234"/>
    <w:rsid w:val="0030417C"/>
    <w:rsid w:val="00306903"/>
    <w:rsid w:val="00306B45"/>
    <w:rsid w:val="00307020"/>
    <w:rsid w:val="00307072"/>
    <w:rsid w:val="00307E5A"/>
    <w:rsid w:val="003103D5"/>
    <w:rsid w:val="003108E5"/>
    <w:rsid w:val="0031113E"/>
    <w:rsid w:val="003112D8"/>
    <w:rsid w:val="0031221F"/>
    <w:rsid w:val="0031317F"/>
    <w:rsid w:val="00313353"/>
    <w:rsid w:val="0031455D"/>
    <w:rsid w:val="003152E5"/>
    <w:rsid w:val="00316555"/>
    <w:rsid w:val="00316931"/>
    <w:rsid w:val="00316F1C"/>
    <w:rsid w:val="003173BB"/>
    <w:rsid w:val="0032121E"/>
    <w:rsid w:val="00321586"/>
    <w:rsid w:val="0032202E"/>
    <w:rsid w:val="003220CB"/>
    <w:rsid w:val="003223DC"/>
    <w:rsid w:val="00323047"/>
    <w:rsid w:val="003230D7"/>
    <w:rsid w:val="003232AB"/>
    <w:rsid w:val="003236BE"/>
    <w:rsid w:val="0032492C"/>
    <w:rsid w:val="00325137"/>
    <w:rsid w:val="003268E6"/>
    <w:rsid w:val="00326950"/>
    <w:rsid w:val="00327B8B"/>
    <w:rsid w:val="0033061D"/>
    <w:rsid w:val="003307C2"/>
    <w:rsid w:val="00330801"/>
    <w:rsid w:val="00331A52"/>
    <w:rsid w:val="00331B32"/>
    <w:rsid w:val="003328F5"/>
    <w:rsid w:val="00333945"/>
    <w:rsid w:val="00333AA0"/>
    <w:rsid w:val="00334252"/>
    <w:rsid w:val="00334A8E"/>
    <w:rsid w:val="00335550"/>
    <w:rsid w:val="00335BF3"/>
    <w:rsid w:val="00335E03"/>
    <w:rsid w:val="00337329"/>
    <w:rsid w:val="00341053"/>
    <w:rsid w:val="00342861"/>
    <w:rsid w:val="0034305F"/>
    <w:rsid w:val="003431C8"/>
    <w:rsid w:val="00343272"/>
    <w:rsid w:val="00344B5D"/>
    <w:rsid w:val="00344D18"/>
    <w:rsid w:val="003459BF"/>
    <w:rsid w:val="00345B7F"/>
    <w:rsid w:val="0034643A"/>
    <w:rsid w:val="00346751"/>
    <w:rsid w:val="00346FAB"/>
    <w:rsid w:val="003477F8"/>
    <w:rsid w:val="00350C16"/>
    <w:rsid w:val="00351126"/>
    <w:rsid w:val="0035126A"/>
    <w:rsid w:val="0035223C"/>
    <w:rsid w:val="00352299"/>
    <w:rsid w:val="00352974"/>
    <w:rsid w:val="00353145"/>
    <w:rsid w:val="00353161"/>
    <w:rsid w:val="0035326F"/>
    <w:rsid w:val="003538E7"/>
    <w:rsid w:val="0035410D"/>
    <w:rsid w:val="0035501B"/>
    <w:rsid w:val="003550C8"/>
    <w:rsid w:val="0035521B"/>
    <w:rsid w:val="00355451"/>
    <w:rsid w:val="003556F0"/>
    <w:rsid w:val="00356103"/>
    <w:rsid w:val="00356172"/>
    <w:rsid w:val="0035630B"/>
    <w:rsid w:val="00356E7B"/>
    <w:rsid w:val="00357554"/>
    <w:rsid w:val="0036113E"/>
    <w:rsid w:val="0036122F"/>
    <w:rsid w:val="003615F3"/>
    <w:rsid w:val="003629AE"/>
    <w:rsid w:val="00362A0C"/>
    <w:rsid w:val="00363CEB"/>
    <w:rsid w:val="0036501E"/>
    <w:rsid w:val="00365105"/>
    <w:rsid w:val="003651C1"/>
    <w:rsid w:val="00365333"/>
    <w:rsid w:val="00365DB3"/>
    <w:rsid w:val="00366B61"/>
    <w:rsid w:val="00366EA6"/>
    <w:rsid w:val="00366F8E"/>
    <w:rsid w:val="0036726E"/>
    <w:rsid w:val="0037075F"/>
    <w:rsid w:val="00370C79"/>
    <w:rsid w:val="00370E27"/>
    <w:rsid w:val="00370E6F"/>
    <w:rsid w:val="0037157D"/>
    <w:rsid w:val="003717F7"/>
    <w:rsid w:val="003729A6"/>
    <w:rsid w:val="00372B37"/>
    <w:rsid w:val="003735AA"/>
    <w:rsid w:val="00373F4A"/>
    <w:rsid w:val="00374146"/>
    <w:rsid w:val="003744D3"/>
    <w:rsid w:val="00376313"/>
    <w:rsid w:val="00376842"/>
    <w:rsid w:val="00376AE3"/>
    <w:rsid w:val="00382B68"/>
    <w:rsid w:val="00382CA9"/>
    <w:rsid w:val="00382D29"/>
    <w:rsid w:val="00383096"/>
    <w:rsid w:val="00384FC7"/>
    <w:rsid w:val="0038528B"/>
    <w:rsid w:val="00385809"/>
    <w:rsid w:val="0038581C"/>
    <w:rsid w:val="00385F42"/>
    <w:rsid w:val="0038611D"/>
    <w:rsid w:val="0038709D"/>
    <w:rsid w:val="003870EE"/>
    <w:rsid w:val="00387642"/>
    <w:rsid w:val="003902AC"/>
    <w:rsid w:val="00391028"/>
    <w:rsid w:val="003919CA"/>
    <w:rsid w:val="00391BFB"/>
    <w:rsid w:val="00392C64"/>
    <w:rsid w:val="003932EC"/>
    <w:rsid w:val="00393A8B"/>
    <w:rsid w:val="00393B36"/>
    <w:rsid w:val="00394335"/>
    <w:rsid w:val="00395558"/>
    <w:rsid w:val="00395564"/>
    <w:rsid w:val="00395605"/>
    <w:rsid w:val="003960DC"/>
    <w:rsid w:val="0039671A"/>
    <w:rsid w:val="00396F82"/>
    <w:rsid w:val="0039798F"/>
    <w:rsid w:val="00397D31"/>
    <w:rsid w:val="003A0379"/>
    <w:rsid w:val="003A0481"/>
    <w:rsid w:val="003A07BD"/>
    <w:rsid w:val="003A0DEE"/>
    <w:rsid w:val="003A2B2B"/>
    <w:rsid w:val="003A2BB3"/>
    <w:rsid w:val="003A348A"/>
    <w:rsid w:val="003A4802"/>
    <w:rsid w:val="003A56EC"/>
    <w:rsid w:val="003A593D"/>
    <w:rsid w:val="003A59C1"/>
    <w:rsid w:val="003A6553"/>
    <w:rsid w:val="003A6F72"/>
    <w:rsid w:val="003B01CA"/>
    <w:rsid w:val="003B02EC"/>
    <w:rsid w:val="003B0499"/>
    <w:rsid w:val="003B0509"/>
    <w:rsid w:val="003B1075"/>
    <w:rsid w:val="003B2289"/>
    <w:rsid w:val="003B4728"/>
    <w:rsid w:val="003B4ED4"/>
    <w:rsid w:val="003B67E6"/>
    <w:rsid w:val="003B6CB1"/>
    <w:rsid w:val="003B6DE7"/>
    <w:rsid w:val="003B76D2"/>
    <w:rsid w:val="003B7B73"/>
    <w:rsid w:val="003C060E"/>
    <w:rsid w:val="003C0BB4"/>
    <w:rsid w:val="003C1ED0"/>
    <w:rsid w:val="003C2A37"/>
    <w:rsid w:val="003C3CA0"/>
    <w:rsid w:val="003C47F2"/>
    <w:rsid w:val="003C49D6"/>
    <w:rsid w:val="003C5546"/>
    <w:rsid w:val="003C5A43"/>
    <w:rsid w:val="003C6084"/>
    <w:rsid w:val="003C645E"/>
    <w:rsid w:val="003C6795"/>
    <w:rsid w:val="003D00A9"/>
    <w:rsid w:val="003D0339"/>
    <w:rsid w:val="003D067A"/>
    <w:rsid w:val="003D0B85"/>
    <w:rsid w:val="003D16A9"/>
    <w:rsid w:val="003D1AFB"/>
    <w:rsid w:val="003D1CF3"/>
    <w:rsid w:val="003D2AA4"/>
    <w:rsid w:val="003D3BFE"/>
    <w:rsid w:val="003D3D38"/>
    <w:rsid w:val="003D3F42"/>
    <w:rsid w:val="003D4C5C"/>
    <w:rsid w:val="003D5FDA"/>
    <w:rsid w:val="003D6667"/>
    <w:rsid w:val="003D6952"/>
    <w:rsid w:val="003E0047"/>
    <w:rsid w:val="003E0F2A"/>
    <w:rsid w:val="003E1347"/>
    <w:rsid w:val="003E140D"/>
    <w:rsid w:val="003E16CB"/>
    <w:rsid w:val="003E19E4"/>
    <w:rsid w:val="003E2148"/>
    <w:rsid w:val="003E2679"/>
    <w:rsid w:val="003E2816"/>
    <w:rsid w:val="003E2F4E"/>
    <w:rsid w:val="003E40C5"/>
    <w:rsid w:val="003E703C"/>
    <w:rsid w:val="003E70C8"/>
    <w:rsid w:val="003E7B28"/>
    <w:rsid w:val="003F01B9"/>
    <w:rsid w:val="003F2DF3"/>
    <w:rsid w:val="003F32CE"/>
    <w:rsid w:val="003F33B5"/>
    <w:rsid w:val="003F376A"/>
    <w:rsid w:val="003F46E5"/>
    <w:rsid w:val="003F5825"/>
    <w:rsid w:val="003F5F2A"/>
    <w:rsid w:val="003F6D2E"/>
    <w:rsid w:val="003F6EB3"/>
    <w:rsid w:val="003F7AB2"/>
    <w:rsid w:val="00400453"/>
    <w:rsid w:val="0040086B"/>
    <w:rsid w:val="00400978"/>
    <w:rsid w:val="004015DB"/>
    <w:rsid w:val="0040273F"/>
    <w:rsid w:val="00402EB4"/>
    <w:rsid w:val="00403388"/>
    <w:rsid w:val="004038CD"/>
    <w:rsid w:val="004047D8"/>
    <w:rsid w:val="00404950"/>
    <w:rsid w:val="00405635"/>
    <w:rsid w:val="0040642A"/>
    <w:rsid w:val="00407296"/>
    <w:rsid w:val="0040730E"/>
    <w:rsid w:val="00407A24"/>
    <w:rsid w:val="00410797"/>
    <w:rsid w:val="00410A4B"/>
    <w:rsid w:val="00410A64"/>
    <w:rsid w:val="00410ADD"/>
    <w:rsid w:val="00410B63"/>
    <w:rsid w:val="00410D81"/>
    <w:rsid w:val="00410EE3"/>
    <w:rsid w:val="00410EFA"/>
    <w:rsid w:val="00411260"/>
    <w:rsid w:val="0041154D"/>
    <w:rsid w:val="00412B9F"/>
    <w:rsid w:val="004134F8"/>
    <w:rsid w:val="00413B46"/>
    <w:rsid w:val="00414187"/>
    <w:rsid w:val="00414A41"/>
    <w:rsid w:val="00414B01"/>
    <w:rsid w:val="00414D04"/>
    <w:rsid w:val="00415B92"/>
    <w:rsid w:val="00417318"/>
    <w:rsid w:val="0041754B"/>
    <w:rsid w:val="0041792B"/>
    <w:rsid w:val="00417C42"/>
    <w:rsid w:val="004200E8"/>
    <w:rsid w:val="00420720"/>
    <w:rsid w:val="00420AC0"/>
    <w:rsid w:val="00420CF3"/>
    <w:rsid w:val="0042121F"/>
    <w:rsid w:val="00421465"/>
    <w:rsid w:val="00421902"/>
    <w:rsid w:val="00423510"/>
    <w:rsid w:val="00423CD1"/>
    <w:rsid w:val="00424422"/>
    <w:rsid w:val="004247FA"/>
    <w:rsid w:val="00426081"/>
    <w:rsid w:val="00427814"/>
    <w:rsid w:val="00427BD1"/>
    <w:rsid w:val="004302FB"/>
    <w:rsid w:val="00430317"/>
    <w:rsid w:val="0043039A"/>
    <w:rsid w:val="00430F19"/>
    <w:rsid w:val="00431253"/>
    <w:rsid w:val="00431288"/>
    <w:rsid w:val="00431451"/>
    <w:rsid w:val="004318CC"/>
    <w:rsid w:val="00431A36"/>
    <w:rsid w:val="00431B4A"/>
    <w:rsid w:val="004320E6"/>
    <w:rsid w:val="0043385C"/>
    <w:rsid w:val="004347F6"/>
    <w:rsid w:val="00434D8A"/>
    <w:rsid w:val="00435691"/>
    <w:rsid w:val="00436034"/>
    <w:rsid w:val="00436837"/>
    <w:rsid w:val="00436DEA"/>
    <w:rsid w:val="00436E85"/>
    <w:rsid w:val="00437095"/>
    <w:rsid w:val="00437B51"/>
    <w:rsid w:val="00440320"/>
    <w:rsid w:val="00440C72"/>
    <w:rsid w:val="00440D46"/>
    <w:rsid w:val="00440F53"/>
    <w:rsid w:val="0044140E"/>
    <w:rsid w:val="004416F8"/>
    <w:rsid w:val="00441BE8"/>
    <w:rsid w:val="00442EA6"/>
    <w:rsid w:val="00445205"/>
    <w:rsid w:val="004454AC"/>
    <w:rsid w:val="00445A08"/>
    <w:rsid w:val="00445BB9"/>
    <w:rsid w:val="00447D5F"/>
    <w:rsid w:val="00447F90"/>
    <w:rsid w:val="00450CB2"/>
    <w:rsid w:val="00451F35"/>
    <w:rsid w:val="00452548"/>
    <w:rsid w:val="00452695"/>
    <w:rsid w:val="00452BD4"/>
    <w:rsid w:val="004531CF"/>
    <w:rsid w:val="00453EC1"/>
    <w:rsid w:val="00454B3E"/>
    <w:rsid w:val="0045523A"/>
    <w:rsid w:val="00455467"/>
    <w:rsid w:val="00455954"/>
    <w:rsid w:val="00456532"/>
    <w:rsid w:val="00456F83"/>
    <w:rsid w:val="0045723A"/>
    <w:rsid w:val="00457E3F"/>
    <w:rsid w:val="00457EC0"/>
    <w:rsid w:val="004600F7"/>
    <w:rsid w:val="00460530"/>
    <w:rsid w:val="004605A5"/>
    <w:rsid w:val="004605D4"/>
    <w:rsid w:val="00460797"/>
    <w:rsid w:val="00460B1F"/>
    <w:rsid w:val="00461088"/>
    <w:rsid w:val="00461148"/>
    <w:rsid w:val="00461313"/>
    <w:rsid w:val="00461885"/>
    <w:rsid w:val="00461FAA"/>
    <w:rsid w:val="00462559"/>
    <w:rsid w:val="00462B27"/>
    <w:rsid w:val="00462ECE"/>
    <w:rsid w:val="004631BF"/>
    <w:rsid w:val="00463323"/>
    <w:rsid w:val="00463997"/>
    <w:rsid w:val="00464067"/>
    <w:rsid w:val="0046472F"/>
    <w:rsid w:val="00465C6B"/>
    <w:rsid w:val="00466B53"/>
    <w:rsid w:val="00466BB5"/>
    <w:rsid w:val="00467C73"/>
    <w:rsid w:val="00470AFA"/>
    <w:rsid w:val="00470D2A"/>
    <w:rsid w:val="00470E51"/>
    <w:rsid w:val="0047114A"/>
    <w:rsid w:val="00471A0E"/>
    <w:rsid w:val="00471BCC"/>
    <w:rsid w:val="004730C5"/>
    <w:rsid w:val="0047341B"/>
    <w:rsid w:val="00473436"/>
    <w:rsid w:val="00473EEE"/>
    <w:rsid w:val="00474E5D"/>
    <w:rsid w:val="00475351"/>
    <w:rsid w:val="0047544E"/>
    <w:rsid w:val="0047743C"/>
    <w:rsid w:val="00477745"/>
    <w:rsid w:val="004777CE"/>
    <w:rsid w:val="00477CEC"/>
    <w:rsid w:val="00477FE2"/>
    <w:rsid w:val="004807BC"/>
    <w:rsid w:val="00480808"/>
    <w:rsid w:val="00480D26"/>
    <w:rsid w:val="004818F8"/>
    <w:rsid w:val="004832D6"/>
    <w:rsid w:val="00483522"/>
    <w:rsid w:val="00483612"/>
    <w:rsid w:val="0048375C"/>
    <w:rsid w:val="00483861"/>
    <w:rsid w:val="00483A02"/>
    <w:rsid w:val="004846E7"/>
    <w:rsid w:val="00484748"/>
    <w:rsid w:val="004852E5"/>
    <w:rsid w:val="00486A55"/>
    <w:rsid w:val="00486DE4"/>
    <w:rsid w:val="00486F77"/>
    <w:rsid w:val="0048760D"/>
    <w:rsid w:val="004905FE"/>
    <w:rsid w:val="00490B3E"/>
    <w:rsid w:val="0049112E"/>
    <w:rsid w:val="00491B81"/>
    <w:rsid w:val="004926E6"/>
    <w:rsid w:val="00492E69"/>
    <w:rsid w:val="004937EA"/>
    <w:rsid w:val="00493F52"/>
    <w:rsid w:val="00494252"/>
    <w:rsid w:val="0049553F"/>
    <w:rsid w:val="00495998"/>
    <w:rsid w:val="004960B8"/>
    <w:rsid w:val="004A05CE"/>
    <w:rsid w:val="004A0929"/>
    <w:rsid w:val="004A0F66"/>
    <w:rsid w:val="004A1EA2"/>
    <w:rsid w:val="004A2005"/>
    <w:rsid w:val="004A21F6"/>
    <w:rsid w:val="004A251E"/>
    <w:rsid w:val="004A2B1E"/>
    <w:rsid w:val="004A3536"/>
    <w:rsid w:val="004A3D5A"/>
    <w:rsid w:val="004A3EC2"/>
    <w:rsid w:val="004A4C31"/>
    <w:rsid w:val="004A7234"/>
    <w:rsid w:val="004A7662"/>
    <w:rsid w:val="004A7FB0"/>
    <w:rsid w:val="004B025F"/>
    <w:rsid w:val="004B0744"/>
    <w:rsid w:val="004B0C57"/>
    <w:rsid w:val="004B0C6D"/>
    <w:rsid w:val="004B0D3B"/>
    <w:rsid w:val="004B0DD5"/>
    <w:rsid w:val="004B1313"/>
    <w:rsid w:val="004B13DA"/>
    <w:rsid w:val="004B1FDA"/>
    <w:rsid w:val="004B25BB"/>
    <w:rsid w:val="004B3313"/>
    <w:rsid w:val="004B424C"/>
    <w:rsid w:val="004B4810"/>
    <w:rsid w:val="004B4AE5"/>
    <w:rsid w:val="004B695A"/>
    <w:rsid w:val="004B6F90"/>
    <w:rsid w:val="004C0188"/>
    <w:rsid w:val="004C1B67"/>
    <w:rsid w:val="004C2648"/>
    <w:rsid w:val="004C2EFF"/>
    <w:rsid w:val="004C3164"/>
    <w:rsid w:val="004C3AB6"/>
    <w:rsid w:val="004C3C8C"/>
    <w:rsid w:val="004C3D20"/>
    <w:rsid w:val="004C4490"/>
    <w:rsid w:val="004C4A4C"/>
    <w:rsid w:val="004C5068"/>
    <w:rsid w:val="004C58E1"/>
    <w:rsid w:val="004C5940"/>
    <w:rsid w:val="004C5FC7"/>
    <w:rsid w:val="004C6F73"/>
    <w:rsid w:val="004D06B8"/>
    <w:rsid w:val="004D0A8B"/>
    <w:rsid w:val="004D11EF"/>
    <w:rsid w:val="004D1B6F"/>
    <w:rsid w:val="004D2144"/>
    <w:rsid w:val="004D2881"/>
    <w:rsid w:val="004D298A"/>
    <w:rsid w:val="004D33F8"/>
    <w:rsid w:val="004D3BF5"/>
    <w:rsid w:val="004D3F12"/>
    <w:rsid w:val="004D4CE3"/>
    <w:rsid w:val="004D61C6"/>
    <w:rsid w:val="004D666F"/>
    <w:rsid w:val="004D73AE"/>
    <w:rsid w:val="004E081C"/>
    <w:rsid w:val="004E0C12"/>
    <w:rsid w:val="004E1230"/>
    <w:rsid w:val="004E1680"/>
    <w:rsid w:val="004E1F70"/>
    <w:rsid w:val="004E2007"/>
    <w:rsid w:val="004E3317"/>
    <w:rsid w:val="004E42DD"/>
    <w:rsid w:val="004E4947"/>
    <w:rsid w:val="004E4BEE"/>
    <w:rsid w:val="004E59E3"/>
    <w:rsid w:val="004E6390"/>
    <w:rsid w:val="004E6CFC"/>
    <w:rsid w:val="004E7EF1"/>
    <w:rsid w:val="004F0D0F"/>
    <w:rsid w:val="004F1265"/>
    <w:rsid w:val="004F12A0"/>
    <w:rsid w:val="004F15F3"/>
    <w:rsid w:val="004F1801"/>
    <w:rsid w:val="004F1925"/>
    <w:rsid w:val="004F197F"/>
    <w:rsid w:val="004F1B1F"/>
    <w:rsid w:val="004F1CA7"/>
    <w:rsid w:val="004F205E"/>
    <w:rsid w:val="004F20DA"/>
    <w:rsid w:val="004F26B9"/>
    <w:rsid w:val="004F2A5F"/>
    <w:rsid w:val="004F2CD9"/>
    <w:rsid w:val="004F2E85"/>
    <w:rsid w:val="004F3161"/>
    <w:rsid w:val="004F3CC0"/>
    <w:rsid w:val="004F43D5"/>
    <w:rsid w:val="004F4BA2"/>
    <w:rsid w:val="004F55E6"/>
    <w:rsid w:val="004F604B"/>
    <w:rsid w:val="004F7760"/>
    <w:rsid w:val="00500343"/>
    <w:rsid w:val="0050196F"/>
    <w:rsid w:val="0050240B"/>
    <w:rsid w:val="0050289A"/>
    <w:rsid w:val="00503E46"/>
    <w:rsid w:val="0050581C"/>
    <w:rsid w:val="00507399"/>
    <w:rsid w:val="0050773C"/>
    <w:rsid w:val="00510797"/>
    <w:rsid w:val="00511AD2"/>
    <w:rsid w:val="0051295E"/>
    <w:rsid w:val="00513C7D"/>
    <w:rsid w:val="00515283"/>
    <w:rsid w:val="00515435"/>
    <w:rsid w:val="005154B7"/>
    <w:rsid w:val="005154CE"/>
    <w:rsid w:val="00516C8C"/>
    <w:rsid w:val="00520AE4"/>
    <w:rsid w:val="00521BE8"/>
    <w:rsid w:val="005230F2"/>
    <w:rsid w:val="00523544"/>
    <w:rsid w:val="00523C9C"/>
    <w:rsid w:val="005250CC"/>
    <w:rsid w:val="00525257"/>
    <w:rsid w:val="00525DFB"/>
    <w:rsid w:val="00525E46"/>
    <w:rsid w:val="0052655A"/>
    <w:rsid w:val="00526E20"/>
    <w:rsid w:val="00527816"/>
    <w:rsid w:val="00530027"/>
    <w:rsid w:val="005300C6"/>
    <w:rsid w:val="00530966"/>
    <w:rsid w:val="00531D6F"/>
    <w:rsid w:val="005338F7"/>
    <w:rsid w:val="0053397E"/>
    <w:rsid w:val="00533A67"/>
    <w:rsid w:val="00533D95"/>
    <w:rsid w:val="00533DA7"/>
    <w:rsid w:val="00535496"/>
    <w:rsid w:val="00535860"/>
    <w:rsid w:val="00537BAF"/>
    <w:rsid w:val="00540488"/>
    <w:rsid w:val="005414E8"/>
    <w:rsid w:val="0054167D"/>
    <w:rsid w:val="005416C1"/>
    <w:rsid w:val="005421AF"/>
    <w:rsid w:val="00542CB6"/>
    <w:rsid w:val="00542F08"/>
    <w:rsid w:val="005436C8"/>
    <w:rsid w:val="00543CD6"/>
    <w:rsid w:val="00543FCE"/>
    <w:rsid w:val="00544752"/>
    <w:rsid w:val="00544F97"/>
    <w:rsid w:val="00545168"/>
    <w:rsid w:val="00545A1D"/>
    <w:rsid w:val="00545EAF"/>
    <w:rsid w:val="00547DC9"/>
    <w:rsid w:val="005511D4"/>
    <w:rsid w:val="0055152B"/>
    <w:rsid w:val="0055157F"/>
    <w:rsid w:val="00551A6C"/>
    <w:rsid w:val="005529D6"/>
    <w:rsid w:val="00552B8B"/>
    <w:rsid w:val="00554C7E"/>
    <w:rsid w:val="0055517C"/>
    <w:rsid w:val="00555219"/>
    <w:rsid w:val="005552F2"/>
    <w:rsid w:val="005553D5"/>
    <w:rsid w:val="00555522"/>
    <w:rsid w:val="00555C72"/>
    <w:rsid w:val="0055689D"/>
    <w:rsid w:val="00560BCA"/>
    <w:rsid w:val="00560FBE"/>
    <w:rsid w:val="00561149"/>
    <w:rsid w:val="005617E4"/>
    <w:rsid w:val="005620FF"/>
    <w:rsid w:val="005623D5"/>
    <w:rsid w:val="00563B18"/>
    <w:rsid w:val="00563E78"/>
    <w:rsid w:val="00563EA8"/>
    <w:rsid w:val="00564AB2"/>
    <w:rsid w:val="00564BED"/>
    <w:rsid w:val="00564DA8"/>
    <w:rsid w:val="005655B0"/>
    <w:rsid w:val="0056617A"/>
    <w:rsid w:val="0056751A"/>
    <w:rsid w:val="00567732"/>
    <w:rsid w:val="00567B55"/>
    <w:rsid w:val="00570DD1"/>
    <w:rsid w:val="005719A5"/>
    <w:rsid w:val="005721D1"/>
    <w:rsid w:val="00572908"/>
    <w:rsid w:val="00573590"/>
    <w:rsid w:val="005735CC"/>
    <w:rsid w:val="00573A5B"/>
    <w:rsid w:val="00573F36"/>
    <w:rsid w:val="005759CC"/>
    <w:rsid w:val="00576396"/>
    <w:rsid w:val="00577234"/>
    <w:rsid w:val="00577760"/>
    <w:rsid w:val="00577B94"/>
    <w:rsid w:val="005810F7"/>
    <w:rsid w:val="0058149C"/>
    <w:rsid w:val="005817C7"/>
    <w:rsid w:val="00581B83"/>
    <w:rsid w:val="00581C92"/>
    <w:rsid w:val="00582474"/>
    <w:rsid w:val="00582B3A"/>
    <w:rsid w:val="005839A3"/>
    <w:rsid w:val="00583AC5"/>
    <w:rsid w:val="00583EEE"/>
    <w:rsid w:val="005846FB"/>
    <w:rsid w:val="005853ED"/>
    <w:rsid w:val="00585AD6"/>
    <w:rsid w:val="00585CB4"/>
    <w:rsid w:val="00585E3E"/>
    <w:rsid w:val="00585F45"/>
    <w:rsid w:val="0058600A"/>
    <w:rsid w:val="00586379"/>
    <w:rsid w:val="00586568"/>
    <w:rsid w:val="00586D74"/>
    <w:rsid w:val="005878ED"/>
    <w:rsid w:val="005904A3"/>
    <w:rsid w:val="0059051C"/>
    <w:rsid w:val="00591EA2"/>
    <w:rsid w:val="005931B7"/>
    <w:rsid w:val="00595815"/>
    <w:rsid w:val="00596010"/>
    <w:rsid w:val="005964A0"/>
    <w:rsid w:val="005966F3"/>
    <w:rsid w:val="00597045"/>
    <w:rsid w:val="0059767B"/>
    <w:rsid w:val="005A093B"/>
    <w:rsid w:val="005A1458"/>
    <w:rsid w:val="005A2F12"/>
    <w:rsid w:val="005A52E3"/>
    <w:rsid w:val="005A59E1"/>
    <w:rsid w:val="005A6B72"/>
    <w:rsid w:val="005A7914"/>
    <w:rsid w:val="005B0E14"/>
    <w:rsid w:val="005B2D5D"/>
    <w:rsid w:val="005B30FE"/>
    <w:rsid w:val="005B352D"/>
    <w:rsid w:val="005B4475"/>
    <w:rsid w:val="005B5E86"/>
    <w:rsid w:val="005B62A1"/>
    <w:rsid w:val="005B6801"/>
    <w:rsid w:val="005B701D"/>
    <w:rsid w:val="005B76FD"/>
    <w:rsid w:val="005B7C3F"/>
    <w:rsid w:val="005C0009"/>
    <w:rsid w:val="005C0470"/>
    <w:rsid w:val="005C0CD1"/>
    <w:rsid w:val="005C129A"/>
    <w:rsid w:val="005C15CF"/>
    <w:rsid w:val="005C1F33"/>
    <w:rsid w:val="005C2890"/>
    <w:rsid w:val="005C3A93"/>
    <w:rsid w:val="005C3DB0"/>
    <w:rsid w:val="005C403C"/>
    <w:rsid w:val="005C4503"/>
    <w:rsid w:val="005C6229"/>
    <w:rsid w:val="005C7959"/>
    <w:rsid w:val="005D1492"/>
    <w:rsid w:val="005D235D"/>
    <w:rsid w:val="005D24D4"/>
    <w:rsid w:val="005D2B51"/>
    <w:rsid w:val="005D3197"/>
    <w:rsid w:val="005D380D"/>
    <w:rsid w:val="005D3F81"/>
    <w:rsid w:val="005D42D1"/>
    <w:rsid w:val="005D49F4"/>
    <w:rsid w:val="005D4CF6"/>
    <w:rsid w:val="005D4E6D"/>
    <w:rsid w:val="005D6850"/>
    <w:rsid w:val="005D6C34"/>
    <w:rsid w:val="005D6DD2"/>
    <w:rsid w:val="005E0666"/>
    <w:rsid w:val="005E0F1C"/>
    <w:rsid w:val="005E1222"/>
    <w:rsid w:val="005E283B"/>
    <w:rsid w:val="005E2C7D"/>
    <w:rsid w:val="005E3D2E"/>
    <w:rsid w:val="005E3D9A"/>
    <w:rsid w:val="005E45C8"/>
    <w:rsid w:val="005E4D2A"/>
    <w:rsid w:val="005E5009"/>
    <w:rsid w:val="005E55D1"/>
    <w:rsid w:val="005F02F1"/>
    <w:rsid w:val="005F04B3"/>
    <w:rsid w:val="005F07C8"/>
    <w:rsid w:val="005F0A69"/>
    <w:rsid w:val="005F111C"/>
    <w:rsid w:val="005F1140"/>
    <w:rsid w:val="005F12FD"/>
    <w:rsid w:val="005F1702"/>
    <w:rsid w:val="005F18C9"/>
    <w:rsid w:val="005F241F"/>
    <w:rsid w:val="005F25AA"/>
    <w:rsid w:val="005F2C60"/>
    <w:rsid w:val="005F3447"/>
    <w:rsid w:val="005F613E"/>
    <w:rsid w:val="005F6490"/>
    <w:rsid w:val="005F6A4A"/>
    <w:rsid w:val="005F6A68"/>
    <w:rsid w:val="005F6ADE"/>
    <w:rsid w:val="005F768B"/>
    <w:rsid w:val="005F7FA3"/>
    <w:rsid w:val="0060023A"/>
    <w:rsid w:val="00600EA2"/>
    <w:rsid w:val="0060103D"/>
    <w:rsid w:val="006010B5"/>
    <w:rsid w:val="00602C95"/>
    <w:rsid w:val="00602D3B"/>
    <w:rsid w:val="00602D95"/>
    <w:rsid w:val="0060308F"/>
    <w:rsid w:val="00603B92"/>
    <w:rsid w:val="00603CF7"/>
    <w:rsid w:val="006042FB"/>
    <w:rsid w:val="00604ED9"/>
    <w:rsid w:val="006064C8"/>
    <w:rsid w:val="00606626"/>
    <w:rsid w:val="0060673C"/>
    <w:rsid w:val="00607697"/>
    <w:rsid w:val="0061094E"/>
    <w:rsid w:val="00610FE4"/>
    <w:rsid w:val="00611194"/>
    <w:rsid w:val="006112BE"/>
    <w:rsid w:val="00611947"/>
    <w:rsid w:val="00611F81"/>
    <w:rsid w:val="00612448"/>
    <w:rsid w:val="00612E9C"/>
    <w:rsid w:val="00614928"/>
    <w:rsid w:val="00615CCC"/>
    <w:rsid w:val="00617F65"/>
    <w:rsid w:val="00620555"/>
    <w:rsid w:val="006208F6"/>
    <w:rsid w:val="00620C2D"/>
    <w:rsid w:val="00620F1F"/>
    <w:rsid w:val="00621FF9"/>
    <w:rsid w:val="00622F3A"/>
    <w:rsid w:val="00623952"/>
    <w:rsid w:val="00623F7F"/>
    <w:rsid w:val="006243D1"/>
    <w:rsid w:val="006246A9"/>
    <w:rsid w:val="00624FDE"/>
    <w:rsid w:val="00626406"/>
    <w:rsid w:val="0062694A"/>
    <w:rsid w:val="00627954"/>
    <w:rsid w:val="00627C90"/>
    <w:rsid w:val="0063001F"/>
    <w:rsid w:val="00631C13"/>
    <w:rsid w:val="00632557"/>
    <w:rsid w:val="00632B8F"/>
    <w:rsid w:val="00633B02"/>
    <w:rsid w:val="00633B37"/>
    <w:rsid w:val="00634501"/>
    <w:rsid w:val="00634CB7"/>
    <w:rsid w:val="00635132"/>
    <w:rsid w:val="00637008"/>
    <w:rsid w:val="0064010A"/>
    <w:rsid w:val="00641274"/>
    <w:rsid w:val="00641C8D"/>
    <w:rsid w:val="00641DC5"/>
    <w:rsid w:val="0064280E"/>
    <w:rsid w:val="006438D7"/>
    <w:rsid w:val="006442F9"/>
    <w:rsid w:val="00646934"/>
    <w:rsid w:val="0064698F"/>
    <w:rsid w:val="00646A7C"/>
    <w:rsid w:val="00650A9F"/>
    <w:rsid w:val="00651149"/>
    <w:rsid w:val="006521BD"/>
    <w:rsid w:val="00652368"/>
    <w:rsid w:val="00653976"/>
    <w:rsid w:val="0065442C"/>
    <w:rsid w:val="00654DD1"/>
    <w:rsid w:val="006550DF"/>
    <w:rsid w:val="00655809"/>
    <w:rsid w:val="0065630B"/>
    <w:rsid w:val="00656EEC"/>
    <w:rsid w:val="00657659"/>
    <w:rsid w:val="006577F7"/>
    <w:rsid w:val="006604DC"/>
    <w:rsid w:val="006606F3"/>
    <w:rsid w:val="00660829"/>
    <w:rsid w:val="006609E8"/>
    <w:rsid w:val="00660B49"/>
    <w:rsid w:val="00660FBB"/>
    <w:rsid w:val="006617B0"/>
    <w:rsid w:val="0066249F"/>
    <w:rsid w:val="00662C40"/>
    <w:rsid w:val="00662F2D"/>
    <w:rsid w:val="006640D6"/>
    <w:rsid w:val="00664362"/>
    <w:rsid w:val="00665BDA"/>
    <w:rsid w:val="00665EA1"/>
    <w:rsid w:val="00667186"/>
    <w:rsid w:val="00667B03"/>
    <w:rsid w:val="00667C01"/>
    <w:rsid w:val="006715E3"/>
    <w:rsid w:val="00671958"/>
    <w:rsid w:val="00672147"/>
    <w:rsid w:val="00672A0D"/>
    <w:rsid w:val="00672F17"/>
    <w:rsid w:val="006731C7"/>
    <w:rsid w:val="006735C4"/>
    <w:rsid w:val="006737C0"/>
    <w:rsid w:val="00673C1F"/>
    <w:rsid w:val="006744B5"/>
    <w:rsid w:val="00674F6A"/>
    <w:rsid w:val="00675C09"/>
    <w:rsid w:val="00675C80"/>
    <w:rsid w:val="006765D4"/>
    <w:rsid w:val="00676EA3"/>
    <w:rsid w:val="006772E1"/>
    <w:rsid w:val="00677713"/>
    <w:rsid w:val="00677BDC"/>
    <w:rsid w:val="006803B7"/>
    <w:rsid w:val="0068086B"/>
    <w:rsid w:val="00680C76"/>
    <w:rsid w:val="0068243A"/>
    <w:rsid w:val="00682B9D"/>
    <w:rsid w:val="00683095"/>
    <w:rsid w:val="00683B11"/>
    <w:rsid w:val="00684008"/>
    <w:rsid w:val="00684077"/>
    <w:rsid w:val="006844CA"/>
    <w:rsid w:val="00684EB3"/>
    <w:rsid w:val="0068607F"/>
    <w:rsid w:val="00687717"/>
    <w:rsid w:val="00690179"/>
    <w:rsid w:val="00691B39"/>
    <w:rsid w:val="006948B9"/>
    <w:rsid w:val="00695C59"/>
    <w:rsid w:val="00695DE4"/>
    <w:rsid w:val="00696015"/>
    <w:rsid w:val="006974A5"/>
    <w:rsid w:val="0069772D"/>
    <w:rsid w:val="006979DC"/>
    <w:rsid w:val="006A0A2B"/>
    <w:rsid w:val="006A0BD5"/>
    <w:rsid w:val="006A0CAE"/>
    <w:rsid w:val="006A0E6A"/>
    <w:rsid w:val="006A1713"/>
    <w:rsid w:val="006A1DAE"/>
    <w:rsid w:val="006A2506"/>
    <w:rsid w:val="006A2A63"/>
    <w:rsid w:val="006A3DF7"/>
    <w:rsid w:val="006A3EF0"/>
    <w:rsid w:val="006A411B"/>
    <w:rsid w:val="006A55FE"/>
    <w:rsid w:val="006A6834"/>
    <w:rsid w:val="006A7205"/>
    <w:rsid w:val="006A72DB"/>
    <w:rsid w:val="006A7AEA"/>
    <w:rsid w:val="006A7ECB"/>
    <w:rsid w:val="006B0588"/>
    <w:rsid w:val="006B08CF"/>
    <w:rsid w:val="006B09FD"/>
    <w:rsid w:val="006B0A23"/>
    <w:rsid w:val="006B13A3"/>
    <w:rsid w:val="006B1E26"/>
    <w:rsid w:val="006B278F"/>
    <w:rsid w:val="006B2D92"/>
    <w:rsid w:val="006B3E3E"/>
    <w:rsid w:val="006B4D44"/>
    <w:rsid w:val="006B5ED7"/>
    <w:rsid w:val="006B6C1F"/>
    <w:rsid w:val="006B77CD"/>
    <w:rsid w:val="006B7919"/>
    <w:rsid w:val="006C0236"/>
    <w:rsid w:val="006C053E"/>
    <w:rsid w:val="006C1EE3"/>
    <w:rsid w:val="006C20A7"/>
    <w:rsid w:val="006C2D2D"/>
    <w:rsid w:val="006C3BC8"/>
    <w:rsid w:val="006C3C7B"/>
    <w:rsid w:val="006C4709"/>
    <w:rsid w:val="006C4FB1"/>
    <w:rsid w:val="006C52E2"/>
    <w:rsid w:val="006C5BDD"/>
    <w:rsid w:val="006C71B3"/>
    <w:rsid w:val="006C76A1"/>
    <w:rsid w:val="006C7C2C"/>
    <w:rsid w:val="006C7CEC"/>
    <w:rsid w:val="006C7D2A"/>
    <w:rsid w:val="006D133A"/>
    <w:rsid w:val="006D2256"/>
    <w:rsid w:val="006D3DFC"/>
    <w:rsid w:val="006D3FCB"/>
    <w:rsid w:val="006D4963"/>
    <w:rsid w:val="006D4A3B"/>
    <w:rsid w:val="006D5199"/>
    <w:rsid w:val="006D5426"/>
    <w:rsid w:val="006D5DC6"/>
    <w:rsid w:val="006D5F03"/>
    <w:rsid w:val="006D7C04"/>
    <w:rsid w:val="006E278B"/>
    <w:rsid w:val="006E291F"/>
    <w:rsid w:val="006E2E43"/>
    <w:rsid w:val="006E31D8"/>
    <w:rsid w:val="006E3A60"/>
    <w:rsid w:val="006E3ADE"/>
    <w:rsid w:val="006E3EA3"/>
    <w:rsid w:val="006E4AD5"/>
    <w:rsid w:val="006E593F"/>
    <w:rsid w:val="006E5AA9"/>
    <w:rsid w:val="006E6092"/>
    <w:rsid w:val="006E62E8"/>
    <w:rsid w:val="006E6616"/>
    <w:rsid w:val="006E6B89"/>
    <w:rsid w:val="006E6EE6"/>
    <w:rsid w:val="006E74F1"/>
    <w:rsid w:val="006E772A"/>
    <w:rsid w:val="006F0DAA"/>
    <w:rsid w:val="006F1519"/>
    <w:rsid w:val="006F1A4E"/>
    <w:rsid w:val="006F1D24"/>
    <w:rsid w:val="006F1F01"/>
    <w:rsid w:val="006F206D"/>
    <w:rsid w:val="006F2829"/>
    <w:rsid w:val="006F2A2D"/>
    <w:rsid w:val="006F4490"/>
    <w:rsid w:val="006F6533"/>
    <w:rsid w:val="006F7861"/>
    <w:rsid w:val="006F78F9"/>
    <w:rsid w:val="00700EAC"/>
    <w:rsid w:val="00701283"/>
    <w:rsid w:val="00701ADE"/>
    <w:rsid w:val="00702EB4"/>
    <w:rsid w:val="00702EE1"/>
    <w:rsid w:val="007035FE"/>
    <w:rsid w:val="00704FCC"/>
    <w:rsid w:val="007057C0"/>
    <w:rsid w:val="00705E32"/>
    <w:rsid w:val="00706495"/>
    <w:rsid w:val="0070759D"/>
    <w:rsid w:val="0071198E"/>
    <w:rsid w:val="00713556"/>
    <w:rsid w:val="00713EB1"/>
    <w:rsid w:val="00714359"/>
    <w:rsid w:val="00714C66"/>
    <w:rsid w:val="00716731"/>
    <w:rsid w:val="00716BA4"/>
    <w:rsid w:val="00717156"/>
    <w:rsid w:val="00717D86"/>
    <w:rsid w:val="007216C4"/>
    <w:rsid w:val="00722F7F"/>
    <w:rsid w:val="00724896"/>
    <w:rsid w:val="00725FE5"/>
    <w:rsid w:val="0072629C"/>
    <w:rsid w:val="007268FE"/>
    <w:rsid w:val="007269A2"/>
    <w:rsid w:val="007302AA"/>
    <w:rsid w:val="00730614"/>
    <w:rsid w:val="007306D8"/>
    <w:rsid w:val="00730CD9"/>
    <w:rsid w:val="00730EE2"/>
    <w:rsid w:val="00732223"/>
    <w:rsid w:val="0073256F"/>
    <w:rsid w:val="00732BE4"/>
    <w:rsid w:val="0073501F"/>
    <w:rsid w:val="00735417"/>
    <w:rsid w:val="007356DA"/>
    <w:rsid w:val="0073588F"/>
    <w:rsid w:val="00737607"/>
    <w:rsid w:val="00737C57"/>
    <w:rsid w:val="00737D5D"/>
    <w:rsid w:val="00737FBE"/>
    <w:rsid w:val="007415B5"/>
    <w:rsid w:val="0074180F"/>
    <w:rsid w:val="0074288A"/>
    <w:rsid w:val="00742EC9"/>
    <w:rsid w:val="00744705"/>
    <w:rsid w:val="007447E7"/>
    <w:rsid w:val="00744A27"/>
    <w:rsid w:val="007506AD"/>
    <w:rsid w:val="00750E28"/>
    <w:rsid w:val="0075121A"/>
    <w:rsid w:val="00753511"/>
    <w:rsid w:val="00753704"/>
    <w:rsid w:val="00754DFD"/>
    <w:rsid w:val="007550C4"/>
    <w:rsid w:val="0075558A"/>
    <w:rsid w:val="00755776"/>
    <w:rsid w:val="007558FC"/>
    <w:rsid w:val="00755BAF"/>
    <w:rsid w:val="00756993"/>
    <w:rsid w:val="007570FA"/>
    <w:rsid w:val="007571F3"/>
    <w:rsid w:val="00757D6B"/>
    <w:rsid w:val="00760CED"/>
    <w:rsid w:val="00760E4C"/>
    <w:rsid w:val="00761303"/>
    <w:rsid w:val="00762039"/>
    <w:rsid w:val="007620DF"/>
    <w:rsid w:val="0076280E"/>
    <w:rsid w:val="007639DA"/>
    <w:rsid w:val="0076435B"/>
    <w:rsid w:val="007647E1"/>
    <w:rsid w:val="00764853"/>
    <w:rsid w:val="007649DA"/>
    <w:rsid w:val="00764A61"/>
    <w:rsid w:val="00764C2A"/>
    <w:rsid w:val="00765179"/>
    <w:rsid w:val="00765846"/>
    <w:rsid w:val="00765E9B"/>
    <w:rsid w:val="0076775E"/>
    <w:rsid w:val="007678C7"/>
    <w:rsid w:val="00771645"/>
    <w:rsid w:val="00771E04"/>
    <w:rsid w:val="00772023"/>
    <w:rsid w:val="00772494"/>
    <w:rsid w:val="00773071"/>
    <w:rsid w:val="00773538"/>
    <w:rsid w:val="00773675"/>
    <w:rsid w:val="00773821"/>
    <w:rsid w:val="00773E29"/>
    <w:rsid w:val="0077405F"/>
    <w:rsid w:val="007743BC"/>
    <w:rsid w:val="00775703"/>
    <w:rsid w:val="00776227"/>
    <w:rsid w:val="00777852"/>
    <w:rsid w:val="007800C6"/>
    <w:rsid w:val="00780202"/>
    <w:rsid w:val="00780483"/>
    <w:rsid w:val="007808CC"/>
    <w:rsid w:val="00780B59"/>
    <w:rsid w:val="00781B3D"/>
    <w:rsid w:val="00781FFB"/>
    <w:rsid w:val="00782AA5"/>
    <w:rsid w:val="00782DDD"/>
    <w:rsid w:val="0078320F"/>
    <w:rsid w:val="007837DD"/>
    <w:rsid w:val="007839C7"/>
    <w:rsid w:val="00784081"/>
    <w:rsid w:val="00784C34"/>
    <w:rsid w:val="00784CDF"/>
    <w:rsid w:val="00785337"/>
    <w:rsid w:val="00785468"/>
    <w:rsid w:val="00790D2D"/>
    <w:rsid w:val="0079150D"/>
    <w:rsid w:val="00792801"/>
    <w:rsid w:val="007948EC"/>
    <w:rsid w:val="00795AE4"/>
    <w:rsid w:val="00795FCA"/>
    <w:rsid w:val="007975F0"/>
    <w:rsid w:val="007979E4"/>
    <w:rsid w:val="007A0443"/>
    <w:rsid w:val="007A177A"/>
    <w:rsid w:val="007A1ED6"/>
    <w:rsid w:val="007A1F57"/>
    <w:rsid w:val="007A1FC6"/>
    <w:rsid w:val="007A2400"/>
    <w:rsid w:val="007A2644"/>
    <w:rsid w:val="007A4EFD"/>
    <w:rsid w:val="007A5049"/>
    <w:rsid w:val="007A51DF"/>
    <w:rsid w:val="007A534A"/>
    <w:rsid w:val="007A57F1"/>
    <w:rsid w:val="007A5EE0"/>
    <w:rsid w:val="007A60AE"/>
    <w:rsid w:val="007A7F8E"/>
    <w:rsid w:val="007B0933"/>
    <w:rsid w:val="007B1FAC"/>
    <w:rsid w:val="007B2BE1"/>
    <w:rsid w:val="007B3542"/>
    <w:rsid w:val="007B3A4F"/>
    <w:rsid w:val="007B4887"/>
    <w:rsid w:val="007B4A1B"/>
    <w:rsid w:val="007B4EE3"/>
    <w:rsid w:val="007B52B6"/>
    <w:rsid w:val="007B7013"/>
    <w:rsid w:val="007B703A"/>
    <w:rsid w:val="007B71C9"/>
    <w:rsid w:val="007B757F"/>
    <w:rsid w:val="007B7C0B"/>
    <w:rsid w:val="007C00C1"/>
    <w:rsid w:val="007C0D41"/>
    <w:rsid w:val="007C0DEC"/>
    <w:rsid w:val="007C122D"/>
    <w:rsid w:val="007C14FD"/>
    <w:rsid w:val="007C23E2"/>
    <w:rsid w:val="007C2669"/>
    <w:rsid w:val="007C31A5"/>
    <w:rsid w:val="007C3BD3"/>
    <w:rsid w:val="007C4143"/>
    <w:rsid w:val="007C51D9"/>
    <w:rsid w:val="007C54C3"/>
    <w:rsid w:val="007C5AD6"/>
    <w:rsid w:val="007C5EA0"/>
    <w:rsid w:val="007C5F11"/>
    <w:rsid w:val="007C66F2"/>
    <w:rsid w:val="007C7ACC"/>
    <w:rsid w:val="007D01EE"/>
    <w:rsid w:val="007D17C3"/>
    <w:rsid w:val="007D1BE2"/>
    <w:rsid w:val="007D2160"/>
    <w:rsid w:val="007D3012"/>
    <w:rsid w:val="007D307E"/>
    <w:rsid w:val="007D4340"/>
    <w:rsid w:val="007D436C"/>
    <w:rsid w:val="007D477B"/>
    <w:rsid w:val="007D4DC5"/>
    <w:rsid w:val="007D5170"/>
    <w:rsid w:val="007D6133"/>
    <w:rsid w:val="007D6414"/>
    <w:rsid w:val="007D6C5F"/>
    <w:rsid w:val="007E01CA"/>
    <w:rsid w:val="007E12B3"/>
    <w:rsid w:val="007E1575"/>
    <w:rsid w:val="007E213F"/>
    <w:rsid w:val="007E267A"/>
    <w:rsid w:val="007E27D3"/>
    <w:rsid w:val="007E2B96"/>
    <w:rsid w:val="007E2DD9"/>
    <w:rsid w:val="007E3343"/>
    <w:rsid w:val="007E3D3E"/>
    <w:rsid w:val="007E3FCD"/>
    <w:rsid w:val="007E4A6E"/>
    <w:rsid w:val="007E576A"/>
    <w:rsid w:val="007E5FAB"/>
    <w:rsid w:val="007E6510"/>
    <w:rsid w:val="007E729C"/>
    <w:rsid w:val="007E75AE"/>
    <w:rsid w:val="007E7CEE"/>
    <w:rsid w:val="007E7E7D"/>
    <w:rsid w:val="007F26B5"/>
    <w:rsid w:val="007F2AC3"/>
    <w:rsid w:val="007F2F5C"/>
    <w:rsid w:val="007F322A"/>
    <w:rsid w:val="007F35DB"/>
    <w:rsid w:val="007F36E4"/>
    <w:rsid w:val="007F3DB0"/>
    <w:rsid w:val="007F3ECC"/>
    <w:rsid w:val="007F468A"/>
    <w:rsid w:val="007F4B6F"/>
    <w:rsid w:val="007F56B6"/>
    <w:rsid w:val="007F5E1B"/>
    <w:rsid w:val="007F5E73"/>
    <w:rsid w:val="007F5E9B"/>
    <w:rsid w:val="007F5EFE"/>
    <w:rsid w:val="007F6153"/>
    <w:rsid w:val="007F6C99"/>
    <w:rsid w:val="0080018B"/>
    <w:rsid w:val="00800604"/>
    <w:rsid w:val="008009B4"/>
    <w:rsid w:val="00800B88"/>
    <w:rsid w:val="00800F56"/>
    <w:rsid w:val="00801936"/>
    <w:rsid w:val="0080194A"/>
    <w:rsid w:val="00801B9D"/>
    <w:rsid w:val="00801DBA"/>
    <w:rsid w:val="00805CE6"/>
    <w:rsid w:val="008065C8"/>
    <w:rsid w:val="0080699C"/>
    <w:rsid w:val="008077B6"/>
    <w:rsid w:val="00807DE2"/>
    <w:rsid w:val="008122B9"/>
    <w:rsid w:val="00813629"/>
    <w:rsid w:val="008153F0"/>
    <w:rsid w:val="00815CFF"/>
    <w:rsid w:val="00815F28"/>
    <w:rsid w:val="00815F46"/>
    <w:rsid w:val="008161C9"/>
    <w:rsid w:val="00817E3B"/>
    <w:rsid w:val="00817F7F"/>
    <w:rsid w:val="0082061A"/>
    <w:rsid w:val="00821103"/>
    <w:rsid w:val="008211CA"/>
    <w:rsid w:val="0082278A"/>
    <w:rsid w:val="00822DFD"/>
    <w:rsid w:val="00822E3F"/>
    <w:rsid w:val="0082353F"/>
    <w:rsid w:val="008237E4"/>
    <w:rsid w:val="0082416D"/>
    <w:rsid w:val="00824546"/>
    <w:rsid w:val="008250D9"/>
    <w:rsid w:val="0082721A"/>
    <w:rsid w:val="008304AC"/>
    <w:rsid w:val="008304C7"/>
    <w:rsid w:val="0083135E"/>
    <w:rsid w:val="0083221A"/>
    <w:rsid w:val="00832D09"/>
    <w:rsid w:val="008346D4"/>
    <w:rsid w:val="00834FA1"/>
    <w:rsid w:val="00834FBF"/>
    <w:rsid w:val="008362D1"/>
    <w:rsid w:val="00836BD4"/>
    <w:rsid w:val="008415F7"/>
    <w:rsid w:val="00841BFC"/>
    <w:rsid w:val="0084223D"/>
    <w:rsid w:val="008443C9"/>
    <w:rsid w:val="00845109"/>
    <w:rsid w:val="0084542A"/>
    <w:rsid w:val="00845615"/>
    <w:rsid w:val="0084605C"/>
    <w:rsid w:val="00846A88"/>
    <w:rsid w:val="008475A7"/>
    <w:rsid w:val="00847EC6"/>
    <w:rsid w:val="00847FEF"/>
    <w:rsid w:val="00850638"/>
    <w:rsid w:val="00850B0A"/>
    <w:rsid w:val="0085125A"/>
    <w:rsid w:val="00851E9F"/>
    <w:rsid w:val="00853FFA"/>
    <w:rsid w:val="008547B5"/>
    <w:rsid w:val="00854A58"/>
    <w:rsid w:val="00854DD1"/>
    <w:rsid w:val="00854DF2"/>
    <w:rsid w:val="00855F1A"/>
    <w:rsid w:val="00856872"/>
    <w:rsid w:val="0085774E"/>
    <w:rsid w:val="00857D7D"/>
    <w:rsid w:val="008605D7"/>
    <w:rsid w:val="0086064C"/>
    <w:rsid w:val="00860C17"/>
    <w:rsid w:val="0086103B"/>
    <w:rsid w:val="008619F2"/>
    <w:rsid w:val="00861E8F"/>
    <w:rsid w:val="008625A6"/>
    <w:rsid w:val="00863002"/>
    <w:rsid w:val="00863478"/>
    <w:rsid w:val="00864629"/>
    <w:rsid w:val="00865AD2"/>
    <w:rsid w:val="00865C21"/>
    <w:rsid w:val="00866AEE"/>
    <w:rsid w:val="008675B1"/>
    <w:rsid w:val="008676A1"/>
    <w:rsid w:val="00867B71"/>
    <w:rsid w:val="008705A5"/>
    <w:rsid w:val="00870FE2"/>
    <w:rsid w:val="008722C6"/>
    <w:rsid w:val="008725AC"/>
    <w:rsid w:val="00872A01"/>
    <w:rsid w:val="00873D23"/>
    <w:rsid w:val="00874F37"/>
    <w:rsid w:val="00875AED"/>
    <w:rsid w:val="00876C95"/>
    <w:rsid w:val="00880B68"/>
    <w:rsid w:val="00880C3A"/>
    <w:rsid w:val="008815F1"/>
    <w:rsid w:val="008834E8"/>
    <w:rsid w:val="00883B91"/>
    <w:rsid w:val="00883E40"/>
    <w:rsid w:val="00884665"/>
    <w:rsid w:val="0088491A"/>
    <w:rsid w:val="00884D40"/>
    <w:rsid w:val="00884EE0"/>
    <w:rsid w:val="00884F6C"/>
    <w:rsid w:val="00885992"/>
    <w:rsid w:val="00885E2A"/>
    <w:rsid w:val="00886643"/>
    <w:rsid w:val="0088671F"/>
    <w:rsid w:val="00886B08"/>
    <w:rsid w:val="008874A2"/>
    <w:rsid w:val="00890685"/>
    <w:rsid w:val="0089076C"/>
    <w:rsid w:val="008908E4"/>
    <w:rsid w:val="00890A23"/>
    <w:rsid w:val="00890DFD"/>
    <w:rsid w:val="00891478"/>
    <w:rsid w:val="00891DB5"/>
    <w:rsid w:val="00892EE5"/>
    <w:rsid w:val="0089422B"/>
    <w:rsid w:val="0089484B"/>
    <w:rsid w:val="00894BDB"/>
    <w:rsid w:val="00894EAC"/>
    <w:rsid w:val="00895300"/>
    <w:rsid w:val="00895D7C"/>
    <w:rsid w:val="00896920"/>
    <w:rsid w:val="0089734E"/>
    <w:rsid w:val="008A117C"/>
    <w:rsid w:val="008A3E70"/>
    <w:rsid w:val="008A3E7F"/>
    <w:rsid w:val="008A41DD"/>
    <w:rsid w:val="008A4497"/>
    <w:rsid w:val="008A5292"/>
    <w:rsid w:val="008A5CEB"/>
    <w:rsid w:val="008A63B3"/>
    <w:rsid w:val="008A6723"/>
    <w:rsid w:val="008A6C15"/>
    <w:rsid w:val="008A6FC0"/>
    <w:rsid w:val="008A752A"/>
    <w:rsid w:val="008A7E93"/>
    <w:rsid w:val="008B1E50"/>
    <w:rsid w:val="008B31BE"/>
    <w:rsid w:val="008B456E"/>
    <w:rsid w:val="008B4BCB"/>
    <w:rsid w:val="008B5E7A"/>
    <w:rsid w:val="008B5F73"/>
    <w:rsid w:val="008B632A"/>
    <w:rsid w:val="008B64B9"/>
    <w:rsid w:val="008B6ECF"/>
    <w:rsid w:val="008C14C7"/>
    <w:rsid w:val="008C2470"/>
    <w:rsid w:val="008C3618"/>
    <w:rsid w:val="008C4C3D"/>
    <w:rsid w:val="008C5045"/>
    <w:rsid w:val="008C5644"/>
    <w:rsid w:val="008C6345"/>
    <w:rsid w:val="008C750D"/>
    <w:rsid w:val="008C7853"/>
    <w:rsid w:val="008D01AA"/>
    <w:rsid w:val="008D234C"/>
    <w:rsid w:val="008D242E"/>
    <w:rsid w:val="008D2512"/>
    <w:rsid w:val="008D2569"/>
    <w:rsid w:val="008D355D"/>
    <w:rsid w:val="008D3912"/>
    <w:rsid w:val="008D564D"/>
    <w:rsid w:val="008D5947"/>
    <w:rsid w:val="008D63C2"/>
    <w:rsid w:val="008D7628"/>
    <w:rsid w:val="008D7B20"/>
    <w:rsid w:val="008E052A"/>
    <w:rsid w:val="008E1175"/>
    <w:rsid w:val="008E169D"/>
    <w:rsid w:val="008E2005"/>
    <w:rsid w:val="008E2093"/>
    <w:rsid w:val="008E233E"/>
    <w:rsid w:val="008E271A"/>
    <w:rsid w:val="008E295F"/>
    <w:rsid w:val="008E3506"/>
    <w:rsid w:val="008E351D"/>
    <w:rsid w:val="008E3960"/>
    <w:rsid w:val="008E3E57"/>
    <w:rsid w:val="008E4DC5"/>
    <w:rsid w:val="008E58A3"/>
    <w:rsid w:val="008E5A58"/>
    <w:rsid w:val="008E5C0E"/>
    <w:rsid w:val="008E61E1"/>
    <w:rsid w:val="008F0485"/>
    <w:rsid w:val="008F06B7"/>
    <w:rsid w:val="008F0746"/>
    <w:rsid w:val="008F0D09"/>
    <w:rsid w:val="008F1629"/>
    <w:rsid w:val="008F18A9"/>
    <w:rsid w:val="008F2179"/>
    <w:rsid w:val="008F30C4"/>
    <w:rsid w:val="008F312E"/>
    <w:rsid w:val="008F3A66"/>
    <w:rsid w:val="008F4456"/>
    <w:rsid w:val="008F4FE1"/>
    <w:rsid w:val="008F50C5"/>
    <w:rsid w:val="008F693E"/>
    <w:rsid w:val="008F6C71"/>
    <w:rsid w:val="008F6D36"/>
    <w:rsid w:val="008F6D6C"/>
    <w:rsid w:val="009001A8"/>
    <w:rsid w:val="00900837"/>
    <w:rsid w:val="009008C0"/>
    <w:rsid w:val="00900BC9"/>
    <w:rsid w:val="0090118D"/>
    <w:rsid w:val="009012F1"/>
    <w:rsid w:val="00901559"/>
    <w:rsid w:val="00901B66"/>
    <w:rsid w:val="009020A5"/>
    <w:rsid w:val="00903377"/>
    <w:rsid w:val="009035F5"/>
    <w:rsid w:val="00903EC9"/>
    <w:rsid w:val="009043D3"/>
    <w:rsid w:val="00905D71"/>
    <w:rsid w:val="009065BA"/>
    <w:rsid w:val="00907337"/>
    <w:rsid w:val="0090738D"/>
    <w:rsid w:val="00907656"/>
    <w:rsid w:val="009106E6"/>
    <w:rsid w:val="00910723"/>
    <w:rsid w:val="00911AFC"/>
    <w:rsid w:val="00912139"/>
    <w:rsid w:val="00912AA6"/>
    <w:rsid w:val="00913007"/>
    <w:rsid w:val="009137F1"/>
    <w:rsid w:val="0091401E"/>
    <w:rsid w:val="00915AEC"/>
    <w:rsid w:val="00915D23"/>
    <w:rsid w:val="009163D0"/>
    <w:rsid w:val="0091696A"/>
    <w:rsid w:val="0091790A"/>
    <w:rsid w:val="00920348"/>
    <w:rsid w:val="00920CAB"/>
    <w:rsid w:val="0092210F"/>
    <w:rsid w:val="00922E21"/>
    <w:rsid w:val="009241B7"/>
    <w:rsid w:val="00924501"/>
    <w:rsid w:val="00924791"/>
    <w:rsid w:val="00924A3C"/>
    <w:rsid w:val="00924B27"/>
    <w:rsid w:val="0092534B"/>
    <w:rsid w:val="00925E80"/>
    <w:rsid w:val="00925F6D"/>
    <w:rsid w:val="009260A0"/>
    <w:rsid w:val="009262C2"/>
    <w:rsid w:val="00926BA0"/>
    <w:rsid w:val="00926CFA"/>
    <w:rsid w:val="00926D1F"/>
    <w:rsid w:val="00926DB2"/>
    <w:rsid w:val="00926EA9"/>
    <w:rsid w:val="00930B0A"/>
    <w:rsid w:val="00930C93"/>
    <w:rsid w:val="00930CAB"/>
    <w:rsid w:val="0093226C"/>
    <w:rsid w:val="00932593"/>
    <w:rsid w:val="0093308C"/>
    <w:rsid w:val="00933CBD"/>
    <w:rsid w:val="0093422D"/>
    <w:rsid w:val="00934640"/>
    <w:rsid w:val="009348EC"/>
    <w:rsid w:val="0093506C"/>
    <w:rsid w:val="00935B83"/>
    <w:rsid w:val="00935E99"/>
    <w:rsid w:val="00935FC8"/>
    <w:rsid w:val="009362AF"/>
    <w:rsid w:val="009363C4"/>
    <w:rsid w:val="00936926"/>
    <w:rsid w:val="00937090"/>
    <w:rsid w:val="00937CB4"/>
    <w:rsid w:val="00940807"/>
    <w:rsid w:val="00940BB6"/>
    <w:rsid w:val="00940D67"/>
    <w:rsid w:val="009414FB"/>
    <w:rsid w:val="00943244"/>
    <w:rsid w:val="00944899"/>
    <w:rsid w:val="009463FA"/>
    <w:rsid w:val="009475D3"/>
    <w:rsid w:val="0094789F"/>
    <w:rsid w:val="009500C4"/>
    <w:rsid w:val="009501BE"/>
    <w:rsid w:val="00952F7B"/>
    <w:rsid w:val="00953A7B"/>
    <w:rsid w:val="00953BAA"/>
    <w:rsid w:val="00953BF9"/>
    <w:rsid w:val="009542D9"/>
    <w:rsid w:val="0095458F"/>
    <w:rsid w:val="0095490F"/>
    <w:rsid w:val="00954C3C"/>
    <w:rsid w:val="00955392"/>
    <w:rsid w:val="00955908"/>
    <w:rsid w:val="00955EAF"/>
    <w:rsid w:val="00955F32"/>
    <w:rsid w:val="00957659"/>
    <w:rsid w:val="00957D3A"/>
    <w:rsid w:val="009606AB"/>
    <w:rsid w:val="00961925"/>
    <w:rsid w:val="0096260E"/>
    <w:rsid w:val="00962EF8"/>
    <w:rsid w:val="009652B9"/>
    <w:rsid w:val="00965439"/>
    <w:rsid w:val="0096582A"/>
    <w:rsid w:val="00965843"/>
    <w:rsid w:val="00965858"/>
    <w:rsid w:val="00965C53"/>
    <w:rsid w:val="009679A9"/>
    <w:rsid w:val="00967B53"/>
    <w:rsid w:val="00967E87"/>
    <w:rsid w:val="00970542"/>
    <w:rsid w:val="009706D1"/>
    <w:rsid w:val="009709B1"/>
    <w:rsid w:val="0097155E"/>
    <w:rsid w:val="0097217E"/>
    <w:rsid w:val="0097225A"/>
    <w:rsid w:val="009722EF"/>
    <w:rsid w:val="00973582"/>
    <w:rsid w:val="009736A0"/>
    <w:rsid w:val="0097370A"/>
    <w:rsid w:val="00974505"/>
    <w:rsid w:val="009755CC"/>
    <w:rsid w:val="00975CA0"/>
    <w:rsid w:val="00976CC6"/>
    <w:rsid w:val="0097760B"/>
    <w:rsid w:val="00977C44"/>
    <w:rsid w:val="00977DE3"/>
    <w:rsid w:val="00981726"/>
    <w:rsid w:val="00981EAC"/>
    <w:rsid w:val="009825C3"/>
    <w:rsid w:val="009825D9"/>
    <w:rsid w:val="00982FFE"/>
    <w:rsid w:val="00983E5B"/>
    <w:rsid w:val="00985367"/>
    <w:rsid w:val="00985985"/>
    <w:rsid w:val="00985D03"/>
    <w:rsid w:val="00986AD6"/>
    <w:rsid w:val="00987AF0"/>
    <w:rsid w:val="00990A66"/>
    <w:rsid w:val="009912A2"/>
    <w:rsid w:val="00992D57"/>
    <w:rsid w:val="009930C0"/>
    <w:rsid w:val="00994139"/>
    <w:rsid w:val="009968B9"/>
    <w:rsid w:val="00996FD7"/>
    <w:rsid w:val="00997B28"/>
    <w:rsid w:val="00997D4F"/>
    <w:rsid w:val="00997E42"/>
    <w:rsid w:val="009A005B"/>
    <w:rsid w:val="009A07B8"/>
    <w:rsid w:val="009A0DAB"/>
    <w:rsid w:val="009A1040"/>
    <w:rsid w:val="009A1172"/>
    <w:rsid w:val="009A1445"/>
    <w:rsid w:val="009A1BA3"/>
    <w:rsid w:val="009A1DA0"/>
    <w:rsid w:val="009A2222"/>
    <w:rsid w:val="009A2EF6"/>
    <w:rsid w:val="009A3CE6"/>
    <w:rsid w:val="009A4B77"/>
    <w:rsid w:val="009A5078"/>
    <w:rsid w:val="009A57F6"/>
    <w:rsid w:val="009A5BD7"/>
    <w:rsid w:val="009A6513"/>
    <w:rsid w:val="009A65E8"/>
    <w:rsid w:val="009A681F"/>
    <w:rsid w:val="009A6878"/>
    <w:rsid w:val="009A6972"/>
    <w:rsid w:val="009A6F1F"/>
    <w:rsid w:val="009A78A1"/>
    <w:rsid w:val="009B00A5"/>
    <w:rsid w:val="009B0336"/>
    <w:rsid w:val="009B07F5"/>
    <w:rsid w:val="009B108C"/>
    <w:rsid w:val="009B11C5"/>
    <w:rsid w:val="009B32BC"/>
    <w:rsid w:val="009B4424"/>
    <w:rsid w:val="009B48D3"/>
    <w:rsid w:val="009B495D"/>
    <w:rsid w:val="009B4A6A"/>
    <w:rsid w:val="009B4AEE"/>
    <w:rsid w:val="009B4F21"/>
    <w:rsid w:val="009B5685"/>
    <w:rsid w:val="009B5768"/>
    <w:rsid w:val="009B5A45"/>
    <w:rsid w:val="009B6879"/>
    <w:rsid w:val="009B68BD"/>
    <w:rsid w:val="009B6AE7"/>
    <w:rsid w:val="009B6B1E"/>
    <w:rsid w:val="009B6FB6"/>
    <w:rsid w:val="009B71B6"/>
    <w:rsid w:val="009B7673"/>
    <w:rsid w:val="009C0955"/>
    <w:rsid w:val="009C0C91"/>
    <w:rsid w:val="009C1925"/>
    <w:rsid w:val="009C21DC"/>
    <w:rsid w:val="009C2383"/>
    <w:rsid w:val="009C30EE"/>
    <w:rsid w:val="009C447F"/>
    <w:rsid w:val="009C4960"/>
    <w:rsid w:val="009C4A4F"/>
    <w:rsid w:val="009C56F8"/>
    <w:rsid w:val="009C5CE1"/>
    <w:rsid w:val="009C60C7"/>
    <w:rsid w:val="009C61C3"/>
    <w:rsid w:val="009C6255"/>
    <w:rsid w:val="009C6311"/>
    <w:rsid w:val="009C643E"/>
    <w:rsid w:val="009C698E"/>
    <w:rsid w:val="009C7B20"/>
    <w:rsid w:val="009D23A7"/>
    <w:rsid w:val="009D28B4"/>
    <w:rsid w:val="009D318F"/>
    <w:rsid w:val="009D3665"/>
    <w:rsid w:val="009D4DC5"/>
    <w:rsid w:val="009D5107"/>
    <w:rsid w:val="009D52A9"/>
    <w:rsid w:val="009D593D"/>
    <w:rsid w:val="009D6110"/>
    <w:rsid w:val="009D656C"/>
    <w:rsid w:val="009D67C4"/>
    <w:rsid w:val="009D6BD9"/>
    <w:rsid w:val="009D6D33"/>
    <w:rsid w:val="009D7C9D"/>
    <w:rsid w:val="009D7DEC"/>
    <w:rsid w:val="009D7FF9"/>
    <w:rsid w:val="009E0DB7"/>
    <w:rsid w:val="009E1EC3"/>
    <w:rsid w:val="009E277E"/>
    <w:rsid w:val="009E2879"/>
    <w:rsid w:val="009E2D30"/>
    <w:rsid w:val="009E35F0"/>
    <w:rsid w:val="009E3719"/>
    <w:rsid w:val="009E4227"/>
    <w:rsid w:val="009E435A"/>
    <w:rsid w:val="009E437D"/>
    <w:rsid w:val="009E4DED"/>
    <w:rsid w:val="009E5181"/>
    <w:rsid w:val="009E5432"/>
    <w:rsid w:val="009E5B15"/>
    <w:rsid w:val="009E7E22"/>
    <w:rsid w:val="009E7EFE"/>
    <w:rsid w:val="009F01EE"/>
    <w:rsid w:val="009F0265"/>
    <w:rsid w:val="009F0A67"/>
    <w:rsid w:val="009F0BC0"/>
    <w:rsid w:val="009F0DF0"/>
    <w:rsid w:val="009F1824"/>
    <w:rsid w:val="009F1B28"/>
    <w:rsid w:val="009F1C80"/>
    <w:rsid w:val="009F2D98"/>
    <w:rsid w:val="009F3CC2"/>
    <w:rsid w:val="009F44A6"/>
    <w:rsid w:val="009F45C3"/>
    <w:rsid w:val="009F51E1"/>
    <w:rsid w:val="009F66E7"/>
    <w:rsid w:val="009F6ADB"/>
    <w:rsid w:val="009F74C6"/>
    <w:rsid w:val="009F788D"/>
    <w:rsid w:val="009F7B75"/>
    <w:rsid w:val="00A0042D"/>
    <w:rsid w:val="00A01B62"/>
    <w:rsid w:val="00A01F3D"/>
    <w:rsid w:val="00A02747"/>
    <w:rsid w:val="00A0377A"/>
    <w:rsid w:val="00A03DDC"/>
    <w:rsid w:val="00A044CC"/>
    <w:rsid w:val="00A047D0"/>
    <w:rsid w:val="00A05569"/>
    <w:rsid w:val="00A05C5C"/>
    <w:rsid w:val="00A066D7"/>
    <w:rsid w:val="00A06706"/>
    <w:rsid w:val="00A0691C"/>
    <w:rsid w:val="00A07B85"/>
    <w:rsid w:val="00A1069B"/>
    <w:rsid w:val="00A10753"/>
    <w:rsid w:val="00A109FE"/>
    <w:rsid w:val="00A10B57"/>
    <w:rsid w:val="00A125CE"/>
    <w:rsid w:val="00A12A58"/>
    <w:rsid w:val="00A12C74"/>
    <w:rsid w:val="00A139A1"/>
    <w:rsid w:val="00A13AE6"/>
    <w:rsid w:val="00A13FF2"/>
    <w:rsid w:val="00A14755"/>
    <w:rsid w:val="00A149C4"/>
    <w:rsid w:val="00A14E51"/>
    <w:rsid w:val="00A153FB"/>
    <w:rsid w:val="00A156D7"/>
    <w:rsid w:val="00A158D4"/>
    <w:rsid w:val="00A202D5"/>
    <w:rsid w:val="00A20D31"/>
    <w:rsid w:val="00A20DB6"/>
    <w:rsid w:val="00A22248"/>
    <w:rsid w:val="00A22418"/>
    <w:rsid w:val="00A22430"/>
    <w:rsid w:val="00A23343"/>
    <w:rsid w:val="00A23D3B"/>
    <w:rsid w:val="00A24C12"/>
    <w:rsid w:val="00A300EC"/>
    <w:rsid w:val="00A30423"/>
    <w:rsid w:val="00A30C84"/>
    <w:rsid w:val="00A311BF"/>
    <w:rsid w:val="00A31563"/>
    <w:rsid w:val="00A315EC"/>
    <w:rsid w:val="00A32160"/>
    <w:rsid w:val="00A32636"/>
    <w:rsid w:val="00A330E4"/>
    <w:rsid w:val="00A332A7"/>
    <w:rsid w:val="00A33570"/>
    <w:rsid w:val="00A33EAE"/>
    <w:rsid w:val="00A34B47"/>
    <w:rsid w:val="00A3550E"/>
    <w:rsid w:val="00A36100"/>
    <w:rsid w:val="00A364B8"/>
    <w:rsid w:val="00A36905"/>
    <w:rsid w:val="00A3764D"/>
    <w:rsid w:val="00A37A0D"/>
    <w:rsid w:val="00A37D06"/>
    <w:rsid w:val="00A37D13"/>
    <w:rsid w:val="00A404A9"/>
    <w:rsid w:val="00A40516"/>
    <w:rsid w:val="00A41E20"/>
    <w:rsid w:val="00A42E2D"/>
    <w:rsid w:val="00A44A55"/>
    <w:rsid w:val="00A45A2C"/>
    <w:rsid w:val="00A4656C"/>
    <w:rsid w:val="00A47635"/>
    <w:rsid w:val="00A479FF"/>
    <w:rsid w:val="00A5049D"/>
    <w:rsid w:val="00A5106B"/>
    <w:rsid w:val="00A51703"/>
    <w:rsid w:val="00A5220E"/>
    <w:rsid w:val="00A529B5"/>
    <w:rsid w:val="00A532AC"/>
    <w:rsid w:val="00A53FEB"/>
    <w:rsid w:val="00A54D67"/>
    <w:rsid w:val="00A55915"/>
    <w:rsid w:val="00A56029"/>
    <w:rsid w:val="00A564E1"/>
    <w:rsid w:val="00A56617"/>
    <w:rsid w:val="00A568E0"/>
    <w:rsid w:val="00A57AAA"/>
    <w:rsid w:val="00A57BF9"/>
    <w:rsid w:val="00A57DFC"/>
    <w:rsid w:val="00A602A7"/>
    <w:rsid w:val="00A60AF4"/>
    <w:rsid w:val="00A60BD2"/>
    <w:rsid w:val="00A60F78"/>
    <w:rsid w:val="00A610A0"/>
    <w:rsid w:val="00A61618"/>
    <w:rsid w:val="00A6296A"/>
    <w:rsid w:val="00A62C2A"/>
    <w:rsid w:val="00A630B5"/>
    <w:rsid w:val="00A6364E"/>
    <w:rsid w:val="00A6480F"/>
    <w:rsid w:val="00A64CB0"/>
    <w:rsid w:val="00A64CC6"/>
    <w:rsid w:val="00A64D0A"/>
    <w:rsid w:val="00A653C1"/>
    <w:rsid w:val="00A655DD"/>
    <w:rsid w:val="00A65D11"/>
    <w:rsid w:val="00A667AB"/>
    <w:rsid w:val="00A668E9"/>
    <w:rsid w:val="00A66DAA"/>
    <w:rsid w:val="00A66EE8"/>
    <w:rsid w:val="00A70534"/>
    <w:rsid w:val="00A7067F"/>
    <w:rsid w:val="00A70C83"/>
    <w:rsid w:val="00A71340"/>
    <w:rsid w:val="00A720A6"/>
    <w:rsid w:val="00A7238C"/>
    <w:rsid w:val="00A729B6"/>
    <w:rsid w:val="00A72A32"/>
    <w:rsid w:val="00A73512"/>
    <w:rsid w:val="00A755ED"/>
    <w:rsid w:val="00A77008"/>
    <w:rsid w:val="00A77392"/>
    <w:rsid w:val="00A77F1D"/>
    <w:rsid w:val="00A80C47"/>
    <w:rsid w:val="00A80CD6"/>
    <w:rsid w:val="00A80E85"/>
    <w:rsid w:val="00A80F6B"/>
    <w:rsid w:val="00A811C4"/>
    <w:rsid w:val="00A819FF"/>
    <w:rsid w:val="00A82352"/>
    <w:rsid w:val="00A824BF"/>
    <w:rsid w:val="00A828AF"/>
    <w:rsid w:val="00A83B79"/>
    <w:rsid w:val="00A843CE"/>
    <w:rsid w:val="00A845DE"/>
    <w:rsid w:val="00A85E2D"/>
    <w:rsid w:val="00A86500"/>
    <w:rsid w:val="00A87258"/>
    <w:rsid w:val="00A87E70"/>
    <w:rsid w:val="00A91466"/>
    <w:rsid w:val="00A91547"/>
    <w:rsid w:val="00A91C65"/>
    <w:rsid w:val="00A91C83"/>
    <w:rsid w:val="00A92E25"/>
    <w:rsid w:val="00A92F08"/>
    <w:rsid w:val="00A93D3B"/>
    <w:rsid w:val="00A9461D"/>
    <w:rsid w:val="00A94BA4"/>
    <w:rsid w:val="00A95184"/>
    <w:rsid w:val="00A95682"/>
    <w:rsid w:val="00A9655A"/>
    <w:rsid w:val="00A96988"/>
    <w:rsid w:val="00A974AA"/>
    <w:rsid w:val="00A978E5"/>
    <w:rsid w:val="00A9799E"/>
    <w:rsid w:val="00AA03E6"/>
    <w:rsid w:val="00AA0AC2"/>
    <w:rsid w:val="00AA0C8F"/>
    <w:rsid w:val="00AA0F79"/>
    <w:rsid w:val="00AA1A05"/>
    <w:rsid w:val="00AA1B4E"/>
    <w:rsid w:val="00AA20F7"/>
    <w:rsid w:val="00AA29D3"/>
    <w:rsid w:val="00AA34CF"/>
    <w:rsid w:val="00AA4EDB"/>
    <w:rsid w:val="00AA505A"/>
    <w:rsid w:val="00AA534D"/>
    <w:rsid w:val="00AA721F"/>
    <w:rsid w:val="00AA7994"/>
    <w:rsid w:val="00AA7BBF"/>
    <w:rsid w:val="00AB0739"/>
    <w:rsid w:val="00AB1752"/>
    <w:rsid w:val="00AB1848"/>
    <w:rsid w:val="00AB1E42"/>
    <w:rsid w:val="00AB1F76"/>
    <w:rsid w:val="00AB41E0"/>
    <w:rsid w:val="00AB4AEB"/>
    <w:rsid w:val="00AB4CA2"/>
    <w:rsid w:val="00AB5853"/>
    <w:rsid w:val="00AB5916"/>
    <w:rsid w:val="00AB7455"/>
    <w:rsid w:val="00AB7A31"/>
    <w:rsid w:val="00AC0388"/>
    <w:rsid w:val="00AC0682"/>
    <w:rsid w:val="00AC0A4A"/>
    <w:rsid w:val="00AC0E65"/>
    <w:rsid w:val="00AC1A60"/>
    <w:rsid w:val="00AC2406"/>
    <w:rsid w:val="00AC262B"/>
    <w:rsid w:val="00AC3270"/>
    <w:rsid w:val="00AC3490"/>
    <w:rsid w:val="00AC351D"/>
    <w:rsid w:val="00AC3A3F"/>
    <w:rsid w:val="00AC3D6E"/>
    <w:rsid w:val="00AC4265"/>
    <w:rsid w:val="00AC4843"/>
    <w:rsid w:val="00AC4C0F"/>
    <w:rsid w:val="00AC4E05"/>
    <w:rsid w:val="00AC5F7F"/>
    <w:rsid w:val="00AC6E0C"/>
    <w:rsid w:val="00AC7D03"/>
    <w:rsid w:val="00AD0A89"/>
    <w:rsid w:val="00AD1522"/>
    <w:rsid w:val="00AD1B0B"/>
    <w:rsid w:val="00AD1CC6"/>
    <w:rsid w:val="00AD1E21"/>
    <w:rsid w:val="00AD214B"/>
    <w:rsid w:val="00AD2E21"/>
    <w:rsid w:val="00AD31CC"/>
    <w:rsid w:val="00AD4CF9"/>
    <w:rsid w:val="00AD5F0E"/>
    <w:rsid w:val="00AD6252"/>
    <w:rsid w:val="00AD6CF5"/>
    <w:rsid w:val="00AD712C"/>
    <w:rsid w:val="00AD71CB"/>
    <w:rsid w:val="00AD784F"/>
    <w:rsid w:val="00AD7C00"/>
    <w:rsid w:val="00AE0AC7"/>
    <w:rsid w:val="00AE2D15"/>
    <w:rsid w:val="00AE380A"/>
    <w:rsid w:val="00AE3B14"/>
    <w:rsid w:val="00AE4068"/>
    <w:rsid w:val="00AE4943"/>
    <w:rsid w:val="00AE543E"/>
    <w:rsid w:val="00AE5DDE"/>
    <w:rsid w:val="00AE609B"/>
    <w:rsid w:val="00AE674E"/>
    <w:rsid w:val="00AE68C2"/>
    <w:rsid w:val="00AE6C34"/>
    <w:rsid w:val="00AE7DBC"/>
    <w:rsid w:val="00AF185A"/>
    <w:rsid w:val="00AF1FEE"/>
    <w:rsid w:val="00AF1FF4"/>
    <w:rsid w:val="00AF2B68"/>
    <w:rsid w:val="00AF32E5"/>
    <w:rsid w:val="00AF46FC"/>
    <w:rsid w:val="00AF4D90"/>
    <w:rsid w:val="00AF5656"/>
    <w:rsid w:val="00AF575B"/>
    <w:rsid w:val="00AF5B16"/>
    <w:rsid w:val="00AF5F4C"/>
    <w:rsid w:val="00AF636B"/>
    <w:rsid w:val="00AF6C37"/>
    <w:rsid w:val="00AF6E99"/>
    <w:rsid w:val="00AF78A1"/>
    <w:rsid w:val="00B0019B"/>
    <w:rsid w:val="00B00841"/>
    <w:rsid w:val="00B00A96"/>
    <w:rsid w:val="00B0213D"/>
    <w:rsid w:val="00B0219B"/>
    <w:rsid w:val="00B02E0F"/>
    <w:rsid w:val="00B0382C"/>
    <w:rsid w:val="00B04454"/>
    <w:rsid w:val="00B05AD6"/>
    <w:rsid w:val="00B05BD0"/>
    <w:rsid w:val="00B06D8F"/>
    <w:rsid w:val="00B07965"/>
    <w:rsid w:val="00B07D16"/>
    <w:rsid w:val="00B1000C"/>
    <w:rsid w:val="00B11709"/>
    <w:rsid w:val="00B11768"/>
    <w:rsid w:val="00B11776"/>
    <w:rsid w:val="00B11ABD"/>
    <w:rsid w:val="00B12263"/>
    <w:rsid w:val="00B12B6E"/>
    <w:rsid w:val="00B1338A"/>
    <w:rsid w:val="00B16F8C"/>
    <w:rsid w:val="00B17118"/>
    <w:rsid w:val="00B173EB"/>
    <w:rsid w:val="00B17E35"/>
    <w:rsid w:val="00B2050E"/>
    <w:rsid w:val="00B20776"/>
    <w:rsid w:val="00B21856"/>
    <w:rsid w:val="00B219F0"/>
    <w:rsid w:val="00B21BD3"/>
    <w:rsid w:val="00B21C76"/>
    <w:rsid w:val="00B2250C"/>
    <w:rsid w:val="00B22F9F"/>
    <w:rsid w:val="00B235FE"/>
    <w:rsid w:val="00B23A01"/>
    <w:rsid w:val="00B23BFA"/>
    <w:rsid w:val="00B246B0"/>
    <w:rsid w:val="00B24E52"/>
    <w:rsid w:val="00B25730"/>
    <w:rsid w:val="00B2588A"/>
    <w:rsid w:val="00B25D53"/>
    <w:rsid w:val="00B25DA2"/>
    <w:rsid w:val="00B25EE3"/>
    <w:rsid w:val="00B25F84"/>
    <w:rsid w:val="00B26809"/>
    <w:rsid w:val="00B27412"/>
    <w:rsid w:val="00B276FA"/>
    <w:rsid w:val="00B27878"/>
    <w:rsid w:val="00B27898"/>
    <w:rsid w:val="00B2793A"/>
    <w:rsid w:val="00B27DAF"/>
    <w:rsid w:val="00B30888"/>
    <w:rsid w:val="00B309B1"/>
    <w:rsid w:val="00B30CDE"/>
    <w:rsid w:val="00B30E1E"/>
    <w:rsid w:val="00B3157D"/>
    <w:rsid w:val="00B31BB6"/>
    <w:rsid w:val="00B32250"/>
    <w:rsid w:val="00B32337"/>
    <w:rsid w:val="00B32C0A"/>
    <w:rsid w:val="00B32D86"/>
    <w:rsid w:val="00B33099"/>
    <w:rsid w:val="00B33257"/>
    <w:rsid w:val="00B34216"/>
    <w:rsid w:val="00B34982"/>
    <w:rsid w:val="00B35259"/>
    <w:rsid w:val="00B365D3"/>
    <w:rsid w:val="00B36EAE"/>
    <w:rsid w:val="00B40A50"/>
    <w:rsid w:val="00B40CCD"/>
    <w:rsid w:val="00B41AB0"/>
    <w:rsid w:val="00B41CCD"/>
    <w:rsid w:val="00B426D6"/>
    <w:rsid w:val="00B427B0"/>
    <w:rsid w:val="00B427F9"/>
    <w:rsid w:val="00B429C1"/>
    <w:rsid w:val="00B437EC"/>
    <w:rsid w:val="00B43A5B"/>
    <w:rsid w:val="00B43C48"/>
    <w:rsid w:val="00B43D1A"/>
    <w:rsid w:val="00B449ED"/>
    <w:rsid w:val="00B44A1C"/>
    <w:rsid w:val="00B44AC5"/>
    <w:rsid w:val="00B45B1C"/>
    <w:rsid w:val="00B45FA3"/>
    <w:rsid w:val="00B46A50"/>
    <w:rsid w:val="00B47E44"/>
    <w:rsid w:val="00B47EAC"/>
    <w:rsid w:val="00B500AB"/>
    <w:rsid w:val="00B50641"/>
    <w:rsid w:val="00B50B11"/>
    <w:rsid w:val="00B50C96"/>
    <w:rsid w:val="00B50F01"/>
    <w:rsid w:val="00B513E4"/>
    <w:rsid w:val="00B52044"/>
    <w:rsid w:val="00B5227E"/>
    <w:rsid w:val="00B528DD"/>
    <w:rsid w:val="00B53B4F"/>
    <w:rsid w:val="00B5418E"/>
    <w:rsid w:val="00B55124"/>
    <w:rsid w:val="00B5574A"/>
    <w:rsid w:val="00B560AA"/>
    <w:rsid w:val="00B5665B"/>
    <w:rsid w:val="00B56795"/>
    <w:rsid w:val="00B57644"/>
    <w:rsid w:val="00B6009D"/>
    <w:rsid w:val="00B60B6A"/>
    <w:rsid w:val="00B61BB9"/>
    <w:rsid w:val="00B632E5"/>
    <w:rsid w:val="00B634E8"/>
    <w:rsid w:val="00B636EC"/>
    <w:rsid w:val="00B63C15"/>
    <w:rsid w:val="00B63CFB"/>
    <w:rsid w:val="00B6478A"/>
    <w:rsid w:val="00B64BE6"/>
    <w:rsid w:val="00B6609B"/>
    <w:rsid w:val="00B6634A"/>
    <w:rsid w:val="00B6655F"/>
    <w:rsid w:val="00B6712A"/>
    <w:rsid w:val="00B672C6"/>
    <w:rsid w:val="00B67978"/>
    <w:rsid w:val="00B70173"/>
    <w:rsid w:val="00B702EA"/>
    <w:rsid w:val="00B718C8"/>
    <w:rsid w:val="00B71BEA"/>
    <w:rsid w:val="00B725AD"/>
    <w:rsid w:val="00B725D3"/>
    <w:rsid w:val="00B74233"/>
    <w:rsid w:val="00B75BF6"/>
    <w:rsid w:val="00B75E75"/>
    <w:rsid w:val="00B762F9"/>
    <w:rsid w:val="00B764BC"/>
    <w:rsid w:val="00B768C3"/>
    <w:rsid w:val="00B76B73"/>
    <w:rsid w:val="00B76CD2"/>
    <w:rsid w:val="00B7757C"/>
    <w:rsid w:val="00B77712"/>
    <w:rsid w:val="00B8107E"/>
    <w:rsid w:val="00B8152C"/>
    <w:rsid w:val="00B8195D"/>
    <w:rsid w:val="00B81E13"/>
    <w:rsid w:val="00B83E8F"/>
    <w:rsid w:val="00B84C06"/>
    <w:rsid w:val="00B858AC"/>
    <w:rsid w:val="00B85939"/>
    <w:rsid w:val="00B85EAA"/>
    <w:rsid w:val="00B85EBC"/>
    <w:rsid w:val="00B86786"/>
    <w:rsid w:val="00B86AA8"/>
    <w:rsid w:val="00B86E8F"/>
    <w:rsid w:val="00B87C98"/>
    <w:rsid w:val="00B87CAE"/>
    <w:rsid w:val="00B903FF"/>
    <w:rsid w:val="00B90461"/>
    <w:rsid w:val="00B90CF5"/>
    <w:rsid w:val="00B9144B"/>
    <w:rsid w:val="00B92444"/>
    <w:rsid w:val="00B925F1"/>
    <w:rsid w:val="00B926AC"/>
    <w:rsid w:val="00B92879"/>
    <w:rsid w:val="00B92A90"/>
    <w:rsid w:val="00B9366B"/>
    <w:rsid w:val="00B93BDE"/>
    <w:rsid w:val="00B93DDB"/>
    <w:rsid w:val="00B94B54"/>
    <w:rsid w:val="00B95D45"/>
    <w:rsid w:val="00B9668D"/>
    <w:rsid w:val="00B968F7"/>
    <w:rsid w:val="00BA0F74"/>
    <w:rsid w:val="00BA19AE"/>
    <w:rsid w:val="00BA2357"/>
    <w:rsid w:val="00BA353B"/>
    <w:rsid w:val="00BA4233"/>
    <w:rsid w:val="00BA4244"/>
    <w:rsid w:val="00BA440E"/>
    <w:rsid w:val="00BA506B"/>
    <w:rsid w:val="00BA5359"/>
    <w:rsid w:val="00BA5621"/>
    <w:rsid w:val="00BA6401"/>
    <w:rsid w:val="00BA6520"/>
    <w:rsid w:val="00BA6C02"/>
    <w:rsid w:val="00BA7C7C"/>
    <w:rsid w:val="00BA7FCB"/>
    <w:rsid w:val="00BB013C"/>
    <w:rsid w:val="00BB0237"/>
    <w:rsid w:val="00BB0714"/>
    <w:rsid w:val="00BB087A"/>
    <w:rsid w:val="00BB0D72"/>
    <w:rsid w:val="00BB113A"/>
    <w:rsid w:val="00BB14D2"/>
    <w:rsid w:val="00BB176B"/>
    <w:rsid w:val="00BB188F"/>
    <w:rsid w:val="00BB212E"/>
    <w:rsid w:val="00BB2541"/>
    <w:rsid w:val="00BB291C"/>
    <w:rsid w:val="00BB2967"/>
    <w:rsid w:val="00BB323D"/>
    <w:rsid w:val="00BB366F"/>
    <w:rsid w:val="00BB36C0"/>
    <w:rsid w:val="00BB3803"/>
    <w:rsid w:val="00BB3F43"/>
    <w:rsid w:val="00BB546B"/>
    <w:rsid w:val="00BB59EA"/>
    <w:rsid w:val="00BB59EB"/>
    <w:rsid w:val="00BB5AA4"/>
    <w:rsid w:val="00BB6BD8"/>
    <w:rsid w:val="00BB6BEC"/>
    <w:rsid w:val="00BB7841"/>
    <w:rsid w:val="00BC0FD4"/>
    <w:rsid w:val="00BC1CFF"/>
    <w:rsid w:val="00BC24BD"/>
    <w:rsid w:val="00BC256D"/>
    <w:rsid w:val="00BC2A07"/>
    <w:rsid w:val="00BC2B59"/>
    <w:rsid w:val="00BC4063"/>
    <w:rsid w:val="00BC545F"/>
    <w:rsid w:val="00BC6ADA"/>
    <w:rsid w:val="00BC6C8A"/>
    <w:rsid w:val="00BC6E0E"/>
    <w:rsid w:val="00BC7B08"/>
    <w:rsid w:val="00BD0088"/>
    <w:rsid w:val="00BD0517"/>
    <w:rsid w:val="00BD2590"/>
    <w:rsid w:val="00BD2754"/>
    <w:rsid w:val="00BD27E2"/>
    <w:rsid w:val="00BD2D12"/>
    <w:rsid w:val="00BD2E48"/>
    <w:rsid w:val="00BD2FDC"/>
    <w:rsid w:val="00BD4878"/>
    <w:rsid w:val="00BD4896"/>
    <w:rsid w:val="00BD507F"/>
    <w:rsid w:val="00BD59C9"/>
    <w:rsid w:val="00BD64F9"/>
    <w:rsid w:val="00BD6900"/>
    <w:rsid w:val="00BD7FDE"/>
    <w:rsid w:val="00BE19B7"/>
    <w:rsid w:val="00BE1F9C"/>
    <w:rsid w:val="00BE38FD"/>
    <w:rsid w:val="00BE3C36"/>
    <w:rsid w:val="00BE49F3"/>
    <w:rsid w:val="00BE600E"/>
    <w:rsid w:val="00BE67D1"/>
    <w:rsid w:val="00BE6952"/>
    <w:rsid w:val="00BE72F0"/>
    <w:rsid w:val="00BF05C1"/>
    <w:rsid w:val="00BF1187"/>
    <w:rsid w:val="00BF1779"/>
    <w:rsid w:val="00BF1A2E"/>
    <w:rsid w:val="00BF1B60"/>
    <w:rsid w:val="00BF2E9F"/>
    <w:rsid w:val="00BF3A48"/>
    <w:rsid w:val="00BF3BAD"/>
    <w:rsid w:val="00BF3D99"/>
    <w:rsid w:val="00BF5CE6"/>
    <w:rsid w:val="00BF6835"/>
    <w:rsid w:val="00BF6948"/>
    <w:rsid w:val="00BF749E"/>
    <w:rsid w:val="00BF79E4"/>
    <w:rsid w:val="00BF7A6A"/>
    <w:rsid w:val="00BF7CBB"/>
    <w:rsid w:val="00C0022D"/>
    <w:rsid w:val="00C00732"/>
    <w:rsid w:val="00C00C12"/>
    <w:rsid w:val="00C010EC"/>
    <w:rsid w:val="00C01D44"/>
    <w:rsid w:val="00C03046"/>
    <w:rsid w:val="00C0440C"/>
    <w:rsid w:val="00C0535A"/>
    <w:rsid w:val="00C062AF"/>
    <w:rsid w:val="00C063A8"/>
    <w:rsid w:val="00C0653A"/>
    <w:rsid w:val="00C073B2"/>
    <w:rsid w:val="00C07EAA"/>
    <w:rsid w:val="00C10D26"/>
    <w:rsid w:val="00C10D65"/>
    <w:rsid w:val="00C12016"/>
    <w:rsid w:val="00C123C4"/>
    <w:rsid w:val="00C13415"/>
    <w:rsid w:val="00C13E26"/>
    <w:rsid w:val="00C14515"/>
    <w:rsid w:val="00C147EC"/>
    <w:rsid w:val="00C155FB"/>
    <w:rsid w:val="00C162C6"/>
    <w:rsid w:val="00C1693D"/>
    <w:rsid w:val="00C175C6"/>
    <w:rsid w:val="00C2019C"/>
    <w:rsid w:val="00C20277"/>
    <w:rsid w:val="00C209DF"/>
    <w:rsid w:val="00C211DE"/>
    <w:rsid w:val="00C219CA"/>
    <w:rsid w:val="00C21D74"/>
    <w:rsid w:val="00C2367B"/>
    <w:rsid w:val="00C25166"/>
    <w:rsid w:val="00C25770"/>
    <w:rsid w:val="00C26BA3"/>
    <w:rsid w:val="00C26BF2"/>
    <w:rsid w:val="00C27149"/>
    <w:rsid w:val="00C273E0"/>
    <w:rsid w:val="00C275AF"/>
    <w:rsid w:val="00C27ACE"/>
    <w:rsid w:val="00C27F20"/>
    <w:rsid w:val="00C30335"/>
    <w:rsid w:val="00C3061B"/>
    <w:rsid w:val="00C30817"/>
    <w:rsid w:val="00C3216A"/>
    <w:rsid w:val="00C3344A"/>
    <w:rsid w:val="00C350BB"/>
    <w:rsid w:val="00C35600"/>
    <w:rsid w:val="00C35A1B"/>
    <w:rsid w:val="00C35E88"/>
    <w:rsid w:val="00C3649D"/>
    <w:rsid w:val="00C364CB"/>
    <w:rsid w:val="00C36A5F"/>
    <w:rsid w:val="00C36E7F"/>
    <w:rsid w:val="00C3707D"/>
    <w:rsid w:val="00C3724D"/>
    <w:rsid w:val="00C4051F"/>
    <w:rsid w:val="00C4115C"/>
    <w:rsid w:val="00C43C09"/>
    <w:rsid w:val="00C448CD"/>
    <w:rsid w:val="00C44930"/>
    <w:rsid w:val="00C4583F"/>
    <w:rsid w:val="00C45A37"/>
    <w:rsid w:val="00C45D24"/>
    <w:rsid w:val="00C4695D"/>
    <w:rsid w:val="00C46D3D"/>
    <w:rsid w:val="00C46F3B"/>
    <w:rsid w:val="00C4705B"/>
    <w:rsid w:val="00C47EDB"/>
    <w:rsid w:val="00C50917"/>
    <w:rsid w:val="00C5104C"/>
    <w:rsid w:val="00C511DA"/>
    <w:rsid w:val="00C52C65"/>
    <w:rsid w:val="00C55274"/>
    <w:rsid w:val="00C55E4A"/>
    <w:rsid w:val="00C565FC"/>
    <w:rsid w:val="00C56B67"/>
    <w:rsid w:val="00C571E9"/>
    <w:rsid w:val="00C5786A"/>
    <w:rsid w:val="00C61376"/>
    <w:rsid w:val="00C62427"/>
    <w:rsid w:val="00C626E7"/>
    <w:rsid w:val="00C63FCD"/>
    <w:rsid w:val="00C64DCF"/>
    <w:rsid w:val="00C65EE9"/>
    <w:rsid w:val="00C66694"/>
    <w:rsid w:val="00C6691D"/>
    <w:rsid w:val="00C66DAE"/>
    <w:rsid w:val="00C7014B"/>
    <w:rsid w:val="00C702FA"/>
    <w:rsid w:val="00C71ABD"/>
    <w:rsid w:val="00C71D04"/>
    <w:rsid w:val="00C72272"/>
    <w:rsid w:val="00C727A5"/>
    <w:rsid w:val="00C727E2"/>
    <w:rsid w:val="00C72998"/>
    <w:rsid w:val="00C72EB3"/>
    <w:rsid w:val="00C73606"/>
    <w:rsid w:val="00C74A3E"/>
    <w:rsid w:val="00C7711D"/>
    <w:rsid w:val="00C80C2B"/>
    <w:rsid w:val="00C815E0"/>
    <w:rsid w:val="00C82350"/>
    <w:rsid w:val="00C843D4"/>
    <w:rsid w:val="00C850DF"/>
    <w:rsid w:val="00C8543D"/>
    <w:rsid w:val="00C8545D"/>
    <w:rsid w:val="00C85870"/>
    <w:rsid w:val="00C875B2"/>
    <w:rsid w:val="00C87954"/>
    <w:rsid w:val="00C87D97"/>
    <w:rsid w:val="00C9071B"/>
    <w:rsid w:val="00C908EF"/>
    <w:rsid w:val="00C90B0F"/>
    <w:rsid w:val="00C90FDF"/>
    <w:rsid w:val="00C90FED"/>
    <w:rsid w:val="00C9112B"/>
    <w:rsid w:val="00C91415"/>
    <w:rsid w:val="00C92A25"/>
    <w:rsid w:val="00C93599"/>
    <w:rsid w:val="00C93685"/>
    <w:rsid w:val="00C94350"/>
    <w:rsid w:val="00C94998"/>
    <w:rsid w:val="00C9642F"/>
    <w:rsid w:val="00C97F18"/>
    <w:rsid w:val="00CA047F"/>
    <w:rsid w:val="00CA136A"/>
    <w:rsid w:val="00CA1FDB"/>
    <w:rsid w:val="00CA2544"/>
    <w:rsid w:val="00CA29D1"/>
    <w:rsid w:val="00CA4727"/>
    <w:rsid w:val="00CA49DC"/>
    <w:rsid w:val="00CA4B83"/>
    <w:rsid w:val="00CA4C7D"/>
    <w:rsid w:val="00CA526B"/>
    <w:rsid w:val="00CA5E9F"/>
    <w:rsid w:val="00CA66B9"/>
    <w:rsid w:val="00CA6B4E"/>
    <w:rsid w:val="00CA7187"/>
    <w:rsid w:val="00CB1002"/>
    <w:rsid w:val="00CB1335"/>
    <w:rsid w:val="00CB17C7"/>
    <w:rsid w:val="00CB37D9"/>
    <w:rsid w:val="00CB4D2F"/>
    <w:rsid w:val="00CB5EAB"/>
    <w:rsid w:val="00CB62FC"/>
    <w:rsid w:val="00CB718C"/>
    <w:rsid w:val="00CB787D"/>
    <w:rsid w:val="00CC104D"/>
    <w:rsid w:val="00CC207E"/>
    <w:rsid w:val="00CC30B5"/>
    <w:rsid w:val="00CC317F"/>
    <w:rsid w:val="00CC5096"/>
    <w:rsid w:val="00CC52E1"/>
    <w:rsid w:val="00CC613A"/>
    <w:rsid w:val="00CC61AE"/>
    <w:rsid w:val="00CC63BF"/>
    <w:rsid w:val="00CC6A40"/>
    <w:rsid w:val="00CC7997"/>
    <w:rsid w:val="00CC7F13"/>
    <w:rsid w:val="00CD0600"/>
    <w:rsid w:val="00CD13D8"/>
    <w:rsid w:val="00CD1FA8"/>
    <w:rsid w:val="00CD3985"/>
    <w:rsid w:val="00CD3A83"/>
    <w:rsid w:val="00CD3BDA"/>
    <w:rsid w:val="00CD47A8"/>
    <w:rsid w:val="00CD4973"/>
    <w:rsid w:val="00CD4B19"/>
    <w:rsid w:val="00CD690A"/>
    <w:rsid w:val="00CD6E36"/>
    <w:rsid w:val="00CD70A7"/>
    <w:rsid w:val="00CE0203"/>
    <w:rsid w:val="00CE02B6"/>
    <w:rsid w:val="00CE04F4"/>
    <w:rsid w:val="00CE0748"/>
    <w:rsid w:val="00CE0B16"/>
    <w:rsid w:val="00CE29E6"/>
    <w:rsid w:val="00CE3B0B"/>
    <w:rsid w:val="00CE3D01"/>
    <w:rsid w:val="00CE4678"/>
    <w:rsid w:val="00CE4BF5"/>
    <w:rsid w:val="00CE76A9"/>
    <w:rsid w:val="00CE7A92"/>
    <w:rsid w:val="00CF00E3"/>
    <w:rsid w:val="00CF09CB"/>
    <w:rsid w:val="00CF3764"/>
    <w:rsid w:val="00CF45FA"/>
    <w:rsid w:val="00CF4985"/>
    <w:rsid w:val="00CF50FE"/>
    <w:rsid w:val="00D00676"/>
    <w:rsid w:val="00D048B7"/>
    <w:rsid w:val="00D04F52"/>
    <w:rsid w:val="00D062B4"/>
    <w:rsid w:val="00D0696C"/>
    <w:rsid w:val="00D07C28"/>
    <w:rsid w:val="00D10338"/>
    <w:rsid w:val="00D1039C"/>
    <w:rsid w:val="00D10A96"/>
    <w:rsid w:val="00D10D34"/>
    <w:rsid w:val="00D10EFB"/>
    <w:rsid w:val="00D122F5"/>
    <w:rsid w:val="00D12D04"/>
    <w:rsid w:val="00D12E79"/>
    <w:rsid w:val="00D12FBF"/>
    <w:rsid w:val="00D1466B"/>
    <w:rsid w:val="00D1527A"/>
    <w:rsid w:val="00D15459"/>
    <w:rsid w:val="00D16432"/>
    <w:rsid w:val="00D16980"/>
    <w:rsid w:val="00D172B8"/>
    <w:rsid w:val="00D17339"/>
    <w:rsid w:val="00D207FF"/>
    <w:rsid w:val="00D208FE"/>
    <w:rsid w:val="00D20FEE"/>
    <w:rsid w:val="00D210D9"/>
    <w:rsid w:val="00D218D7"/>
    <w:rsid w:val="00D22F1F"/>
    <w:rsid w:val="00D23016"/>
    <w:rsid w:val="00D235BA"/>
    <w:rsid w:val="00D24A39"/>
    <w:rsid w:val="00D24DDB"/>
    <w:rsid w:val="00D25211"/>
    <w:rsid w:val="00D25560"/>
    <w:rsid w:val="00D25D41"/>
    <w:rsid w:val="00D25FDB"/>
    <w:rsid w:val="00D2637A"/>
    <w:rsid w:val="00D26671"/>
    <w:rsid w:val="00D266FC"/>
    <w:rsid w:val="00D27EDF"/>
    <w:rsid w:val="00D30792"/>
    <w:rsid w:val="00D3083A"/>
    <w:rsid w:val="00D31AFE"/>
    <w:rsid w:val="00D32A5D"/>
    <w:rsid w:val="00D32C31"/>
    <w:rsid w:val="00D331C3"/>
    <w:rsid w:val="00D33E53"/>
    <w:rsid w:val="00D34DC9"/>
    <w:rsid w:val="00D35D5B"/>
    <w:rsid w:val="00D35D8F"/>
    <w:rsid w:val="00D35F1F"/>
    <w:rsid w:val="00D360DA"/>
    <w:rsid w:val="00D36584"/>
    <w:rsid w:val="00D366D3"/>
    <w:rsid w:val="00D3690F"/>
    <w:rsid w:val="00D3749C"/>
    <w:rsid w:val="00D37AA8"/>
    <w:rsid w:val="00D37AE9"/>
    <w:rsid w:val="00D40904"/>
    <w:rsid w:val="00D4215B"/>
    <w:rsid w:val="00D43D64"/>
    <w:rsid w:val="00D44BA1"/>
    <w:rsid w:val="00D44DC2"/>
    <w:rsid w:val="00D44F41"/>
    <w:rsid w:val="00D45060"/>
    <w:rsid w:val="00D4607E"/>
    <w:rsid w:val="00D4628F"/>
    <w:rsid w:val="00D47017"/>
    <w:rsid w:val="00D47E48"/>
    <w:rsid w:val="00D50042"/>
    <w:rsid w:val="00D5079E"/>
    <w:rsid w:val="00D50A46"/>
    <w:rsid w:val="00D5170D"/>
    <w:rsid w:val="00D52305"/>
    <w:rsid w:val="00D52E94"/>
    <w:rsid w:val="00D53845"/>
    <w:rsid w:val="00D5481F"/>
    <w:rsid w:val="00D5560D"/>
    <w:rsid w:val="00D5621A"/>
    <w:rsid w:val="00D56405"/>
    <w:rsid w:val="00D5670B"/>
    <w:rsid w:val="00D56A0D"/>
    <w:rsid w:val="00D56B0C"/>
    <w:rsid w:val="00D56D2D"/>
    <w:rsid w:val="00D56DB4"/>
    <w:rsid w:val="00D57560"/>
    <w:rsid w:val="00D57D81"/>
    <w:rsid w:val="00D6031B"/>
    <w:rsid w:val="00D610C7"/>
    <w:rsid w:val="00D61B40"/>
    <w:rsid w:val="00D624F3"/>
    <w:rsid w:val="00D6261B"/>
    <w:rsid w:val="00D62B9F"/>
    <w:rsid w:val="00D63223"/>
    <w:rsid w:val="00D63B0A"/>
    <w:rsid w:val="00D63ED8"/>
    <w:rsid w:val="00D64002"/>
    <w:rsid w:val="00D64943"/>
    <w:rsid w:val="00D649A0"/>
    <w:rsid w:val="00D65030"/>
    <w:rsid w:val="00D653A9"/>
    <w:rsid w:val="00D65B74"/>
    <w:rsid w:val="00D66025"/>
    <w:rsid w:val="00D66223"/>
    <w:rsid w:val="00D66689"/>
    <w:rsid w:val="00D66E52"/>
    <w:rsid w:val="00D66EA0"/>
    <w:rsid w:val="00D67200"/>
    <w:rsid w:val="00D67F10"/>
    <w:rsid w:val="00D67F97"/>
    <w:rsid w:val="00D7027C"/>
    <w:rsid w:val="00D70945"/>
    <w:rsid w:val="00D71878"/>
    <w:rsid w:val="00D7205D"/>
    <w:rsid w:val="00D73345"/>
    <w:rsid w:val="00D73AF1"/>
    <w:rsid w:val="00D74222"/>
    <w:rsid w:val="00D747BE"/>
    <w:rsid w:val="00D74B64"/>
    <w:rsid w:val="00D74FEF"/>
    <w:rsid w:val="00D76B55"/>
    <w:rsid w:val="00D76CB9"/>
    <w:rsid w:val="00D77BC6"/>
    <w:rsid w:val="00D816A0"/>
    <w:rsid w:val="00D81A42"/>
    <w:rsid w:val="00D826A8"/>
    <w:rsid w:val="00D843EE"/>
    <w:rsid w:val="00D8487F"/>
    <w:rsid w:val="00D84C66"/>
    <w:rsid w:val="00D8605C"/>
    <w:rsid w:val="00D865AC"/>
    <w:rsid w:val="00D86A7E"/>
    <w:rsid w:val="00D87C0C"/>
    <w:rsid w:val="00D90BD1"/>
    <w:rsid w:val="00D90DC3"/>
    <w:rsid w:val="00D911B2"/>
    <w:rsid w:val="00D918EB"/>
    <w:rsid w:val="00D91C03"/>
    <w:rsid w:val="00D91C18"/>
    <w:rsid w:val="00D92D14"/>
    <w:rsid w:val="00D9330F"/>
    <w:rsid w:val="00D933AA"/>
    <w:rsid w:val="00D93E0B"/>
    <w:rsid w:val="00D93F81"/>
    <w:rsid w:val="00D94183"/>
    <w:rsid w:val="00D9497E"/>
    <w:rsid w:val="00D954AD"/>
    <w:rsid w:val="00D964EF"/>
    <w:rsid w:val="00D96546"/>
    <w:rsid w:val="00D96B3E"/>
    <w:rsid w:val="00D96FBE"/>
    <w:rsid w:val="00D97256"/>
    <w:rsid w:val="00D974E6"/>
    <w:rsid w:val="00DA09CD"/>
    <w:rsid w:val="00DA0ED4"/>
    <w:rsid w:val="00DA2F46"/>
    <w:rsid w:val="00DA3B53"/>
    <w:rsid w:val="00DA3D11"/>
    <w:rsid w:val="00DA47FC"/>
    <w:rsid w:val="00DA561E"/>
    <w:rsid w:val="00DA620A"/>
    <w:rsid w:val="00DA6B31"/>
    <w:rsid w:val="00DA6D13"/>
    <w:rsid w:val="00DA7322"/>
    <w:rsid w:val="00DB0428"/>
    <w:rsid w:val="00DB1264"/>
    <w:rsid w:val="00DB12F7"/>
    <w:rsid w:val="00DB191B"/>
    <w:rsid w:val="00DB2935"/>
    <w:rsid w:val="00DB2ADB"/>
    <w:rsid w:val="00DB3269"/>
    <w:rsid w:val="00DB466A"/>
    <w:rsid w:val="00DB46AA"/>
    <w:rsid w:val="00DB521B"/>
    <w:rsid w:val="00DB6789"/>
    <w:rsid w:val="00DC04E2"/>
    <w:rsid w:val="00DC0658"/>
    <w:rsid w:val="00DC07C2"/>
    <w:rsid w:val="00DC11AD"/>
    <w:rsid w:val="00DC1DA5"/>
    <w:rsid w:val="00DC1DC7"/>
    <w:rsid w:val="00DC2C4F"/>
    <w:rsid w:val="00DC3586"/>
    <w:rsid w:val="00DC38C1"/>
    <w:rsid w:val="00DC3B37"/>
    <w:rsid w:val="00DC3B4A"/>
    <w:rsid w:val="00DC3E68"/>
    <w:rsid w:val="00DC3F7D"/>
    <w:rsid w:val="00DC42EF"/>
    <w:rsid w:val="00DC450F"/>
    <w:rsid w:val="00DC4E7B"/>
    <w:rsid w:val="00DC4F80"/>
    <w:rsid w:val="00DC589C"/>
    <w:rsid w:val="00DC6C42"/>
    <w:rsid w:val="00DC6DDE"/>
    <w:rsid w:val="00DC6EC7"/>
    <w:rsid w:val="00DC72E4"/>
    <w:rsid w:val="00DC7BAA"/>
    <w:rsid w:val="00DD0831"/>
    <w:rsid w:val="00DD08C8"/>
    <w:rsid w:val="00DD08F1"/>
    <w:rsid w:val="00DD0A2B"/>
    <w:rsid w:val="00DD0C90"/>
    <w:rsid w:val="00DD19FC"/>
    <w:rsid w:val="00DD2636"/>
    <w:rsid w:val="00DD2711"/>
    <w:rsid w:val="00DD27B3"/>
    <w:rsid w:val="00DD28C3"/>
    <w:rsid w:val="00DD338A"/>
    <w:rsid w:val="00DD39C7"/>
    <w:rsid w:val="00DD3DCB"/>
    <w:rsid w:val="00DD4F2A"/>
    <w:rsid w:val="00DD5003"/>
    <w:rsid w:val="00DD51B3"/>
    <w:rsid w:val="00DD530D"/>
    <w:rsid w:val="00DD5328"/>
    <w:rsid w:val="00DD684C"/>
    <w:rsid w:val="00DD6898"/>
    <w:rsid w:val="00DD7459"/>
    <w:rsid w:val="00DD7768"/>
    <w:rsid w:val="00DD7866"/>
    <w:rsid w:val="00DD7ADC"/>
    <w:rsid w:val="00DD7B2E"/>
    <w:rsid w:val="00DD7CA0"/>
    <w:rsid w:val="00DE0454"/>
    <w:rsid w:val="00DE0B84"/>
    <w:rsid w:val="00DE1743"/>
    <w:rsid w:val="00DE1B33"/>
    <w:rsid w:val="00DE2A0B"/>
    <w:rsid w:val="00DE30FC"/>
    <w:rsid w:val="00DE3370"/>
    <w:rsid w:val="00DE4ABD"/>
    <w:rsid w:val="00DE56E1"/>
    <w:rsid w:val="00DE57ED"/>
    <w:rsid w:val="00DE70CD"/>
    <w:rsid w:val="00DE7A28"/>
    <w:rsid w:val="00DF00FE"/>
    <w:rsid w:val="00DF04F2"/>
    <w:rsid w:val="00DF096F"/>
    <w:rsid w:val="00DF15A3"/>
    <w:rsid w:val="00DF1A06"/>
    <w:rsid w:val="00DF1F16"/>
    <w:rsid w:val="00DF2419"/>
    <w:rsid w:val="00DF2847"/>
    <w:rsid w:val="00DF2CEC"/>
    <w:rsid w:val="00DF39C3"/>
    <w:rsid w:val="00DF48EF"/>
    <w:rsid w:val="00DF5C8C"/>
    <w:rsid w:val="00DF5E4A"/>
    <w:rsid w:val="00DF63E4"/>
    <w:rsid w:val="00DF7063"/>
    <w:rsid w:val="00DF70AB"/>
    <w:rsid w:val="00E00168"/>
    <w:rsid w:val="00E00BA4"/>
    <w:rsid w:val="00E013B5"/>
    <w:rsid w:val="00E016BC"/>
    <w:rsid w:val="00E01F48"/>
    <w:rsid w:val="00E021E3"/>
    <w:rsid w:val="00E024B9"/>
    <w:rsid w:val="00E02B3E"/>
    <w:rsid w:val="00E03EAA"/>
    <w:rsid w:val="00E04386"/>
    <w:rsid w:val="00E04890"/>
    <w:rsid w:val="00E051FA"/>
    <w:rsid w:val="00E10405"/>
    <w:rsid w:val="00E1183F"/>
    <w:rsid w:val="00E124CB"/>
    <w:rsid w:val="00E13C52"/>
    <w:rsid w:val="00E13C90"/>
    <w:rsid w:val="00E146C2"/>
    <w:rsid w:val="00E15743"/>
    <w:rsid w:val="00E15CF9"/>
    <w:rsid w:val="00E1730A"/>
    <w:rsid w:val="00E17BBA"/>
    <w:rsid w:val="00E203C6"/>
    <w:rsid w:val="00E20C40"/>
    <w:rsid w:val="00E21BFC"/>
    <w:rsid w:val="00E22C5E"/>
    <w:rsid w:val="00E23E5B"/>
    <w:rsid w:val="00E24F4E"/>
    <w:rsid w:val="00E26169"/>
    <w:rsid w:val="00E26380"/>
    <w:rsid w:val="00E267D0"/>
    <w:rsid w:val="00E26BAD"/>
    <w:rsid w:val="00E26DE2"/>
    <w:rsid w:val="00E27210"/>
    <w:rsid w:val="00E27725"/>
    <w:rsid w:val="00E277BF"/>
    <w:rsid w:val="00E277FC"/>
    <w:rsid w:val="00E30007"/>
    <w:rsid w:val="00E302CB"/>
    <w:rsid w:val="00E314F2"/>
    <w:rsid w:val="00E334EB"/>
    <w:rsid w:val="00E33847"/>
    <w:rsid w:val="00E33EB6"/>
    <w:rsid w:val="00E35FEB"/>
    <w:rsid w:val="00E36D6B"/>
    <w:rsid w:val="00E40124"/>
    <w:rsid w:val="00E4195A"/>
    <w:rsid w:val="00E42509"/>
    <w:rsid w:val="00E42CBC"/>
    <w:rsid w:val="00E4336C"/>
    <w:rsid w:val="00E44112"/>
    <w:rsid w:val="00E44790"/>
    <w:rsid w:val="00E44859"/>
    <w:rsid w:val="00E44EC9"/>
    <w:rsid w:val="00E45373"/>
    <w:rsid w:val="00E46261"/>
    <w:rsid w:val="00E4643B"/>
    <w:rsid w:val="00E46461"/>
    <w:rsid w:val="00E46B45"/>
    <w:rsid w:val="00E470ED"/>
    <w:rsid w:val="00E5004E"/>
    <w:rsid w:val="00E510AB"/>
    <w:rsid w:val="00E514D7"/>
    <w:rsid w:val="00E51848"/>
    <w:rsid w:val="00E518EC"/>
    <w:rsid w:val="00E51982"/>
    <w:rsid w:val="00E52F4E"/>
    <w:rsid w:val="00E534C0"/>
    <w:rsid w:val="00E53A5D"/>
    <w:rsid w:val="00E555D0"/>
    <w:rsid w:val="00E561CD"/>
    <w:rsid w:val="00E5687C"/>
    <w:rsid w:val="00E56BE5"/>
    <w:rsid w:val="00E5731A"/>
    <w:rsid w:val="00E60194"/>
    <w:rsid w:val="00E607F9"/>
    <w:rsid w:val="00E60CF4"/>
    <w:rsid w:val="00E615CA"/>
    <w:rsid w:val="00E62512"/>
    <w:rsid w:val="00E6253E"/>
    <w:rsid w:val="00E627AF"/>
    <w:rsid w:val="00E62C16"/>
    <w:rsid w:val="00E62D21"/>
    <w:rsid w:val="00E63005"/>
    <w:rsid w:val="00E639A1"/>
    <w:rsid w:val="00E641BA"/>
    <w:rsid w:val="00E643FD"/>
    <w:rsid w:val="00E64D8B"/>
    <w:rsid w:val="00E65952"/>
    <w:rsid w:val="00E65961"/>
    <w:rsid w:val="00E66DB5"/>
    <w:rsid w:val="00E6753A"/>
    <w:rsid w:val="00E67ED0"/>
    <w:rsid w:val="00E7066F"/>
    <w:rsid w:val="00E70E77"/>
    <w:rsid w:val="00E711BF"/>
    <w:rsid w:val="00E71C1E"/>
    <w:rsid w:val="00E728AB"/>
    <w:rsid w:val="00E72A2F"/>
    <w:rsid w:val="00E7318B"/>
    <w:rsid w:val="00E73BB2"/>
    <w:rsid w:val="00E73E3C"/>
    <w:rsid w:val="00E73F51"/>
    <w:rsid w:val="00E752DA"/>
    <w:rsid w:val="00E75891"/>
    <w:rsid w:val="00E75CE2"/>
    <w:rsid w:val="00E76087"/>
    <w:rsid w:val="00E7612F"/>
    <w:rsid w:val="00E769A3"/>
    <w:rsid w:val="00E76F34"/>
    <w:rsid w:val="00E77334"/>
    <w:rsid w:val="00E7761E"/>
    <w:rsid w:val="00E776EB"/>
    <w:rsid w:val="00E80BD2"/>
    <w:rsid w:val="00E81A47"/>
    <w:rsid w:val="00E82F48"/>
    <w:rsid w:val="00E83814"/>
    <w:rsid w:val="00E840D7"/>
    <w:rsid w:val="00E841E5"/>
    <w:rsid w:val="00E84CB9"/>
    <w:rsid w:val="00E85CF7"/>
    <w:rsid w:val="00E8611A"/>
    <w:rsid w:val="00E86B49"/>
    <w:rsid w:val="00E90952"/>
    <w:rsid w:val="00E916F3"/>
    <w:rsid w:val="00E928EC"/>
    <w:rsid w:val="00E92CA3"/>
    <w:rsid w:val="00E93B99"/>
    <w:rsid w:val="00E93F03"/>
    <w:rsid w:val="00E9485E"/>
    <w:rsid w:val="00E95636"/>
    <w:rsid w:val="00E9589C"/>
    <w:rsid w:val="00E95AB6"/>
    <w:rsid w:val="00E97790"/>
    <w:rsid w:val="00E97CCD"/>
    <w:rsid w:val="00EA009B"/>
    <w:rsid w:val="00EA0AEF"/>
    <w:rsid w:val="00EA1480"/>
    <w:rsid w:val="00EA179D"/>
    <w:rsid w:val="00EA1BBB"/>
    <w:rsid w:val="00EA1E8B"/>
    <w:rsid w:val="00EA2FED"/>
    <w:rsid w:val="00EA3701"/>
    <w:rsid w:val="00EA4146"/>
    <w:rsid w:val="00EA4792"/>
    <w:rsid w:val="00EA4DCB"/>
    <w:rsid w:val="00EA5F57"/>
    <w:rsid w:val="00EA6154"/>
    <w:rsid w:val="00EA623F"/>
    <w:rsid w:val="00EA6253"/>
    <w:rsid w:val="00EA62A5"/>
    <w:rsid w:val="00EA672A"/>
    <w:rsid w:val="00EA783F"/>
    <w:rsid w:val="00EB0445"/>
    <w:rsid w:val="00EB11D2"/>
    <w:rsid w:val="00EB18F5"/>
    <w:rsid w:val="00EB2C8B"/>
    <w:rsid w:val="00EB38C1"/>
    <w:rsid w:val="00EB5BBD"/>
    <w:rsid w:val="00EB6EC0"/>
    <w:rsid w:val="00EB7D88"/>
    <w:rsid w:val="00EC011F"/>
    <w:rsid w:val="00EC0F77"/>
    <w:rsid w:val="00EC15C3"/>
    <w:rsid w:val="00EC20DB"/>
    <w:rsid w:val="00EC27F5"/>
    <w:rsid w:val="00EC2835"/>
    <w:rsid w:val="00EC28C8"/>
    <w:rsid w:val="00EC28FE"/>
    <w:rsid w:val="00EC2C02"/>
    <w:rsid w:val="00EC2FC8"/>
    <w:rsid w:val="00EC304E"/>
    <w:rsid w:val="00EC3521"/>
    <w:rsid w:val="00EC3B7D"/>
    <w:rsid w:val="00EC4CBC"/>
    <w:rsid w:val="00EC56B4"/>
    <w:rsid w:val="00EC56C3"/>
    <w:rsid w:val="00EC600D"/>
    <w:rsid w:val="00EC6DD6"/>
    <w:rsid w:val="00EC737F"/>
    <w:rsid w:val="00EC7BDC"/>
    <w:rsid w:val="00ED0E43"/>
    <w:rsid w:val="00ED14C8"/>
    <w:rsid w:val="00ED2666"/>
    <w:rsid w:val="00ED31F0"/>
    <w:rsid w:val="00ED37A4"/>
    <w:rsid w:val="00ED39D2"/>
    <w:rsid w:val="00ED3D15"/>
    <w:rsid w:val="00ED3F75"/>
    <w:rsid w:val="00ED4158"/>
    <w:rsid w:val="00ED47D2"/>
    <w:rsid w:val="00ED5222"/>
    <w:rsid w:val="00ED5E52"/>
    <w:rsid w:val="00ED69DC"/>
    <w:rsid w:val="00ED6EEE"/>
    <w:rsid w:val="00EE0373"/>
    <w:rsid w:val="00EE0A96"/>
    <w:rsid w:val="00EE0D6A"/>
    <w:rsid w:val="00EE1C20"/>
    <w:rsid w:val="00EE1C34"/>
    <w:rsid w:val="00EE27FE"/>
    <w:rsid w:val="00EE31B3"/>
    <w:rsid w:val="00EE351F"/>
    <w:rsid w:val="00EE4CEB"/>
    <w:rsid w:val="00EE599F"/>
    <w:rsid w:val="00EE5E40"/>
    <w:rsid w:val="00EE6341"/>
    <w:rsid w:val="00EE6A3C"/>
    <w:rsid w:val="00EE6C73"/>
    <w:rsid w:val="00EE6DE4"/>
    <w:rsid w:val="00EE6F92"/>
    <w:rsid w:val="00EE7581"/>
    <w:rsid w:val="00EE7875"/>
    <w:rsid w:val="00EE7FB2"/>
    <w:rsid w:val="00EF2820"/>
    <w:rsid w:val="00EF375B"/>
    <w:rsid w:val="00EF3AC1"/>
    <w:rsid w:val="00EF3B3A"/>
    <w:rsid w:val="00EF4595"/>
    <w:rsid w:val="00EF51E4"/>
    <w:rsid w:val="00EF57BC"/>
    <w:rsid w:val="00EF581D"/>
    <w:rsid w:val="00EF5950"/>
    <w:rsid w:val="00EF5E2F"/>
    <w:rsid w:val="00EF5EAB"/>
    <w:rsid w:val="00EF6E40"/>
    <w:rsid w:val="00EF7916"/>
    <w:rsid w:val="00F002E9"/>
    <w:rsid w:val="00F005C1"/>
    <w:rsid w:val="00F0065F"/>
    <w:rsid w:val="00F01650"/>
    <w:rsid w:val="00F017FE"/>
    <w:rsid w:val="00F01990"/>
    <w:rsid w:val="00F01AB1"/>
    <w:rsid w:val="00F01C83"/>
    <w:rsid w:val="00F04F5B"/>
    <w:rsid w:val="00F05C14"/>
    <w:rsid w:val="00F05D71"/>
    <w:rsid w:val="00F05F4D"/>
    <w:rsid w:val="00F10191"/>
    <w:rsid w:val="00F11C4B"/>
    <w:rsid w:val="00F11CB7"/>
    <w:rsid w:val="00F1220C"/>
    <w:rsid w:val="00F12DEC"/>
    <w:rsid w:val="00F1398D"/>
    <w:rsid w:val="00F13EAA"/>
    <w:rsid w:val="00F14443"/>
    <w:rsid w:val="00F14E88"/>
    <w:rsid w:val="00F1512F"/>
    <w:rsid w:val="00F15616"/>
    <w:rsid w:val="00F156F5"/>
    <w:rsid w:val="00F15FCB"/>
    <w:rsid w:val="00F16823"/>
    <w:rsid w:val="00F16E29"/>
    <w:rsid w:val="00F2094F"/>
    <w:rsid w:val="00F22BAC"/>
    <w:rsid w:val="00F24512"/>
    <w:rsid w:val="00F24DF8"/>
    <w:rsid w:val="00F24ECA"/>
    <w:rsid w:val="00F261CF"/>
    <w:rsid w:val="00F26889"/>
    <w:rsid w:val="00F26AB7"/>
    <w:rsid w:val="00F26BE5"/>
    <w:rsid w:val="00F270EB"/>
    <w:rsid w:val="00F30177"/>
    <w:rsid w:val="00F30A69"/>
    <w:rsid w:val="00F313ED"/>
    <w:rsid w:val="00F317F5"/>
    <w:rsid w:val="00F31E40"/>
    <w:rsid w:val="00F3251E"/>
    <w:rsid w:val="00F32B8C"/>
    <w:rsid w:val="00F33531"/>
    <w:rsid w:val="00F33652"/>
    <w:rsid w:val="00F344A9"/>
    <w:rsid w:val="00F347A2"/>
    <w:rsid w:val="00F3552C"/>
    <w:rsid w:val="00F35E7F"/>
    <w:rsid w:val="00F3669E"/>
    <w:rsid w:val="00F36FCE"/>
    <w:rsid w:val="00F37335"/>
    <w:rsid w:val="00F37E1D"/>
    <w:rsid w:val="00F402EA"/>
    <w:rsid w:val="00F40928"/>
    <w:rsid w:val="00F40A2A"/>
    <w:rsid w:val="00F40E0F"/>
    <w:rsid w:val="00F4171C"/>
    <w:rsid w:val="00F41B9C"/>
    <w:rsid w:val="00F41F0D"/>
    <w:rsid w:val="00F430D4"/>
    <w:rsid w:val="00F4347A"/>
    <w:rsid w:val="00F44205"/>
    <w:rsid w:val="00F456D9"/>
    <w:rsid w:val="00F45794"/>
    <w:rsid w:val="00F45AD7"/>
    <w:rsid w:val="00F46BFB"/>
    <w:rsid w:val="00F4721E"/>
    <w:rsid w:val="00F479AB"/>
    <w:rsid w:val="00F479F3"/>
    <w:rsid w:val="00F47DCB"/>
    <w:rsid w:val="00F5057E"/>
    <w:rsid w:val="00F50A4D"/>
    <w:rsid w:val="00F50E64"/>
    <w:rsid w:val="00F51AFD"/>
    <w:rsid w:val="00F51BBA"/>
    <w:rsid w:val="00F520C8"/>
    <w:rsid w:val="00F521A4"/>
    <w:rsid w:val="00F5224F"/>
    <w:rsid w:val="00F5254C"/>
    <w:rsid w:val="00F52552"/>
    <w:rsid w:val="00F532DE"/>
    <w:rsid w:val="00F54A14"/>
    <w:rsid w:val="00F54F6F"/>
    <w:rsid w:val="00F55170"/>
    <w:rsid w:val="00F55871"/>
    <w:rsid w:val="00F55878"/>
    <w:rsid w:val="00F57263"/>
    <w:rsid w:val="00F573FD"/>
    <w:rsid w:val="00F60207"/>
    <w:rsid w:val="00F63835"/>
    <w:rsid w:val="00F63919"/>
    <w:rsid w:val="00F63A0A"/>
    <w:rsid w:val="00F65371"/>
    <w:rsid w:val="00F658B4"/>
    <w:rsid w:val="00F65AF2"/>
    <w:rsid w:val="00F65C51"/>
    <w:rsid w:val="00F65EF8"/>
    <w:rsid w:val="00F667AC"/>
    <w:rsid w:val="00F66D10"/>
    <w:rsid w:val="00F67F34"/>
    <w:rsid w:val="00F67FD0"/>
    <w:rsid w:val="00F70713"/>
    <w:rsid w:val="00F70B8A"/>
    <w:rsid w:val="00F72797"/>
    <w:rsid w:val="00F72B19"/>
    <w:rsid w:val="00F738F2"/>
    <w:rsid w:val="00F73BDB"/>
    <w:rsid w:val="00F74C0E"/>
    <w:rsid w:val="00F7577E"/>
    <w:rsid w:val="00F75C8E"/>
    <w:rsid w:val="00F76894"/>
    <w:rsid w:val="00F81842"/>
    <w:rsid w:val="00F82344"/>
    <w:rsid w:val="00F8264C"/>
    <w:rsid w:val="00F82BC7"/>
    <w:rsid w:val="00F82D10"/>
    <w:rsid w:val="00F83DCE"/>
    <w:rsid w:val="00F84F96"/>
    <w:rsid w:val="00F8516F"/>
    <w:rsid w:val="00F85A61"/>
    <w:rsid w:val="00F87071"/>
    <w:rsid w:val="00F90BBE"/>
    <w:rsid w:val="00F90E2F"/>
    <w:rsid w:val="00F90FE2"/>
    <w:rsid w:val="00F9178D"/>
    <w:rsid w:val="00F92DCF"/>
    <w:rsid w:val="00F93E21"/>
    <w:rsid w:val="00F9584E"/>
    <w:rsid w:val="00F958EC"/>
    <w:rsid w:val="00F96403"/>
    <w:rsid w:val="00F96DAD"/>
    <w:rsid w:val="00F97FD7"/>
    <w:rsid w:val="00FA0725"/>
    <w:rsid w:val="00FA072F"/>
    <w:rsid w:val="00FA0E49"/>
    <w:rsid w:val="00FA151A"/>
    <w:rsid w:val="00FA1A53"/>
    <w:rsid w:val="00FA1B16"/>
    <w:rsid w:val="00FA2FFC"/>
    <w:rsid w:val="00FA3149"/>
    <w:rsid w:val="00FA3279"/>
    <w:rsid w:val="00FA4EFE"/>
    <w:rsid w:val="00FA5815"/>
    <w:rsid w:val="00FA61EE"/>
    <w:rsid w:val="00FA6645"/>
    <w:rsid w:val="00FA71F4"/>
    <w:rsid w:val="00FA72F7"/>
    <w:rsid w:val="00FA7640"/>
    <w:rsid w:val="00FA7913"/>
    <w:rsid w:val="00FB006E"/>
    <w:rsid w:val="00FB1BB7"/>
    <w:rsid w:val="00FB21A2"/>
    <w:rsid w:val="00FB36C6"/>
    <w:rsid w:val="00FB38A0"/>
    <w:rsid w:val="00FB3EEF"/>
    <w:rsid w:val="00FB42C3"/>
    <w:rsid w:val="00FB48F1"/>
    <w:rsid w:val="00FB55E5"/>
    <w:rsid w:val="00FB62AD"/>
    <w:rsid w:val="00FB6EFA"/>
    <w:rsid w:val="00FB6FA3"/>
    <w:rsid w:val="00FB7DCA"/>
    <w:rsid w:val="00FC01E1"/>
    <w:rsid w:val="00FC0297"/>
    <w:rsid w:val="00FC0410"/>
    <w:rsid w:val="00FC0A17"/>
    <w:rsid w:val="00FC1619"/>
    <w:rsid w:val="00FC2E7C"/>
    <w:rsid w:val="00FC553E"/>
    <w:rsid w:val="00FC6103"/>
    <w:rsid w:val="00FC6462"/>
    <w:rsid w:val="00FC76B4"/>
    <w:rsid w:val="00FC79A4"/>
    <w:rsid w:val="00FD0901"/>
    <w:rsid w:val="00FD0A24"/>
    <w:rsid w:val="00FD1BEC"/>
    <w:rsid w:val="00FD1FE2"/>
    <w:rsid w:val="00FD20E7"/>
    <w:rsid w:val="00FD3522"/>
    <w:rsid w:val="00FD4BAC"/>
    <w:rsid w:val="00FD5055"/>
    <w:rsid w:val="00FD538E"/>
    <w:rsid w:val="00FD5483"/>
    <w:rsid w:val="00FD58D0"/>
    <w:rsid w:val="00FD5DB8"/>
    <w:rsid w:val="00FD6DCD"/>
    <w:rsid w:val="00FD7B6C"/>
    <w:rsid w:val="00FD7DE6"/>
    <w:rsid w:val="00FE0522"/>
    <w:rsid w:val="00FE08EB"/>
    <w:rsid w:val="00FE090E"/>
    <w:rsid w:val="00FE0B74"/>
    <w:rsid w:val="00FE22FF"/>
    <w:rsid w:val="00FE2B2C"/>
    <w:rsid w:val="00FE2E7C"/>
    <w:rsid w:val="00FE371E"/>
    <w:rsid w:val="00FE4DF0"/>
    <w:rsid w:val="00FE5312"/>
    <w:rsid w:val="00FE5A8B"/>
    <w:rsid w:val="00FE6310"/>
    <w:rsid w:val="00FE74F6"/>
    <w:rsid w:val="00FF0428"/>
    <w:rsid w:val="00FF1021"/>
    <w:rsid w:val="00FF2800"/>
    <w:rsid w:val="00FF2912"/>
    <w:rsid w:val="00FF3053"/>
    <w:rsid w:val="00FF331E"/>
    <w:rsid w:val="00FF3C60"/>
    <w:rsid w:val="00FF4185"/>
    <w:rsid w:val="00FF4717"/>
    <w:rsid w:val="00FF4A5D"/>
    <w:rsid w:val="00FF5061"/>
    <w:rsid w:val="00FF5A38"/>
    <w:rsid w:val="00FF5AE2"/>
    <w:rsid w:val="00FF5C0C"/>
    <w:rsid w:val="00FF5D93"/>
    <w:rsid w:val="00FF5E86"/>
    <w:rsid w:val="00FF698B"/>
    <w:rsid w:val="00FF6FA2"/>
    <w:rsid w:val="00FF74D2"/>
    <w:rsid w:val="017F7FA6"/>
    <w:rsid w:val="020131E3"/>
    <w:rsid w:val="02B3032C"/>
    <w:rsid w:val="030D2310"/>
    <w:rsid w:val="03433C46"/>
    <w:rsid w:val="038C7DAB"/>
    <w:rsid w:val="03AE216E"/>
    <w:rsid w:val="03F92894"/>
    <w:rsid w:val="04947733"/>
    <w:rsid w:val="04F512AE"/>
    <w:rsid w:val="06317EC6"/>
    <w:rsid w:val="06EB21D4"/>
    <w:rsid w:val="072C47C5"/>
    <w:rsid w:val="079D1B91"/>
    <w:rsid w:val="07A536E6"/>
    <w:rsid w:val="07B23458"/>
    <w:rsid w:val="07E850FA"/>
    <w:rsid w:val="08AA0601"/>
    <w:rsid w:val="09102B5A"/>
    <w:rsid w:val="095E1336"/>
    <w:rsid w:val="09615163"/>
    <w:rsid w:val="098B0432"/>
    <w:rsid w:val="09A00B8F"/>
    <w:rsid w:val="09D1565E"/>
    <w:rsid w:val="09DE67B4"/>
    <w:rsid w:val="09E0252C"/>
    <w:rsid w:val="0AAE2776"/>
    <w:rsid w:val="0AC9056B"/>
    <w:rsid w:val="0B100920"/>
    <w:rsid w:val="0B750611"/>
    <w:rsid w:val="0C1266F4"/>
    <w:rsid w:val="0C643396"/>
    <w:rsid w:val="0D7116ED"/>
    <w:rsid w:val="0D71793F"/>
    <w:rsid w:val="0DAD1781"/>
    <w:rsid w:val="101B60A4"/>
    <w:rsid w:val="10D12BCF"/>
    <w:rsid w:val="11811398"/>
    <w:rsid w:val="11C20769"/>
    <w:rsid w:val="126A32DB"/>
    <w:rsid w:val="14321BD6"/>
    <w:rsid w:val="15194B44"/>
    <w:rsid w:val="15CF401E"/>
    <w:rsid w:val="17CD21BA"/>
    <w:rsid w:val="17EE22B8"/>
    <w:rsid w:val="17F83137"/>
    <w:rsid w:val="17FE0021"/>
    <w:rsid w:val="180B10BC"/>
    <w:rsid w:val="186B56B7"/>
    <w:rsid w:val="18A706B9"/>
    <w:rsid w:val="18B47D7D"/>
    <w:rsid w:val="19600F94"/>
    <w:rsid w:val="19935C21"/>
    <w:rsid w:val="19F01000"/>
    <w:rsid w:val="1A077661"/>
    <w:rsid w:val="1A4C32C6"/>
    <w:rsid w:val="1A7C5D3E"/>
    <w:rsid w:val="1B805F2E"/>
    <w:rsid w:val="1B885A7A"/>
    <w:rsid w:val="1B9969DF"/>
    <w:rsid w:val="1BAA299A"/>
    <w:rsid w:val="1C071B9A"/>
    <w:rsid w:val="1C3212A1"/>
    <w:rsid w:val="1C890801"/>
    <w:rsid w:val="1CC57360"/>
    <w:rsid w:val="1CD04682"/>
    <w:rsid w:val="1D507571"/>
    <w:rsid w:val="1DF51B31"/>
    <w:rsid w:val="1E4D1E08"/>
    <w:rsid w:val="1E884C15"/>
    <w:rsid w:val="1EEC608F"/>
    <w:rsid w:val="1EF34658"/>
    <w:rsid w:val="1FAB3569"/>
    <w:rsid w:val="200849B0"/>
    <w:rsid w:val="2063580D"/>
    <w:rsid w:val="207E43F5"/>
    <w:rsid w:val="213D7B36"/>
    <w:rsid w:val="21BB0686"/>
    <w:rsid w:val="221C3EC6"/>
    <w:rsid w:val="22486A69"/>
    <w:rsid w:val="228201CD"/>
    <w:rsid w:val="22D132C4"/>
    <w:rsid w:val="233452FD"/>
    <w:rsid w:val="233B6205"/>
    <w:rsid w:val="23E66539"/>
    <w:rsid w:val="23ED78C8"/>
    <w:rsid w:val="240852E1"/>
    <w:rsid w:val="24193A2A"/>
    <w:rsid w:val="24287A50"/>
    <w:rsid w:val="24D211CA"/>
    <w:rsid w:val="25090731"/>
    <w:rsid w:val="255D0A7D"/>
    <w:rsid w:val="255E0351"/>
    <w:rsid w:val="25885261"/>
    <w:rsid w:val="263C68E5"/>
    <w:rsid w:val="27313F6F"/>
    <w:rsid w:val="2763535F"/>
    <w:rsid w:val="27B31EA1"/>
    <w:rsid w:val="28196C31"/>
    <w:rsid w:val="2895052E"/>
    <w:rsid w:val="28D252DE"/>
    <w:rsid w:val="298D0D6F"/>
    <w:rsid w:val="2A693A20"/>
    <w:rsid w:val="2B013C59"/>
    <w:rsid w:val="2B2A7F91"/>
    <w:rsid w:val="2C0C6D59"/>
    <w:rsid w:val="2C416A03"/>
    <w:rsid w:val="2C4328AE"/>
    <w:rsid w:val="2C4B789D"/>
    <w:rsid w:val="2C761C4A"/>
    <w:rsid w:val="2CDB1C1C"/>
    <w:rsid w:val="2D3201B3"/>
    <w:rsid w:val="2E2168EB"/>
    <w:rsid w:val="2E382087"/>
    <w:rsid w:val="2E83331A"/>
    <w:rsid w:val="2EB86D24"/>
    <w:rsid w:val="2F3E547B"/>
    <w:rsid w:val="2FFE4C0B"/>
    <w:rsid w:val="301407C3"/>
    <w:rsid w:val="308E2433"/>
    <w:rsid w:val="30C97211"/>
    <w:rsid w:val="30D33E1B"/>
    <w:rsid w:val="30FC739C"/>
    <w:rsid w:val="30FD3114"/>
    <w:rsid w:val="310B6367"/>
    <w:rsid w:val="31905D36"/>
    <w:rsid w:val="31F07A30"/>
    <w:rsid w:val="3360723D"/>
    <w:rsid w:val="336553D4"/>
    <w:rsid w:val="33BB353F"/>
    <w:rsid w:val="33E10ACB"/>
    <w:rsid w:val="341815AD"/>
    <w:rsid w:val="34663CD0"/>
    <w:rsid w:val="34AF2977"/>
    <w:rsid w:val="36104B06"/>
    <w:rsid w:val="361507D6"/>
    <w:rsid w:val="371D006C"/>
    <w:rsid w:val="37492C0F"/>
    <w:rsid w:val="385E39EF"/>
    <w:rsid w:val="39D62967"/>
    <w:rsid w:val="39E60BE9"/>
    <w:rsid w:val="3A717204"/>
    <w:rsid w:val="3A777A93"/>
    <w:rsid w:val="3AD57BCA"/>
    <w:rsid w:val="3BA14B39"/>
    <w:rsid w:val="3BB80364"/>
    <w:rsid w:val="3BDA3C25"/>
    <w:rsid w:val="3C0029A2"/>
    <w:rsid w:val="3C096E91"/>
    <w:rsid w:val="3CAC2024"/>
    <w:rsid w:val="3CC87104"/>
    <w:rsid w:val="3D6469F5"/>
    <w:rsid w:val="3DAF5796"/>
    <w:rsid w:val="3E693D35"/>
    <w:rsid w:val="3E8142FE"/>
    <w:rsid w:val="3EB14FE2"/>
    <w:rsid w:val="3EDE6333"/>
    <w:rsid w:val="3EE6168C"/>
    <w:rsid w:val="4077259B"/>
    <w:rsid w:val="40D479EE"/>
    <w:rsid w:val="40E340D5"/>
    <w:rsid w:val="40F4516A"/>
    <w:rsid w:val="41344930"/>
    <w:rsid w:val="413E130B"/>
    <w:rsid w:val="4164024D"/>
    <w:rsid w:val="41BE41FA"/>
    <w:rsid w:val="41D437FC"/>
    <w:rsid w:val="42D737C5"/>
    <w:rsid w:val="43707479"/>
    <w:rsid w:val="440F2755"/>
    <w:rsid w:val="447B63D2"/>
    <w:rsid w:val="44F5445D"/>
    <w:rsid w:val="465D66D7"/>
    <w:rsid w:val="46E44703"/>
    <w:rsid w:val="46F96DC1"/>
    <w:rsid w:val="47A26CFF"/>
    <w:rsid w:val="48652B66"/>
    <w:rsid w:val="48684EBF"/>
    <w:rsid w:val="48DC3316"/>
    <w:rsid w:val="49B525FA"/>
    <w:rsid w:val="4A7777C7"/>
    <w:rsid w:val="4A791606"/>
    <w:rsid w:val="4C5B0FC3"/>
    <w:rsid w:val="4CA256A1"/>
    <w:rsid w:val="4CDB09EC"/>
    <w:rsid w:val="4D0B7F2C"/>
    <w:rsid w:val="4D0E4FA1"/>
    <w:rsid w:val="4D5A68BA"/>
    <w:rsid w:val="4DEC51D4"/>
    <w:rsid w:val="4E41243B"/>
    <w:rsid w:val="4EF40307"/>
    <w:rsid w:val="4F6208BA"/>
    <w:rsid w:val="4FF35317"/>
    <w:rsid w:val="50125E3D"/>
    <w:rsid w:val="5025269D"/>
    <w:rsid w:val="50884351"/>
    <w:rsid w:val="510553D4"/>
    <w:rsid w:val="513853B7"/>
    <w:rsid w:val="51850890"/>
    <w:rsid w:val="51CD0D04"/>
    <w:rsid w:val="51D64D34"/>
    <w:rsid w:val="52132340"/>
    <w:rsid w:val="521A722A"/>
    <w:rsid w:val="52A64F62"/>
    <w:rsid w:val="52AF3E17"/>
    <w:rsid w:val="52F7430F"/>
    <w:rsid w:val="53530391"/>
    <w:rsid w:val="543B4077"/>
    <w:rsid w:val="54DD0D33"/>
    <w:rsid w:val="54F878C1"/>
    <w:rsid w:val="55DA73FC"/>
    <w:rsid w:val="56723AD9"/>
    <w:rsid w:val="56C37E91"/>
    <w:rsid w:val="56C8194B"/>
    <w:rsid w:val="56E10C5F"/>
    <w:rsid w:val="570B7A8A"/>
    <w:rsid w:val="572528F9"/>
    <w:rsid w:val="589B31D7"/>
    <w:rsid w:val="58C63C68"/>
    <w:rsid w:val="594B23BF"/>
    <w:rsid w:val="59CF1A01"/>
    <w:rsid w:val="5B166BC2"/>
    <w:rsid w:val="5B2D5AD4"/>
    <w:rsid w:val="5B7976B8"/>
    <w:rsid w:val="5D9B1B67"/>
    <w:rsid w:val="5EAC4A2C"/>
    <w:rsid w:val="5EEC01A1"/>
    <w:rsid w:val="5F4D0675"/>
    <w:rsid w:val="600A0F6C"/>
    <w:rsid w:val="601260A9"/>
    <w:rsid w:val="60DE05DC"/>
    <w:rsid w:val="61A53F94"/>
    <w:rsid w:val="61CB3929"/>
    <w:rsid w:val="61E80059"/>
    <w:rsid w:val="624520A2"/>
    <w:rsid w:val="62540537"/>
    <w:rsid w:val="6303057B"/>
    <w:rsid w:val="636D667E"/>
    <w:rsid w:val="639103D1"/>
    <w:rsid w:val="63FD7893"/>
    <w:rsid w:val="64132FD5"/>
    <w:rsid w:val="641619C0"/>
    <w:rsid w:val="64803865"/>
    <w:rsid w:val="64D01C1D"/>
    <w:rsid w:val="65E54443"/>
    <w:rsid w:val="66CE7579"/>
    <w:rsid w:val="670A6196"/>
    <w:rsid w:val="67851192"/>
    <w:rsid w:val="691E64B4"/>
    <w:rsid w:val="692943E8"/>
    <w:rsid w:val="69FD14B4"/>
    <w:rsid w:val="6A5437CA"/>
    <w:rsid w:val="6AE504E7"/>
    <w:rsid w:val="6B8F2ADB"/>
    <w:rsid w:val="6BF77E80"/>
    <w:rsid w:val="6C904406"/>
    <w:rsid w:val="6C9D2ADA"/>
    <w:rsid w:val="6D0B793E"/>
    <w:rsid w:val="6D9D5488"/>
    <w:rsid w:val="6DB51883"/>
    <w:rsid w:val="6DC9002B"/>
    <w:rsid w:val="6DCE5641"/>
    <w:rsid w:val="6E02353D"/>
    <w:rsid w:val="6EF97BE7"/>
    <w:rsid w:val="6F0458E5"/>
    <w:rsid w:val="6F152DFC"/>
    <w:rsid w:val="6F4B0873"/>
    <w:rsid w:val="6FD51AD2"/>
    <w:rsid w:val="6FF2313D"/>
    <w:rsid w:val="70217BD0"/>
    <w:rsid w:val="706B361B"/>
    <w:rsid w:val="7093502C"/>
    <w:rsid w:val="70F21646"/>
    <w:rsid w:val="71FB277D"/>
    <w:rsid w:val="72650AAB"/>
    <w:rsid w:val="73174E61"/>
    <w:rsid w:val="737E3665"/>
    <w:rsid w:val="73C31078"/>
    <w:rsid w:val="741B42D1"/>
    <w:rsid w:val="74313E55"/>
    <w:rsid w:val="74B96ECC"/>
    <w:rsid w:val="74DA20BB"/>
    <w:rsid w:val="758223F2"/>
    <w:rsid w:val="75F220E9"/>
    <w:rsid w:val="778B6351"/>
    <w:rsid w:val="7799761A"/>
    <w:rsid w:val="77C96E79"/>
    <w:rsid w:val="7851759A"/>
    <w:rsid w:val="788334CC"/>
    <w:rsid w:val="78DF3C27"/>
    <w:rsid w:val="7AF74AD4"/>
    <w:rsid w:val="7B046B46"/>
    <w:rsid w:val="7CA31655"/>
    <w:rsid w:val="7CCF6CE0"/>
    <w:rsid w:val="7D4A45B8"/>
    <w:rsid w:val="7D60594A"/>
    <w:rsid w:val="7D7A30EF"/>
    <w:rsid w:val="7D871DCD"/>
    <w:rsid w:val="7D985324"/>
    <w:rsid w:val="7DE62860"/>
    <w:rsid w:val="7EB65021"/>
    <w:rsid w:val="7F0F5AB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nhideWhenUsed="0" w:uiPriority="0"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qFormat="1" w:uiPriority="99" w:name="annotation text"/>
    <w:lsdException w:qFormat="1" w:uiPriority="0" w:semiHidden="0" w:name="header"/>
    <w:lsdException w:qFormat="1" w:uiPriority="99" w:semiHidden="0" w:name="footer"/>
    <w:lsdException w:uiPriority="99" w:name="index heading"/>
    <w:lsdException w:qFormat="1" w:unhideWhenUsed="0" w:uiPriority="99"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4"/>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75"/>
    <w:autoRedefine/>
    <w:unhideWhenUsed/>
    <w:qFormat/>
    <w:uiPriority w:val="9"/>
    <w:pPr>
      <w:keepNext/>
      <w:keepLines/>
      <w:spacing w:before="260" w:after="260" w:line="416" w:lineRule="auto"/>
      <w:outlineLvl w:val="1"/>
    </w:pPr>
    <w:rPr>
      <w:rFonts w:ascii="Cambria" w:hAnsi="Cambria"/>
      <w:b/>
      <w:bCs/>
      <w:sz w:val="32"/>
      <w:szCs w:val="32"/>
    </w:rPr>
  </w:style>
  <w:style w:type="paragraph" w:styleId="4">
    <w:name w:val="heading 3"/>
    <w:basedOn w:val="1"/>
    <w:next w:val="1"/>
    <w:link w:val="45"/>
    <w:qFormat/>
    <w:uiPriority w:val="0"/>
    <w:pPr>
      <w:spacing w:before="100" w:beforeAutospacing="1" w:after="100" w:afterAutospacing="1"/>
      <w:jc w:val="left"/>
      <w:outlineLvl w:val="2"/>
    </w:pPr>
    <w:rPr>
      <w:rFonts w:hint="eastAsia" w:ascii="宋体" w:hAnsi="宋体"/>
      <w:b/>
      <w:kern w:val="0"/>
      <w:sz w:val="27"/>
      <w:szCs w:val="27"/>
    </w:rPr>
  </w:style>
  <w:style w:type="paragraph" w:styleId="5">
    <w:name w:val="heading 4"/>
    <w:basedOn w:val="1"/>
    <w:next w:val="1"/>
    <w:link w:val="46"/>
    <w:autoRedefine/>
    <w:qFormat/>
    <w:uiPriority w:val="0"/>
    <w:pPr>
      <w:keepNext/>
      <w:keepLines/>
      <w:tabs>
        <w:tab w:val="left" w:pos="1574"/>
      </w:tabs>
      <w:spacing w:before="280" w:after="290" w:line="376" w:lineRule="auto"/>
      <w:outlineLvl w:val="3"/>
    </w:pPr>
    <w:rPr>
      <w:rFonts w:ascii="Arial" w:hAnsi="Arial" w:eastAsia="黑体"/>
      <w:b/>
      <w:bCs/>
      <w:sz w:val="28"/>
      <w:szCs w:val="28"/>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Normal Indent"/>
    <w:basedOn w:val="1"/>
    <w:next w:val="1"/>
    <w:unhideWhenUsed/>
    <w:qFormat/>
    <w:uiPriority w:val="99"/>
    <w:pPr>
      <w:ind w:firstLine="420" w:firstLineChars="200"/>
    </w:pPr>
    <w:rPr>
      <w:szCs w:val="21"/>
    </w:rPr>
  </w:style>
  <w:style w:type="paragraph" w:styleId="7">
    <w:name w:val="caption"/>
    <w:basedOn w:val="1"/>
    <w:next w:val="1"/>
    <w:qFormat/>
    <w:uiPriority w:val="99"/>
    <w:pPr>
      <w:adjustRightInd w:val="0"/>
      <w:snapToGrid w:val="0"/>
      <w:jc w:val="center"/>
    </w:pPr>
    <w:rPr>
      <w:rFonts w:ascii="Calibri" w:hAnsi="Calibri"/>
      <w:b/>
      <w:color w:val="000000"/>
      <w:sz w:val="24"/>
      <w:szCs w:val="21"/>
    </w:rPr>
  </w:style>
  <w:style w:type="paragraph" w:styleId="8">
    <w:name w:val="Document Map"/>
    <w:basedOn w:val="1"/>
    <w:link w:val="48"/>
    <w:qFormat/>
    <w:uiPriority w:val="0"/>
    <w:rPr>
      <w:rFonts w:ascii="宋体" w:hAnsi="Calibri"/>
      <w:sz w:val="18"/>
      <w:szCs w:val="18"/>
    </w:rPr>
  </w:style>
  <w:style w:type="paragraph" w:styleId="9">
    <w:name w:val="annotation text"/>
    <w:basedOn w:val="1"/>
    <w:link w:val="61"/>
    <w:semiHidden/>
    <w:unhideWhenUsed/>
    <w:qFormat/>
    <w:uiPriority w:val="99"/>
    <w:pPr>
      <w:jc w:val="left"/>
    </w:pPr>
  </w:style>
  <w:style w:type="paragraph" w:styleId="10">
    <w:name w:val="Body Text"/>
    <w:basedOn w:val="1"/>
    <w:link w:val="59"/>
    <w:autoRedefine/>
    <w:unhideWhenUsed/>
    <w:qFormat/>
    <w:uiPriority w:val="0"/>
    <w:pPr>
      <w:spacing w:after="120"/>
    </w:pPr>
  </w:style>
  <w:style w:type="paragraph" w:styleId="11">
    <w:name w:val="Body Text Indent"/>
    <w:basedOn w:val="1"/>
    <w:link w:val="40"/>
    <w:unhideWhenUsed/>
    <w:qFormat/>
    <w:uiPriority w:val="99"/>
    <w:pPr>
      <w:spacing w:after="120"/>
      <w:ind w:left="420" w:leftChars="200"/>
    </w:pPr>
  </w:style>
  <w:style w:type="paragraph" w:styleId="12">
    <w:name w:val="Plain Text"/>
    <w:basedOn w:val="1"/>
    <w:next w:val="13"/>
    <w:link w:val="65"/>
    <w:qFormat/>
    <w:uiPriority w:val="0"/>
    <w:rPr>
      <w:rFonts w:ascii="宋体" w:hAnsi="Courier New" w:cs="Courier New"/>
      <w:szCs w:val="21"/>
    </w:rPr>
  </w:style>
  <w:style w:type="paragraph" w:customStyle="1" w:styleId="13">
    <w:name w:val="正本"/>
    <w:basedOn w:val="1"/>
    <w:autoRedefine/>
    <w:qFormat/>
    <w:uiPriority w:val="0"/>
    <w:pPr>
      <w:adjustRightInd w:val="0"/>
      <w:snapToGrid w:val="0"/>
      <w:spacing w:line="360" w:lineRule="auto"/>
      <w:ind w:firstLine="200" w:firstLineChars="200"/>
    </w:pPr>
    <w:rPr>
      <w:rFonts w:ascii="宋体" w:eastAsia="宋体"/>
      <w:kern w:val="2"/>
      <w:sz w:val="24"/>
      <w:szCs w:val="24"/>
      <w:lang w:val="en-US" w:eastAsia="zh-CN" w:bidi="ar-SA"/>
    </w:rPr>
  </w:style>
  <w:style w:type="paragraph" w:styleId="14">
    <w:name w:val="List Bullet 5"/>
    <w:basedOn w:val="1"/>
    <w:autoRedefine/>
    <w:semiHidden/>
    <w:unhideWhenUsed/>
    <w:qFormat/>
    <w:uiPriority w:val="99"/>
    <w:pPr>
      <w:numPr>
        <w:ilvl w:val="0"/>
        <w:numId w:val="1"/>
      </w:numPr>
    </w:pPr>
  </w:style>
  <w:style w:type="paragraph" w:styleId="15">
    <w:name w:val="Date"/>
    <w:basedOn w:val="1"/>
    <w:next w:val="1"/>
    <w:link w:val="56"/>
    <w:autoRedefine/>
    <w:qFormat/>
    <w:uiPriority w:val="0"/>
    <w:pPr>
      <w:ind w:left="100" w:leftChars="2500"/>
    </w:pPr>
    <w:rPr>
      <w:sz w:val="24"/>
      <w:szCs w:val="22"/>
    </w:rPr>
  </w:style>
  <w:style w:type="paragraph" w:styleId="16">
    <w:name w:val="Balloon Text"/>
    <w:basedOn w:val="1"/>
    <w:link w:val="58"/>
    <w:autoRedefine/>
    <w:semiHidden/>
    <w:qFormat/>
    <w:uiPriority w:val="0"/>
    <w:rPr>
      <w:sz w:val="18"/>
      <w:szCs w:val="18"/>
    </w:rPr>
  </w:style>
  <w:style w:type="paragraph" w:styleId="17">
    <w:name w:val="footer"/>
    <w:basedOn w:val="1"/>
    <w:link w:val="39"/>
    <w:autoRedefine/>
    <w:unhideWhenUsed/>
    <w:qFormat/>
    <w:uiPriority w:val="99"/>
    <w:pPr>
      <w:tabs>
        <w:tab w:val="center" w:pos="4153"/>
        <w:tab w:val="right" w:pos="8306"/>
      </w:tabs>
      <w:snapToGrid w:val="0"/>
      <w:jc w:val="left"/>
    </w:pPr>
    <w:rPr>
      <w:sz w:val="18"/>
      <w:szCs w:val="18"/>
    </w:rPr>
  </w:style>
  <w:style w:type="paragraph" w:styleId="18">
    <w:name w:val="header"/>
    <w:basedOn w:val="1"/>
    <w:next w:val="1"/>
    <w:link w:val="38"/>
    <w:autoRedefine/>
    <w:unhideWhenUsed/>
    <w:qFormat/>
    <w:uiPriority w:val="0"/>
    <w:pPr>
      <w:pBdr>
        <w:bottom w:val="single" w:color="auto" w:sz="6" w:space="1"/>
      </w:pBdr>
      <w:tabs>
        <w:tab w:val="center" w:pos="4153"/>
        <w:tab w:val="right" w:pos="8306"/>
      </w:tabs>
      <w:snapToGrid w:val="0"/>
      <w:jc w:val="center"/>
    </w:pPr>
    <w:rPr>
      <w:sz w:val="18"/>
      <w:szCs w:val="18"/>
    </w:rPr>
  </w:style>
  <w:style w:type="paragraph" w:styleId="19">
    <w:name w:val="toc 1"/>
    <w:basedOn w:val="1"/>
    <w:next w:val="1"/>
    <w:autoRedefine/>
    <w:unhideWhenUsed/>
    <w:qFormat/>
    <w:uiPriority w:val="39"/>
  </w:style>
  <w:style w:type="paragraph" w:styleId="20">
    <w:name w:val="Subtitle"/>
    <w:basedOn w:val="1"/>
    <w:autoRedefine/>
    <w:qFormat/>
    <w:uiPriority w:val="99"/>
    <w:pPr>
      <w:widowControl/>
      <w:suppressAutoHyphens w:val="0"/>
      <w:wordWrap/>
      <w:topLinePunct w:val="0"/>
      <w:adjustRightInd w:val="0"/>
      <w:spacing w:after="60" w:line="360" w:lineRule="atLeast"/>
      <w:ind w:firstLine="510" w:firstLineChars="0"/>
      <w:jc w:val="center"/>
      <w:textAlignment w:val="baseline"/>
    </w:pPr>
    <w:rPr>
      <w:rFonts w:ascii="Arial" w:hAnsi="Arial" w:eastAsia="黑体"/>
      <w:i/>
      <w:szCs w:val="20"/>
    </w:rPr>
  </w:style>
  <w:style w:type="paragraph" w:styleId="21">
    <w:name w:val="toc 2"/>
    <w:basedOn w:val="1"/>
    <w:next w:val="1"/>
    <w:qFormat/>
    <w:uiPriority w:val="0"/>
    <w:pPr>
      <w:ind w:left="210"/>
      <w:jc w:val="left"/>
    </w:pPr>
    <w:rPr>
      <w:rFonts w:ascii="等线" w:eastAsia="等线"/>
      <w:smallCaps/>
      <w:sz w:val="20"/>
      <w:szCs w:val="20"/>
    </w:rPr>
  </w:style>
  <w:style w:type="paragraph" w:styleId="22">
    <w:name w:val="Body Text 2"/>
    <w:next w:val="1"/>
    <w:qFormat/>
    <w:uiPriority w:val="0"/>
    <w:pPr>
      <w:widowControl w:val="0"/>
      <w:spacing w:after="120" w:line="480" w:lineRule="auto"/>
      <w:jc w:val="both"/>
    </w:pPr>
    <w:rPr>
      <w:rFonts w:ascii="Times New Roman" w:hAnsi="Times New Roman" w:eastAsia="宋体" w:cs="Times New Roman"/>
      <w:kern w:val="2"/>
      <w:sz w:val="21"/>
      <w:szCs w:val="24"/>
      <w:lang w:val="en-US" w:eastAsia="zh-CN" w:bidi="ar-SA"/>
    </w:rPr>
  </w:style>
  <w:style w:type="paragraph" w:styleId="23">
    <w:name w:val="Normal (Web)"/>
    <w:basedOn w:val="1"/>
    <w:link w:val="42"/>
    <w:qFormat/>
    <w:uiPriority w:val="99"/>
    <w:pPr>
      <w:widowControl/>
      <w:spacing w:before="100" w:beforeAutospacing="1" w:after="100" w:afterAutospacing="1"/>
      <w:jc w:val="left"/>
    </w:pPr>
    <w:rPr>
      <w:rFonts w:ascii="宋体" w:hAnsi="宋体"/>
      <w:sz w:val="24"/>
      <w:szCs w:val="22"/>
    </w:rPr>
  </w:style>
  <w:style w:type="paragraph" w:styleId="24">
    <w:name w:val="annotation subject"/>
    <w:basedOn w:val="9"/>
    <w:next w:val="9"/>
    <w:link w:val="55"/>
    <w:autoRedefine/>
    <w:semiHidden/>
    <w:qFormat/>
    <w:uiPriority w:val="0"/>
    <w:rPr>
      <w:b/>
      <w:bCs/>
      <w:sz w:val="24"/>
    </w:rPr>
  </w:style>
  <w:style w:type="paragraph" w:styleId="25">
    <w:name w:val="Body Text First Indent"/>
    <w:basedOn w:val="10"/>
    <w:next w:val="1"/>
    <w:link w:val="60"/>
    <w:autoRedefine/>
    <w:qFormat/>
    <w:uiPriority w:val="0"/>
    <w:pPr>
      <w:widowControl/>
      <w:snapToGrid w:val="0"/>
      <w:spacing w:before="60" w:after="160" w:line="259" w:lineRule="auto"/>
      <w:ind w:right="113" w:firstLine="420" w:firstLineChars="100"/>
    </w:pPr>
    <w:rPr>
      <w:rFonts w:ascii="Calibri" w:hAnsi="Calibri"/>
      <w:kern w:val="0"/>
      <w:sz w:val="18"/>
      <w:szCs w:val="20"/>
      <w:lang w:val="zh-CN" w:eastAsia="zh-CN"/>
    </w:rPr>
  </w:style>
  <w:style w:type="paragraph" w:styleId="26">
    <w:name w:val="Body Text First Indent 2"/>
    <w:basedOn w:val="11"/>
    <w:link w:val="41"/>
    <w:autoRedefine/>
    <w:unhideWhenUsed/>
    <w:qFormat/>
    <w:uiPriority w:val="99"/>
    <w:pPr>
      <w:keepNext w:val="0"/>
      <w:keepLines w:val="0"/>
      <w:widowControl w:val="0"/>
      <w:suppressLineNumbers w:val="0"/>
      <w:spacing w:after="120" w:afterAutospacing="0"/>
      <w:ind w:left="420" w:leftChars="200" w:firstLine="420"/>
      <w:jc w:val="both"/>
    </w:pPr>
    <w:rPr>
      <w:rFonts w:hint="default" w:ascii="Times New Roman" w:hAnsi="Times New Roman" w:cs="Times New Roman"/>
      <w:kern w:val="2"/>
      <w:sz w:val="21"/>
      <w:szCs w:val="21"/>
      <w:lang w:val="en-US" w:eastAsia="zh-CN" w:bidi="ar"/>
    </w:rPr>
  </w:style>
  <w:style w:type="table" w:styleId="28">
    <w:name w:val="Table Grid"/>
    <w:basedOn w:val="27"/>
    <w:autoRedefine/>
    <w:qFormat/>
    <w:uiPriority w:val="99"/>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Strong"/>
    <w:basedOn w:val="29"/>
    <w:qFormat/>
    <w:uiPriority w:val="22"/>
    <w:rPr>
      <w:b/>
    </w:rPr>
  </w:style>
  <w:style w:type="character" w:styleId="31">
    <w:name w:val="page number"/>
    <w:basedOn w:val="29"/>
    <w:autoRedefine/>
    <w:qFormat/>
    <w:uiPriority w:val="0"/>
  </w:style>
  <w:style w:type="character" w:styleId="32">
    <w:name w:val="Hyperlink"/>
    <w:autoRedefine/>
    <w:qFormat/>
    <w:uiPriority w:val="99"/>
    <w:rPr>
      <w:color w:val="0000FF"/>
      <w:u w:val="single"/>
    </w:rPr>
  </w:style>
  <w:style w:type="character" w:styleId="33">
    <w:name w:val="annotation reference"/>
    <w:autoRedefine/>
    <w:semiHidden/>
    <w:qFormat/>
    <w:uiPriority w:val="0"/>
    <w:rPr>
      <w:sz w:val="21"/>
    </w:rPr>
  </w:style>
  <w:style w:type="paragraph" w:customStyle="1" w:styleId="34">
    <w:name w:val="报告正文"/>
    <w:basedOn w:val="1"/>
    <w:qFormat/>
    <w:uiPriority w:val="0"/>
    <w:pPr>
      <w:ind w:firstLine="560" w:firstLineChars="200"/>
    </w:pPr>
    <w:rPr>
      <w:sz w:val="28"/>
    </w:rPr>
  </w:style>
  <w:style w:type="paragraph" w:customStyle="1" w:styleId="35">
    <w:name w:val="xl27"/>
    <w:basedOn w:val="1"/>
    <w:next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customStyle="1" w:styleId="36">
    <w:name w:val="Default"/>
    <w:basedOn w:val="10"/>
    <w:unhideWhenUsed/>
    <w:qFormat/>
    <w:uiPriority w:val="0"/>
    <w:pPr>
      <w:widowControl w:val="0"/>
      <w:autoSpaceDE w:val="0"/>
      <w:autoSpaceDN w:val="0"/>
      <w:adjustRightInd w:val="0"/>
    </w:pPr>
    <w:rPr>
      <w:rFonts w:hint="eastAsia" w:ascii="宋体" w:hAnsi="宋体" w:eastAsia="宋体" w:cs="Times New Roman"/>
      <w:color w:val="000000"/>
      <w:sz w:val="24"/>
      <w:lang w:val="en-US" w:eastAsia="zh-CN" w:bidi="ar-SA"/>
    </w:rPr>
  </w:style>
  <w:style w:type="paragraph" w:customStyle="1" w:styleId="37">
    <w:name w:val="纯文本1"/>
    <w:basedOn w:val="1"/>
    <w:autoRedefine/>
    <w:qFormat/>
    <w:uiPriority w:val="0"/>
    <w:rPr>
      <w:rFonts w:hint="eastAsia" w:ascii="宋体" w:hAnsi="Courier New"/>
      <w:szCs w:val="22"/>
    </w:rPr>
  </w:style>
  <w:style w:type="character" w:customStyle="1" w:styleId="38">
    <w:name w:val="页眉 Char"/>
    <w:link w:val="18"/>
    <w:qFormat/>
    <w:uiPriority w:val="0"/>
    <w:rPr>
      <w:sz w:val="18"/>
      <w:szCs w:val="18"/>
    </w:rPr>
  </w:style>
  <w:style w:type="character" w:customStyle="1" w:styleId="39">
    <w:name w:val="页脚 Char"/>
    <w:link w:val="17"/>
    <w:autoRedefine/>
    <w:qFormat/>
    <w:uiPriority w:val="99"/>
    <w:rPr>
      <w:sz w:val="18"/>
      <w:szCs w:val="18"/>
    </w:rPr>
  </w:style>
  <w:style w:type="character" w:customStyle="1" w:styleId="40">
    <w:name w:val="正文文本缩进 Char"/>
    <w:link w:val="11"/>
    <w:autoRedefine/>
    <w:semiHidden/>
    <w:qFormat/>
    <w:uiPriority w:val="99"/>
    <w:rPr>
      <w:rFonts w:ascii="Times New Roman" w:hAnsi="Times New Roman" w:eastAsia="宋体" w:cs="Times New Roman"/>
      <w:szCs w:val="24"/>
    </w:rPr>
  </w:style>
  <w:style w:type="character" w:customStyle="1" w:styleId="41">
    <w:name w:val="正文首行缩进 2 Char"/>
    <w:link w:val="26"/>
    <w:autoRedefine/>
    <w:qFormat/>
    <w:uiPriority w:val="99"/>
    <w:rPr>
      <w:rFonts w:ascii="Times New Roman" w:hAnsi="Times New Roman" w:eastAsia="宋体" w:cs="Times New Roman"/>
      <w:szCs w:val="24"/>
    </w:rPr>
  </w:style>
  <w:style w:type="character" w:customStyle="1" w:styleId="42">
    <w:name w:val="普通(网站) Char1"/>
    <w:link w:val="23"/>
    <w:autoRedefine/>
    <w:qFormat/>
    <w:uiPriority w:val="0"/>
    <w:rPr>
      <w:rFonts w:ascii="宋体" w:hAnsi="宋体" w:eastAsia="宋体"/>
      <w:sz w:val="24"/>
    </w:rPr>
  </w:style>
  <w:style w:type="paragraph" w:customStyle="1" w:styleId="43">
    <w:name w:val="ENFI正文"/>
    <w:basedOn w:val="1"/>
    <w:autoRedefine/>
    <w:qFormat/>
    <w:uiPriority w:val="0"/>
    <w:pPr>
      <w:adjustRightInd w:val="0"/>
      <w:snapToGrid w:val="0"/>
      <w:spacing w:line="400" w:lineRule="exact"/>
      <w:ind w:firstLine="567"/>
    </w:pPr>
    <w:rPr>
      <w:rFonts w:eastAsia="仿宋_GB2312"/>
      <w:color w:val="000000"/>
      <w:sz w:val="24"/>
      <w:szCs w:val="22"/>
    </w:rPr>
  </w:style>
  <w:style w:type="character" w:customStyle="1" w:styleId="44">
    <w:name w:val="标题 1 Char"/>
    <w:link w:val="2"/>
    <w:qFormat/>
    <w:uiPriority w:val="0"/>
    <w:rPr>
      <w:rFonts w:ascii="Times New Roman" w:hAnsi="Times New Roman" w:eastAsia="黑体" w:cs="Times New Roman"/>
      <w:b/>
      <w:bCs/>
      <w:color w:val="000000"/>
      <w:kern w:val="44"/>
      <w:sz w:val="30"/>
      <w:szCs w:val="30"/>
    </w:rPr>
  </w:style>
  <w:style w:type="character" w:customStyle="1" w:styleId="45">
    <w:name w:val="标题 3 Char"/>
    <w:link w:val="4"/>
    <w:qFormat/>
    <w:uiPriority w:val="0"/>
    <w:rPr>
      <w:rFonts w:ascii="宋体" w:hAnsi="宋体" w:eastAsia="宋体" w:cs="Times New Roman"/>
      <w:b/>
      <w:kern w:val="0"/>
      <w:sz w:val="27"/>
      <w:szCs w:val="27"/>
    </w:rPr>
  </w:style>
  <w:style w:type="character" w:customStyle="1" w:styleId="46">
    <w:name w:val="标题 4 Char"/>
    <w:link w:val="5"/>
    <w:qFormat/>
    <w:uiPriority w:val="0"/>
    <w:rPr>
      <w:rFonts w:ascii="Arial" w:hAnsi="Arial" w:eastAsia="黑体" w:cs="Times New Roman"/>
      <w:b/>
      <w:bCs/>
      <w:sz w:val="28"/>
      <w:szCs w:val="28"/>
    </w:rPr>
  </w:style>
  <w:style w:type="character" w:customStyle="1" w:styleId="47">
    <w:name w:val="正文文本 字符1"/>
    <w:semiHidden/>
    <w:qFormat/>
    <w:uiPriority w:val="0"/>
    <w:rPr>
      <w:rFonts w:ascii="Times New Roman" w:hAnsi="Times New Roman" w:eastAsia="宋体" w:cs="Times New Roman"/>
      <w:sz w:val="24"/>
      <w:szCs w:val="24"/>
    </w:rPr>
  </w:style>
  <w:style w:type="character" w:customStyle="1" w:styleId="48">
    <w:name w:val="文档结构图 Char"/>
    <w:link w:val="8"/>
    <w:autoRedefine/>
    <w:qFormat/>
    <w:uiPriority w:val="0"/>
    <w:rPr>
      <w:rFonts w:ascii="宋体"/>
      <w:sz w:val="18"/>
      <w:szCs w:val="18"/>
    </w:rPr>
  </w:style>
  <w:style w:type="character" w:customStyle="1" w:styleId="49">
    <w:name w:val="批注文字 Char"/>
    <w:autoRedefine/>
    <w:qFormat/>
    <w:uiPriority w:val="99"/>
    <w:rPr>
      <w:rFonts w:ascii="Times New Roman" w:hAnsi="Times New Roman" w:eastAsia="宋体"/>
      <w:sz w:val="24"/>
    </w:rPr>
  </w:style>
  <w:style w:type="character" w:customStyle="1" w:styleId="50">
    <w:name w:val="日期 字符"/>
    <w:autoRedefine/>
    <w:semiHidden/>
    <w:qFormat/>
    <w:uiPriority w:val="0"/>
    <w:rPr>
      <w:rFonts w:ascii="Times New Roman" w:hAnsi="Times New Roman" w:eastAsia="宋体" w:cs="Times New Roman"/>
      <w:sz w:val="24"/>
      <w:szCs w:val="24"/>
    </w:rPr>
  </w:style>
  <w:style w:type="character" w:customStyle="1" w:styleId="51">
    <w:name w:val="正文文本 Char"/>
    <w:autoRedefine/>
    <w:qFormat/>
    <w:uiPriority w:val="0"/>
    <w:rPr>
      <w:sz w:val="18"/>
    </w:rPr>
  </w:style>
  <w:style w:type="character" w:customStyle="1" w:styleId="52">
    <w:name w:val="表格 Char"/>
    <w:link w:val="53"/>
    <w:autoRedefine/>
    <w:qFormat/>
    <w:uiPriority w:val="0"/>
    <w:rPr>
      <w:rFonts w:ascii="宋体"/>
    </w:rPr>
  </w:style>
  <w:style w:type="paragraph" w:customStyle="1" w:styleId="53">
    <w:name w:val="表格"/>
    <w:basedOn w:val="1"/>
    <w:next w:val="1"/>
    <w:link w:val="52"/>
    <w:qFormat/>
    <w:uiPriority w:val="0"/>
    <w:pPr>
      <w:adjustRightInd w:val="0"/>
      <w:snapToGrid w:val="0"/>
      <w:spacing w:beforeLines="10" w:afterLines="10" w:line="259" w:lineRule="auto"/>
      <w:jc w:val="center"/>
    </w:pPr>
    <w:rPr>
      <w:rFonts w:ascii="宋体" w:hAnsi="Calibri"/>
      <w:szCs w:val="22"/>
    </w:rPr>
  </w:style>
  <w:style w:type="character" w:customStyle="1" w:styleId="54">
    <w:name w:val="批注文字 字符1"/>
    <w:autoRedefine/>
    <w:semiHidden/>
    <w:qFormat/>
    <w:uiPriority w:val="0"/>
    <w:rPr>
      <w:rFonts w:ascii="Times New Roman" w:hAnsi="Times New Roman" w:eastAsia="宋体" w:cs="Times New Roman"/>
      <w:sz w:val="24"/>
      <w:szCs w:val="24"/>
    </w:rPr>
  </w:style>
  <w:style w:type="character" w:customStyle="1" w:styleId="55">
    <w:name w:val="批注主题 Char"/>
    <w:link w:val="24"/>
    <w:semiHidden/>
    <w:qFormat/>
    <w:uiPriority w:val="0"/>
    <w:rPr>
      <w:rFonts w:ascii="Times New Roman" w:hAnsi="Times New Roman" w:eastAsia="宋体" w:cs="Times New Roman"/>
      <w:b/>
      <w:bCs/>
      <w:sz w:val="24"/>
      <w:szCs w:val="24"/>
    </w:rPr>
  </w:style>
  <w:style w:type="character" w:customStyle="1" w:styleId="56">
    <w:name w:val="日期 Char"/>
    <w:link w:val="15"/>
    <w:autoRedefine/>
    <w:qFormat/>
    <w:uiPriority w:val="0"/>
    <w:rPr>
      <w:rFonts w:ascii="Times New Roman" w:hAnsi="Times New Roman" w:eastAsia="宋体"/>
      <w:sz w:val="24"/>
    </w:rPr>
  </w:style>
  <w:style w:type="character" w:customStyle="1" w:styleId="57">
    <w:name w:val="普通(网站) Char"/>
    <w:autoRedefine/>
    <w:qFormat/>
    <w:uiPriority w:val="0"/>
    <w:rPr>
      <w:rFonts w:ascii="宋体" w:hAnsi="宋体" w:eastAsia="宋体"/>
      <w:sz w:val="24"/>
    </w:rPr>
  </w:style>
  <w:style w:type="character" w:customStyle="1" w:styleId="58">
    <w:name w:val="批注框文本 Char"/>
    <w:link w:val="16"/>
    <w:semiHidden/>
    <w:qFormat/>
    <w:uiPriority w:val="0"/>
    <w:rPr>
      <w:rFonts w:ascii="Times New Roman" w:hAnsi="Times New Roman" w:eastAsia="宋体" w:cs="Times New Roman"/>
      <w:sz w:val="18"/>
      <w:szCs w:val="18"/>
    </w:rPr>
  </w:style>
  <w:style w:type="character" w:customStyle="1" w:styleId="59">
    <w:name w:val="正文文本 Char1"/>
    <w:link w:val="10"/>
    <w:semiHidden/>
    <w:qFormat/>
    <w:uiPriority w:val="99"/>
    <w:rPr>
      <w:rFonts w:ascii="Times New Roman" w:hAnsi="Times New Roman" w:eastAsia="宋体" w:cs="Times New Roman"/>
      <w:szCs w:val="24"/>
    </w:rPr>
  </w:style>
  <w:style w:type="character" w:customStyle="1" w:styleId="60">
    <w:name w:val="正文首行缩进 Char"/>
    <w:link w:val="25"/>
    <w:autoRedefine/>
    <w:qFormat/>
    <w:uiPriority w:val="0"/>
    <w:rPr>
      <w:rFonts w:ascii="Calibri" w:hAnsi="Calibri" w:eastAsia="宋体" w:cs="Times New Roman"/>
      <w:kern w:val="0"/>
      <w:sz w:val="18"/>
      <w:szCs w:val="20"/>
      <w:lang w:val="zh-CN" w:eastAsia="zh-CN"/>
    </w:rPr>
  </w:style>
  <w:style w:type="character" w:customStyle="1" w:styleId="61">
    <w:name w:val="批注文字 Char1"/>
    <w:link w:val="9"/>
    <w:autoRedefine/>
    <w:semiHidden/>
    <w:qFormat/>
    <w:uiPriority w:val="99"/>
    <w:rPr>
      <w:rFonts w:ascii="Times New Roman" w:hAnsi="Times New Roman" w:eastAsia="宋体" w:cs="Times New Roman"/>
      <w:szCs w:val="24"/>
    </w:rPr>
  </w:style>
  <w:style w:type="character" w:customStyle="1" w:styleId="62">
    <w:name w:val="批注主题 Char1"/>
    <w:autoRedefine/>
    <w:semiHidden/>
    <w:qFormat/>
    <w:uiPriority w:val="99"/>
    <w:rPr>
      <w:rFonts w:ascii="Times New Roman" w:hAnsi="Times New Roman" w:eastAsia="宋体" w:cs="Times New Roman"/>
      <w:b/>
      <w:bCs/>
      <w:szCs w:val="24"/>
    </w:rPr>
  </w:style>
  <w:style w:type="character" w:customStyle="1" w:styleId="63">
    <w:name w:val="文档结构图 Char1"/>
    <w:semiHidden/>
    <w:qFormat/>
    <w:uiPriority w:val="99"/>
    <w:rPr>
      <w:rFonts w:ascii="宋体" w:hAnsi="Times New Roman" w:eastAsia="宋体" w:cs="Times New Roman"/>
      <w:sz w:val="18"/>
      <w:szCs w:val="18"/>
    </w:rPr>
  </w:style>
  <w:style w:type="character" w:customStyle="1" w:styleId="64">
    <w:name w:val="日期 Char1"/>
    <w:autoRedefine/>
    <w:semiHidden/>
    <w:qFormat/>
    <w:uiPriority w:val="99"/>
    <w:rPr>
      <w:rFonts w:ascii="Times New Roman" w:hAnsi="Times New Roman" w:eastAsia="宋体" w:cs="Times New Roman"/>
      <w:szCs w:val="24"/>
    </w:rPr>
  </w:style>
  <w:style w:type="character" w:customStyle="1" w:styleId="65">
    <w:name w:val="纯文本 Char"/>
    <w:link w:val="12"/>
    <w:autoRedefine/>
    <w:qFormat/>
    <w:uiPriority w:val="0"/>
    <w:rPr>
      <w:rFonts w:ascii="宋体" w:hAnsi="Courier New" w:eastAsia="宋体" w:cs="Courier New"/>
      <w:szCs w:val="21"/>
    </w:rPr>
  </w:style>
  <w:style w:type="character" w:customStyle="1" w:styleId="66">
    <w:name w:val="批注框文本 Char1"/>
    <w:autoRedefine/>
    <w:semiHidden/>
    <w:qFormat/>
    <w:uiPriority w:val="99"/>
    <w:rPr>
      <w:rFonts w:ascii="Times New Roman" w:hAnsi="Times New Roman" w:eastAsia="宋体" w:cs="Times New Roman"/>
      <w:sz w:val="18"/>
      <w:szCs w:val="18"/>
    </w:rPr>
  </w:style>
  <w:style w:type="paragraph" w:customStyle="1" w:styleId="67">
    <w:name w:val="环评正文"/>
    <w:basedOn w:val="1"/>
    <w:autoRedefine/>
    <w:qFormat/>
    <w:uiPriority w:val="0"/>
    <w:pPr>
      <w:spacing w:beforeLines="30" w:after="100" w:afterAutospacing="1"/>
      <w:ind w:firstLine="480" w:firstLineChars="200"/>
    </w:pPr>
    <w:rPr>
      <w:rFonts w:ascii="Tahoma" w:hAnsi="Tahoma" w:cs="Tahoma"/>
      <w:kern w:val="0"/>
      <w:sz w:val="24"/>
    </w:rPr>
  </w:style>
  <w:style w:type="paragraph" w:customStyle="1" w:styleId="68">
    <w:name w:val="表文字"/>
    <w:basedOn w:val="1"/>
    <w:autoRedefine/>
    <w:qFormat/>
    <w:uiPriority w:val="0"/>
    <w:pPr>
      <w:overflowPunct w:val="0"/>
      <w:autoSpaceDE w:val="0"/>
      <w:autoSpaceDN w:val="0"/>
      <w:adjustRightInd w:val="0"/>
      <w:spacing w:line="240" w:lineRule="atLeast"/>
      <w:jc w:val="center"/>
      <w:textAlignment w:val="baseline"/>
    </w:pPr>
    <w:rPr>
      <w:rFonts w:ascii="Calibri" w:hAnsi="Calibri"/>
      <w:sz w:val="24"/>
      <w:szCs w:val="22"/>
    </w:rPr>
  </w:style>
  <w:style w:type="paragraph" w:customStyle="1" w:styleId="69">
    <w:name w:val="（正文）"/>
    <w:basedOn w:val="12"/>
    <w:autoRedefine/>
    <w:qFormat/>
    <w:uiPriority w:val="0"/>
    <w:pPr>
      <w:adjustRightInd w:val="0"/>
      <w:snapToGrid w:val="0"/>
      <w:spacing w:line="360" w:lineRule="auto"/>
      <w:ind w:firstLine="200" w:firstLineChars="200"/>
    </w:pPr>
    <w:rPr>
      <w:rFonts w:ascii="Times New Roman" w:hAnsi="Times New Roman" w:cs="Times New Roman"/>
      <w:kern w:val="0"/>
      <w:sz w:val="24"/>
      <w:szCs w:val="24"/>
    </w:rPr>
  </w:style>
  <w:style w:type="paragraph" w:customStyle="1" w:styleId="70">
    <w:name w:val="报告书正文"/>
    <w:basedOn w:val="1"/>
    <w:qFormat/>
    <w:uiPriority w:val="0"/>
    <w:pPr>
      <w:spacing w:line="300" w:lineRule="auto"/>
      <w:ind w:firstLine="200" w:firstLineChars="200"/>
    </w:pPr>
    <w:rPr>
      <w:sz w:val="24"/>
      <w:szCs w:val="20"/>
    </w:rPr>
  </w:style>
  <w:style w:type="paragraph" w:customStyle="1" w:styleId="71">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72">
    <w:name w:val="表格文字"/>
    <w:basedOn w:val="1"/>
    <w:autoRedefine/>
    <w:qFormat/>
    <w:uiPriority w:val="0"/>
    <w:pPr>
      <w:adjustRightInd w:val="0"/>
      <w:snapToGrid w:val="0"/>
      <w:jc w:val="center"/>
      <w:textAlignment w:val="center"/>
    </w:pPr>
    <w:rPr>
      <w:szCs w:val="18"/>
    </w:rPr>
  </w:style>
  <w:style w:type="paragraph" w:customStyle="1" w:styleId="73">
    <w:name w:val="表格的字"/>
    <w:next w:val="1"/>
    <w:qFormat/>
    <w:uiPriority w:val="0"/>
    <w:pPr>
      <w:jc w:val="center"/>
    </w:pPr>
    <w:rPr>
      <w:rFonts w:ascii="Calibri" w:hAnsi="Calibri" w:eastAsia="宋体" w:cs="Times New Roman"/>
      <w:kern w:val="2"/>
      <w:sz w:val="21"/>
      <w:szCs w:val="21"/>
      <w:lang w:val="en-US" w:eastAsia="zh-CN" w:bidi="ar-SA"/>
    </w:rPr>
  </w:style>
  <w:style w:type="paragraph" w:customStyle="1" w:styleId="74">
    <w:name w:val="正文1"/>
    <w:autoRedefine/>
    <w:qFormat/>
    <w:uiPriority w:val="0"/>
    <w:pPr>
      <w:jc w:val="both"/>
    </w:pPr>
    <w:rPr>
      <w:rFonts w:ascii="Times New Roman" w:hAnsi="Times New Roman" w:eastAsia="宋体" w:cs="Times New Roman"/>
      <w:kern w:val="2"/>
      <w:sz w:val="21"/>
      <w:szCs w:val="21"/>
      <w:lang w:val="en-US" w:eastAsia="zh-CN" w:bidi="ar-SA"/>
    </w:rPr>
  </w:style>
  <w:style w:type="character" w:customStyle="1" w:styleId="75">
    <w:name w:val="标题 2 Char"/>
    <w:link w:val="3"/>
    <w:autoRedefine/>
    <w:qFormat/>
    <w:uiPriority w:val="9"/>
    <w:rPr>
      <w:rFonts w:ascii="Cambria" w:hAnsi="Cambria" w:eastAsia="宋体" w:cs="Times New Roman"/>
      <w:b/>
      <w:bCs/>
      <w:sz w:val="32"/>
      <w:szCs w:val="32"/>
    </w:rPr>
  </w:style>
  <w:style w:type="paragraph" w:customStyle="1" w:styleId="76">
    <w:name w:val="Table Paragraph"/>
    <w:basedOn w:val="1"/>
    <w:autoRedefine/>
    <w:qFormat/>
    <w:uiPriority w:val="0"/>
    <w:rPr>
      <w:szCs w:val="21"/>
    </w:rPr>
  </w:style>
  <w:style w:type="paragraph" w:customStyle="1" w:styleId="77">
    <w:name w:val="Char Char Char Char Char Char Char Char Char Char"/>
    <w:basedOn w:val="1"/>
    <w:autoRedefine/>
    <w:qFormat/>
    <w:uiPriority w:val="0"/>
    <w:pPr>
      <w:adjustRightInd w:val="0"/>
      <w:snapToGrid w:val="0"/>
      <w:spacing w:line="360" w:lineRule="auto"/>
      <w:ind w:firstLine="200" w:firstLineChars="200"/>
    </w:pPr>
    <w:rPr>
      <w:rFonts w:eastAsia="楷体_GB2312"/>
      <w:sz w:val="24"/>
    </w:rPr>
  </w:style>
  <w:style w:type="character" w:customStyle="1" w:styleId="78">
    <w:name w:val="fontstyle01"/>
    <w:basedOn w:val="29"/>
    <w:autoRedefine/>
    <w:qFormat/>
    <w:uiPriority w:val="0"/>
    <w:rPr>
      <w:rFonts w:hint="default" w:ascii="TimesNewRomanPSMT" w:hAnsi="TimesNewRomanPSMT"/>
      <w:color w:val="000000"/>
      <w:sz w:val="24"/>
      <w:szCs w:val="24"/>
    </w:rPr>
  </w:style>
  <w:style w:type="paragraph" w:customStyle="1" w:styleId="79">
    <w:name w:val="1-正文//"/>
    <w:basedOn w:val="1"/>
    <w:autoRedefine/>
    <w:qFormat/>
    <w:uiPriority w:val="0"/>
    <w:pPr>
      <w:spacing w:line="360" w:lineRule="auto"/>
      <w:ind w:firstLine="480" w:firstLineChars="200"/>
    </w:pPr>
    <w:rPr>
      <w:sz w:val="24"/>
    </w:rPr>
  </w:style>
  <w:style w:type="paragraph" w:customStyle="1" w:styleId="80">
    <w:name w:val="表3-1"/>
    <w:basedOn w:val="1"/>
    <w:link w:val="81"/>
    <w:autoRedefine/>
    <w:qFormat/>
    <w:uiPriority w:val="0"/>
    <w:pPr>
      <w:widowControl/>
      <w:spacing w:beforeLines="50" w:after="100" w:afterAutospacing="1"/>
      <w:jc w:val="center"/>
    </w:pPr>
    <w:rPr>
      <w:b/>
      <w:sz w:val="24"/>
    </w:rPr>
  </w:style>
  <w:style w:type="character" w:customStyle="1" w:styleId="81">
    <w:name w:val="表3-1 Char"/>
    <w:link w:val="80"/>
    <w:qFormat/>
    <w:uiPriority w:val="0"/>
    <w:rPr>
      <w:rFonts w:ascii="Times New Roman" w:hAnsi="Times New Roman" w:eastAsia="宋体" w:cs="Times New Roman"/>
      <w:b/>
      <w:sz w:val="24"/>
      <w:szCs w:val="24"/>
    </w:rPr>
  </w:style>
  <w:style w:type="character" w:customStyle="1" w:styleId="82">
    <w:name w:val="表2-1 Char"/>
    <w:link w:val="83"/>
    <w:autoRedefine/>
    <w:qFormat/>
    <w:uiPriority w:val="0"/>
    <w:rPr>
      <w:b/>
      <w:sz w:val="24"/>
      <w:szCs w:val="24"/>
    </w:rPr>
  </w:style>
  <w:style w:type="paragraph" w:customStyle="1" w:styleId="83">
    <w:name w:val="表2-1"/>
    <w:basedOn w:val="80"/>
    <w:link w:val="82"/>
    <w:autoRedefine/>
    <w:qFormat/>
    <w:uiPriority w:val="0"/>
    <w:pPr>
      <w:numPr>
        <w:ilvl w:val="0"/>
        <w:numId w:val="2"/>
      </w:numPr>
      <w:spacing w:before="50" w:after="0" w:afterAutospacing="0"/>
    </w:pPr>
    <w:rPr>
      <w:rFonts w:ascii="Calibri" w:hAnsi="Calibri"/>
    </w:rPr>
  </w:style>
  <w:style w:type="character" w:customStyle="1" w:styleId="84">
    <w:name w:val="fontstyle21"/>
    <w:basedOn w:val="29"/>
    <w:autoRedefine/>
    <w:qFormat/>
    <w:uiPriority w:val="0"/>
    <w:rPr>
      <w:rFonts w:ascii="TimesNewRomanPSMT" w:hAnsi="TimesNewRomanPSMT" w:eastAsia="TimesNewRomanPSMT" w:cs="TimesNewRomanPSMT"/>
      <w:color w:val="000000"/>
      <w:sz w:val="24"/>
      <w:szCs w:val="24"/>
    </w:rPr>
  </w:style>
  <w:style w:type="paragraph" w:customStyle="1" w:styleId="85">
    <w:name w:val="黄酒表格标题"/>
    <w:autoRedefine/>
    <w:qFormat/>
    <w:uiPriority w:val="0"/>
    <w:pPr>
      <w:tabs>
        <w:tab w:val="left" w:pos="-2848"/>
      </w:tabs>
      <w:jc w:val="center"/>
    </w:pPr>
    <w:rPr>
      <w:rFonts w:ascii="Times New Roman" w:hAnsi="Times New Roman" w:eastAsia="宋体" w:cs="宋体"/>
      <w:b/>
      <w:sz w:val="21"/>
      <w:szCs w:val="21"/>
      <w:lang w:val="en-US" w:eastAsia="zh-CN" w:bidi="ar-SA"/>
    </w:rPr>
  </w:style>
  <w:style w:type="paragraph" w:customStyle="1" w:styleId="86">
    <w:name w:val="段落"/>
    <w:basedOn w:val="1"/>
    <w:autoRedefine/>
    <w:qFormat/>
    <w:uiPriority w:val="0"/>
    <w:pPr>
      <w:tabs>
        <w:tab w:val="left" w:pos="720"/>
        <w:tab w:val="left" w:pos="900"/>
      </w:tabs>
      <w:spacing w:line="360" w:lineRule="auto"/>
      <w:ind w:firstLine="480" w:firstLineChars="200"/>
    </w:pPr>
    <w:rPr>
      <w:kern w:val="24"/>
      <w:sz w:val="24"/>
    </w:rPr>
  </w:style>
  <w:style w:type="character" w:customStyle="1" w:styleId="87">
    <w:name w:val="样式 正文01 + Times New Roman Char"/>
    <w:link w:val="88"/>
    <w:autoRedefine/>
    <w:qFormat/>
    <w:uiPriority w:val="0"/>
    <w:rPr>
      <w:bCs/>
      <w:kern w:val="0"/>
      <w:sz w:val="20"/>
      <w:szCs w:val="20"/>
    </w:rPr>
  </w:style>
  <w:style w:type="paragraph" w:customStyle="1" w:styleId="88">
    <w:name w:val="样式 正文01 + Times New Roman"/>
    <w:basedOn w:val="89"/>
    <w:link w:val="87"/>
    <w:autoRedefine/>
    <w:qFormat/>
    <w:uiPriority w:val="0"/>
    <w:pPr>
      <w:ind w:firstLine="0" w:firstLineChars="0"/>
    </w:pPr>
    <w:rPr>
      <w:bCs/>
      <w:kern w:val="0"/>
      <w:sz w:val="20"/>
      <w:szCs w:val="20"/>
    </w:rPr>
  </w:style>
  <w:style w:type="paragraph" w:customStyle="1" w:styleId="89">
    <w:name w:val="正文01"/>
    <w:basedOn w:val="6"/>
    <w:autoRedefine/>
    <w:qFormat/>
    <w:uiPriority w:val="0"/>
    <w:pPr>
      <w:ind w:firstLine="480" w:firstLineChars="200"/>
    </w:pPr>
  </w:style>
  <w:style w:type="paragraph" w:customStyle="1" w:styleId="90">
    <w:name w:val="表头"/>
    <w:basedOn w:val="1"/>
    <w:next w:val="1"/>
    <w:autoRedefine/>
    <w:qFormat/>
    <w:uiPriority w:val="0"/>
    <w:pPr>
      <w:spacing w:line="360" w:lineRule="auto"/>
      <w:jc w:val="center"/>
    </w:pPr>
    <w:rPr>
      <w:rFonts w:ascii="Times New Roman" w:hAnsi="Times New Roman"/>
      <w:b/>
      <w:sz w:val="24"/>
    </w:rPr>
  </w:style>
  <w:style w:type="paragraph" w:customStyle="1" w:styleId="91">
    <w:name w:val="表格标题"/>
    <w:basedOn w:val="25"/>
    <w:autoRedefine/>
    <w:qFormat/>
    <w:uiPriority w:val="0"/>
    <w:pPr>
      <w:ind w:firstLine="0" w:firstLineChars="0"/>
      <w:jc w:val="center"/>
    </w:pPr>
    <w:rPr>
      <w:rFonts w:eastAsia="黑体"/>
      <w:sz w:val="22"/>
    </w:rPr>
  </w:style>
  <w:style w:type="paragraph" w:customStyle="1" w:styleId="92">
    <w:name w:val="sheet"/>
    <w:basedOn w:val="1"/>
    <w:autoRedefine/>
    <w:qFormat/>
    <w:uiPriority w:val="0"/>
    <w:pPr>
      <w:jc w:val="center"/>
    </w:pPr>
  </w:style>
  <w:style w:type="paragraph" w:customStyle="1" w:styleId="93">
    <w:name w:val="小四仿宋正文"/>
    <w:basedOn w:val="1"/>
    <w:qFormat/>
    <w:uiPriority w:val="0"/>
    <w:pPr>
      <w:spacing w:line="360" w:lineRule="auto"/>
      <w:ind w:firstLine="560" w:firstLineChars="200"/>
    </w:pPr>
    <w:rPr>
      <w:rFonts w:eastAsia="仿宋"/>
      <w:sz w:val="24"/>
    </w:rPr>
  </w:style>
  <w:style w:type="table" w:customStyle="1" w:styleId="94">
    <w:name w:val="Table Normal"/>
    <w:autoRedefine/>
    <w:semiHidden/>
    <w:unhideWhenUsed/>
    <w:qFormat/>
    <w:uiPriority w:val="0"/>
    <w:tblPr>
      <w:tblCellMar>
        <w:top w:w="0" w:type="dxa"/>
        <w:left w:w="0" w:type="dxa"/>
        <w:bottom w:w="0" w:type="dxa"/>
        <w:right w:w="0" w:type="dxa"/>
      </w:tblCellMar>
    </w:tblPr>
  </w:style>
  <w:style w:type="paragraph" w:customStyle="1" w:styleId="95">
    <w:name w:val="正文（源通）"/>
    <w:basedOn w:val="1"/>
    <w:qFormat/>
    <w:uiPriority w:val="0"/>
    <w:pPr>
      <w:spacing w:line="500" w:lineRule="exact"/>
      <w:ind w:firstLine="480" w:firstLineChars="200"/>
      <w:jc w:val="left"/>
    </w:pPr>
    <w:rPr>
      <w:rFonts w:eastAsia="Times New Roman"/>
      <w:color w:val="FF0000"/>
      <w:kern w:val="0"/>
      <w:sz w:val="24"/>
    </w:rPr>
  </w:style>
  <w:style w:type="paragraph" w:customStyle="1" w:styleId="96">
    <w:name w:val="样式 段前: 5 磅 段后: 5 磅"/>
    <w:basedOn w:val="1"/>
    <w:autoRedefine/>
    <w:qFormat/>
    <w:uiPriority w:val="0"/>
    <w:pPr>
      <w:spacing w:before="100" w:beforeLines="0" w:after="100" w:afterLines="0"/>
      <w:ind w:left="1050" w:leftChars="500" w:right="3263" w:rightChars="1554"/>
    </w:pPr>
    <w:rPr>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3" Type="http://schemas.openxmlformats.org/officeDocument/2006/relationships/fontTable" Target="fontTable.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ExMDE1MDIwMTQ0IiwKCSJHcm91cElkIiA6ICIyNjUyNTg2MjQiLAoJIkltYWdlIiA6ICJpVkJPUncwS0dnb0FBQUFOU1VoRVVnQUFBMmNBQUFINENBWUFBQURPNUpYYUFBQUFBWE5TUjBJQXJzNGM2UUFBSUFCSlJFRlVlSnpzM1dkWUZOZmZCdUJuZG1rS0tvckdFbzFFc1NBV1FJMjlKV3JxM3lUR2JoS05ScVBHaGhwN1YyeXhJRkd3bDJnc3hCNWpqV0pYYkFnSVdMQUNVa1NsczdCbDNnOWs1MlhZcFNtR0ZaLzd1a3pZMmRuWk16Qno1dnhPQl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kFmZnAvaVlYdmhuVys4YTBBQUFBQVNVVk9SSzVDWUlJPSIsCgkiVGhlbWUiIDogIiIsCgkiVHlwZSIgOiAiZmxvdyIsCgkiVXNlcklkIiA6ICIiLAoJIlZlcnNpb24iIDogIjQxIgp9Cg=="/>
    </extobj>
    <extobj name="ECB019B1-382A-4266-B25C-5B523AA43C14-2">
      <extobjdata type="ECB019B1-382A-4266-B25C-5B523AA43C14" data="ewoJIkZpbGVJZCIgOiAiMzExMDQ0ODE2Nzg2IiwKCSJHcm91cElkIiA6ICIyNjUyNTg2MjQiLAoJIkltYWdlIiA6ICJpVkJPUncwS0dnb0FBQUFOU1VoRVVnQUFBN1FBQUFETUNBWUFBQUJEWHUrZkFBQUFBWE5TUjBJQXJzNGM2UUFBSUFCSlJFRlVlSnp0M1hsNFRPZmJCL0R2bVV5U1FVSlNvWmFvMklyWUVrdUZVanRGUzJsS3F5MnRVaXBVbGFyS0QwVnB0YW9VVVVzUmFsZXR0SlpYMFZadHNTVWhpeEFFQ2RJc3NpY3ptWm56L2hGem1qR1RaQktUVENiei9WeVg2OHFjOVRubW5wbHpQK2RaQUN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XJVL3dQVDhVQUkzT0pKQUFBQUFBQkpSVTVFcmtKZ2dnPT0iLAoJIlRoZW1lIiA6ICIiLAoJIlR5cGUiIDogImZsb3ciLAoJIlZlcnNpb24iIDogIiIKfQo="/>
    </extobj>
    <extobj name="ECB019B1-382A-4266-B25C-5B523AA43C14-3">
      <extobjdata type="ECB019B1-382A-4266-B25C-5B523AA43C14" data="ewoJIkZpbGVJZCIgOiAiMzExMDM1OTg2NzIwIiwKCSJHcm91cElkIiA6ICIyNjUyNTg2MjQiLAoJIkltYWdlIiA6ICJpVkJPUncwS0dnb0FBQUFOU1VoRVVnQUFCSG9BQUFESkNBWUFBQUJjM2xXOUFBQUFBWE5TUjBJQXJzNGM2UUFBSUFCSlJFRlVlSnpzM1hsY1ZOWDdCL0RQbllWRlFSRlhFdmN0MGxEOHFkbHFtcWxaV3BaTFptYm1sa3ZtbG52dTVwb0xhYWJwRjh4YzBISmZja2x6eVEwVkZRVVJFaERjVVpCMVpwaVorL3VENXNabEZrWkZaNERQKy9YeXBkeDc1M0xBWjg3Yys5eHpuZ01R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K016L0FYUUNhM21mM3dQT0FBQUFBRWxGVGtTdVFtQ0MiLAoJIlRoZW1lIiA6ICIiLAoJIlR5cGUiIDogImZsb3ciLAoJIlZlcnNpb24iIDogIiIKfQo="/>
    </extobj>
    <extobj name="ECB019B1-382A-4266-B25C-5B523AA43C14-4">
      <extobjdata type="ECB019B1-382A-4266-B25C-5B523AA43C14" data="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93</Pages>
  <Words>526</Words>
  <Characters>561</Characters>
  <Lines>1</Lines>
  <Paragraphs>1</Paragraphs>
  <TotalTime>2</TotalTime>
  <ScaleCrop>false</ScaleCrop>
  <LinksUpToDate>false</LinksUpToDate>
  <CharactersWithSpaces>654</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2022-02-11T07:44:00Z</dcterms:created>
  <dc:creator>微软用户</dc:creator>
  <cp:lastModifiedBy>SHM</cp:lastModifiedBy>
  <cp:lastPrinted>2022-01-22T01:20:00Z</cp:lastPrinted>
  <dcterms:modified xsi:type="dcterms:W3CDTF">2025-07-23T03:07:36Z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5EB3A386E25E44BABEC1FA671150DEBC_13</vt:lpwstr>
  </property>
  <property fmtid="{D5CDD505-2E9C-101B-9397-08002B2CF9AE}" pid="4" name="KSOTemplateDocerSaveRecord">
    <vt:lpwstr>eyJoZGlkIjoiMzEwNTM5NzYwMDRjMzkwZTVkZjY2ODkwMGIxNGU0OTUiLCJ1c2VySWQiOiIzMTE1Mzg2MjQifQ==</vt:lpwstr>
  </property>
</Properties>
</file>