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2B924">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lang w:val="en-US" w:eastAsia="zh-CN"/>
        </w:rPr>
      </w:pPr>
    </w:p>
    <w:p w14:paraId="3E2B44F0">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lang w:val="en-US" w:eastAsia="zh-CN"/>
        </w:rPr>
      </w:pPr>
    </w:p>
    <w:p w14:paraId="6C7BB38F">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lang w:val="en-US" w:eastAsia="zh-CN"/>
        </w:rPr>
      </w:pPr>
    </w:p>
    <w:p w14:paraId="63C052FE">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lang w:val="en-US" w:eastAsia="zh-CN"/>
        </w:rPr>
      </w:pPr>
    </w:p>
    <w:p w14:paraId="14617CF4">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highlight w:val="yellow"/>
          <w:lang w:val="en-US" w:eastAsia="zh-CN"/>
        </w:rPr>
      </w:pPr>
    </w:p>
    <w:p w14:paraId="76D14DD3">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岳临环评〔2025〕8号</w:t>
      </w:r>
    </w:p>
    <w:p w14:paraId="7234B040">
      <w:pPr>
        <w:jc w:val="center"/>
        <w:rPr>
          <w:rFonts w:hint="eastAsia" w:ascii="宋体" w:hAnsi="宋体" w:eastAsia="宋体" w:cs="宋体"/>
          <w:b/>
          <w:bCs/>
          <w:color w:val="auto"/>
          <w:spacing w:val="-11"/>
          <w:sz w:val="36"/>
          <w:szCs w:val="36"/>
          <w:lang w:val="en-US" w:eastAsia="zh-CN"/>
        </w:rPr>
      </w:pPr>
      <w:r>
        <w:rPr>
          <w:rFonts w:hint="eastAsia" w:ascii="宋体" w:hAnsi="宋体" w:eastAsia="宋体" w:cs="宋体"/>
          <w:b/>
          <w:bCs/>
          <w:color w:val="auto"/>
          <w:spacing w:val="-11"/>
          <w:sz w:val="36"/>
          <w:szCs w:val="36"/>
        </w:rPr>
        <w:t>关于</w:t>
      </w:r>
      <w:r>
        <w:rPr>
          <w:rFonts w:hint="eastAsia" w:ascii="宋体" w:hAnsi="宋体" w:eastAsia="宋体" w:cs="宋体"/>
          <w:b/>
          <w:bCs/>
          <w:color w:val="auto"/>
          <w:spacing w:val="-11"/>
          <w:sz w:val="36"/>
          <w:szCs w:val="36"/>
          <w:lang w:eastAsia="zh-CN"/>
        </w:rPr>
        <w:t>临湘市城区雨水调蓄及行泄通道工程项目（雨水行泄通道及城区内涝点改造）</w:t>
      </w:r>
      <w:r>
        <w:rPr>
          <w:rFonts w:hint="eastAsia" w:ascii="宋体" w:hAnsi="宋体" w:eastAsia="宋体" w:cs="宋体"/>
          <w:b/>
          <w:bCs/>
          <w:color w:val="auto"/>
          <w:spacing w:val="-11"/>
          <w:sz w:val="36"/>
          <w:szCs w:val="36"/>
        </w:rPr>
        <w:t>环境影响报告表的</w:t>
      </w:r>
      <w:r>
        <w:rPr>
          <w:rFonts w:hint="eastAsia" w:ascii="宋体" w:hAnsi="宋体" w:eastAsia="宋体" w:cs="宋体"/>
          <w:b/>
          <w:bCs/>
          <w:color w:val="auto"/>
          <w:spacing w:val="-11"/>
          <w:sz w:val="36"/>
          <w:szCs w:val="36"/>
          <w:lang w:val="en-US" w:eastAsia="zh-CN"/>
        </w:rPr>
        <w:t>批复</w:t>
      </w:r>
    </w:p>
    <w:p w14:paraId="2830F0E9">
      <w:pPr>
        <w:keepNext w:val="0"/>
        <w:keepLines w:val="0"/>
        <w:pageBreakBefore w:val="0"/>
        <w:widowControl w:val="0"/>
        <w:kinsoku/>
        <w:wordWrap/>
        <w:overflowPunct/>
        <w:topLinePunct w:val="0"/>
        <w:bidi w:val="0"/>
        <w:spacing w:line="540" w:lineRule="exact"/>
        <w:textAlignment w:val="auto"/>
        <w:rPr>
          <w:rFonts w:hint="eastAsia" w:ascii="仿宋" w:hAnsi="仿宋" w:eastAsia="仿宋" w:cs="仿宋"/>
          <w:color w:val="auto"/>
          <w:sz w:val="32"/>
          <w:szCs w:val="32"/>
          <w:u w:val="none"/>
          <w:lang w:val="en-US" w:eastAsia="zh-CN"/>
        </w:rPr>
      </w:pPr>
    </w:p>
    <w:p w14:paraId="1F151728">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 w:hAnsi="仿宋" w:eastAsia="仿宋" w:cs="仿宋"/>
          <w:color w:val="auto"/>
          <w:spacing w:val="0"/>
          <w:kern w:val="10"/>
          <w:sz w:val="30"/>
          <w:szCs w:val="30"/>
        </w:rPr>
      </w:pPr>
      <w:r>
        <w:rPr>
          <w:rFonts w:hint="eastAsia" w:ascii="仿宋" w:hAnsi="仿宋" w:eastAsia="仿宋" w:cs="仿宋"/>
          <w:color w:val="auto"/>
          <w:spacing w:val="0"/>
          <w:kern w:val="10"/>
          <w:sz w:val="30"/>
          <w:szCs w:val="30"/>
          <w:lang w:val="en-US" w:eastAsia="zh-CN"/>
        </w:rPr>
        <w:t>临湘</w:t>
      </w:r>
      <w:r>
        <w:rPr>
          <w:rFonts w:hint="eastAsia" w:ascii="仿宋" w:hAnsi="仿宋" w:eastAsia="仿宋" w:cs="仿宋"/>
          <w:color w:val="auto"/>
          <w:spacing w:val="0"/>
          <w:kern w:val="10"/>
          <w:sz w:val="30"/>
          <w:szCs w:val="30"/>
        </w:rPr>
        <w:t>市</w:t>
      </w:r>
      <w:r>
        <w:rPr>
          <w:rFonts w:hint="eastAsia" w:ascii="仿宋" w:hAnsi="仿宋" w:eastAsia="仿宋" w:cs="仿宋"/>
          <w:color w:val="auto"/>
          <w:spacing w:val="0"/>
          <w:kern w:val="10"/>
          <w:sz w:val="30"/>
          <w:szCs w:val="30"/>
          <w:lang w:val="en-US" w:eastAsia="zh-CN"/>
        </w:rPr>
        <w:t>住房和城乡建设局：</w:t>
      </w:r>
    </w:p>
    <w:p w14:paraId="39321208">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spacing w:val="0"/>
          <w:kern w:val="10"/>
          <w:sz w:val="30"/>
          <w:szCs w:val="30"/>
          <w:lang w:val="en-US" w:eastAsia="zh-CN" w:bidi="ar-SA"/>
        </w:rPr>
        <w:t>你局报送的《临湘市城区雨水调蓄及行泄通道工程项目（雨水行泄通道及城区内涝点改造）环境影响报告表》</w:t>
      </w:r>
      <w:r>
        <w:rPr>
          <w:rFonts w:hint="eastAsia" w:ascii="仿宋" w:hAnsi="仿宋" w:eastAsia="仿宋" w:cs="仿宋"/>
          <w:color w:val="auto"/>
          <w:kern w:val="2"/>
          <w:sz w:val="30"/>
          <w:szCs w:val="30"/>
          <w:lang w:val="en-US" w:eastAsia="zh-CN" w:bidi="ar-SA"/>
        </w:rPr>
        <w:t>（报批稿）</w:t>
      </w:r>
      <w:r>
        <w:rPr>
          <w:rFonts w:hint="eastAsia" w:ascii="仿宋" w:hAnsi="仿宋" w:eastAsia="仿宋" w:cs="仿宋"/>
          <w:b w:val="0"/>
          <w:bCs w:val="0"/>
          <w:color w:val="auto"/>
          <w:kern w:val="2"/>
          <w:sz w:val="30"/>
          <w:szCs w:val="30"/>
          <w:lang w:val="en-US" w:eastAsia="zh-CN" w:bidi="ar-SA"/>
        </w:rPr>
        <w:t>（以下简称《报告表》）</w:t>
      </w:r>
      <w:r>
        <w:rPr>
          <w:rFonts w:hint="eastAsia" w:ascii="仿宋" w:hAnsi="仿宋" w:eastAsia="仿宋" w:cs="仿宋"/>
          <w:color w:val="auto"/>
          <w:kern w:val="2"/>
          <w:sz w:val="30"/>
          <w:szCs w:val="30"/>
          <w:highlight w:val="none"/>
          <w:lang w:val="en-US" w:eastAsia="zh-CN" w:bidi="ar-SA"/>
        </w:rPr>
        <w:t>及申请批复的报告等相关材料收悉。经研究，现批复如下：</w:t>
      </w:r>
    </w:p>
    <w:p w14:paraId="4CA4243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一、为解决临湘市雨水行泄能力不足、城区内涝的问题，保证城区雨水调蓄设施最大化地行使雨洪控制功能及各行泄通道行泄能力，你单位拟投资6641.1万元（其中环保投资494.8万元），在临湘市城区建设雨水调蓄及行泄通道工程项目。主要建设内容为：（1）雨水行泄通道工程：清淤护坡及改造，清淤行泄通道总长为9.41公里，其中长安河上下游3.45公里、师家河4.02公里、肖家堰1.22公里、铁路沿线明渠0.72公里；上港溪支流一新建雨水沟及污水管，支流二新建雨水管及雨水沟；建设沿河风光带10.5km。（2）城区内涝点改造工程：对城区16处内涝点进行改造，其中石咀内涝点、六中南侧内涝点两处设置一体化提升泵。</w:t>
      </w:r>
    </w:p>
    <w:p w14:paraId="1E47828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 w:val="0"/>
          <w:bCs w:val="0"/>
          <w:color w:val="auto"/>
          <w:kern w:val="2"/>
          <w:sz w:val="30"/>
          <w:szCs w:val="30"/>
          <w:highlight w:val="none"/>
          <w:lang w:val="en-US" w:eastAsia="zh-CN" w:bidi="ar-SA"/>
        </w:rPr>
        <w:sectPr>
          <w:headerReference r:id="rId3" w:type="default"/>
          <w:pgSz w:w="11906" w:h="16838"/>
          <w:pgMar w:top="1440" w:right="1800" w:bottom="1440" w:left="1800" w:header="851" w:footer="992" w:gutter="0"/>
          <w:pgNumType w:fmt="decimal" w:start="2"/>
          <w:cols w:space="425" w:num="1"/>
          <w:docGrid w:type="lines" w:linePitch="312" w:charSpace="0"/>
        </w:sectPr>
      </w:pPr>
    </w:p>
    <w:p w14:paraId="41F56CD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根据湖南铭越环境科技有限公司编制的《报告表》的基本内容、结论、专家审查意见及岳阳市临湘生态环境事务中心出具的《临湘市城区雨水调蓄及行泄通道工程项目（雨水行泄通道及城区内涝点改造）环境影响报告表》技术评估报告（临环事评估〔2025〕8号），从环境保护角度考虑，我局原则同意你局提交的《报告表》所列性质、地点、规模、工艺和环境保护对策措施。</w:t>
      </w:r>
    </w:p>
    <w:p w14:paraId="16F1B0A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val="en-US" w:eastAsia="zh-CN"/>
        </w:rPr>
        <w:t>二、项目在建设和运营中，</w:t>
      </w:r>
      <w:r>
        <w:rPr>
          <w:rFonts w:hint="eastAsia" w:ascii="仿宋" w:hAnsi="仿宋" w:eastAsia="仿宋" w:cs="仿宋"/>
          <w:color w:val="auto"/>
          <w:sz w:val="30"/>
          <w:szCs w:val="30"/>
        </w:rPr>
        <w:t>须全面落实</w:t>
      </w:r>
      <w:r>
        <w:rPr>
          <w:rFonts w:hint="eastAsia" w:ascii="仿宋" w:hAnsi="仿宋" w:eastAsia="仿宋" w:cs="仿宋"/>
          <w:color w:val="auto"/>
          <w:sz w:val="30"/>
          <w:szCs w:val="30"/>
          <w:lang w:val="en-US" w:eastAsia="zh-CN"/>
        </w:rPr>
        <w:t>环境影响报告表</w:t>
      </w:r>
      <w:r>
        <w:rPr>
          <w:rFonts w:hint="eastAsia" w:ascii="仿宋" w:hAnsi="仿宋" w:eastAsia="仿宋" w:cs="仿宋"/>
          <w:color w:val="auto"/>
          <w:sz w:val="30"/>
          <w:szCs w:val="30"/>
        </w:rPr>
        <w:t>提出的</w:t>
      </w:r>
      <w:r>
        <w:rPr>
          <w:rFonts w:hint="eastAsia" w:ascii="仿宋" w:hAnsi="仿宋" w:eastAsia="仿宋" w:cs="仿宋"/>
          <w:i w:val="0"/>
          <w:caps w:val="0"/>
          <w:color w:val="auto"/>
          <w:spacing w:val="0"/>
          <w:sz w:val="30"/>
          <w:szCs w:val="30"/>
          <w:shd w:val="clear" w:color="auto" w:fill="FFFFFF"/>
        </w:rPr>
        <w:t>各项生态环境保护和污染防治措施</w:t>
      </w:r>
      <w:r>
        <w:rPr>
          <w:rFonts w:hint="eastAsia" w:ascii="仿宋" w:hAnsi="仿宋" w:eastAsia="仿宋" w:cs="仿宋"/>
          <w:color w:val="auto"/>
          <w:sz w:val="30"/>
          <w:szCs w:val="30"/>
          <w:highlight w:val="none"/>
          <w:lang w:val="en-US" w:eastAsia="zh-CN"/>
        </w:rPr>
        <w:t>，</w:t>
      </w:r>
      <w:r>
        <w:rPr>
          <w:rFonts w:hint="eastAsia" w:ascii="仿宋" w:hAnsi="仿宋" w:eastAsia="仿宋" w:cs="仿宋"/>
          <w:color w:val="auto"/>
          <w:sz w:val="30"/>
          <w:szCs w:val="30"/>
        </w:rPr>
        <w:t>严格执行环保“三同时”制度，</w:t>
      </w:r>
      <w:r>
        <w:rPr>
          <w:rFonts w:hint="eastAsia" w:ascii="仿宋" w:hAnsi="仿宋" w:eastAsia="仿宋" w:cs="仿宋"/>
          <w:color w:val="auto"/>
          <w:sz w:val="30"/>
          <w:szCs w:val="30"/>
          <w:lang w:eastAsia="zh-CN"/>
        </w:rPr>
        <w:t>并着重做好以下几方面的工作：</w:t>
      </w:r>
    </w:p>
    <w:p w14:paraId="1F5E2EC3">
      <w:pPr>
        <w:keepNext w:val="0"/>
        <w:keepLines w:val="0"/>
        <w:pageBreakBefore w:val="0"/>
        <w:widowControl w:val="0"/>
        <w:kinsoku/>
        <w:wordWrap/>
        <w:overflowPunct/>
        <w:topLinePunct w:val="0"/>
        <w:autoSpaceDE w:val="0"/>
        <w:autoSpaceDN w:val="0"/>
        <w:bidi w:val="0"/>
        <w:adjustRightInd/>
        <w:snapToGrid/>
        <w:spacing w:before="8" w:line="600" w:lineRule="exact"/>
        <w:ind w:right="-28" w:firstLine="602"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b/>
          <w:bCs/>
          <w:color w:val="auto"/>
          <w:sz w:val="30"/>
          <w:szCs w:val="30"/>
          <w:lang w:val="en-US" w:eastAsia="zh-CN"/>
        </w:rPr>
        <w:t>1.废水污染防治。</w:t>
      </w:r>
      <w:r>
        <w:rPr>
          <w:rFonts w:hint="eastAsia" w:ascii="仿宋" w:hAnsi="仿宋" w:eastAsia="仿宋" w:cs="仿宋"/>
          <w:b w:val="0"/>
          <w:bCs w:val="0"/>
          <w:color w:val="auto"/>
          <w:sz w:val="30"/>
          <w:szCs w:val="30"/>
          <w:lang w:val="en-US" w:eastAsia="zh-CN"/>
        </w:rPr>
        <w:t>项目不设临时施工营地，施工人员生活污水依托租用民房污水处理设施或附近公用卫生设施处置；施工场地设置冲洗检修平台和集水沟，施工设备和车辆冲洗废水经沉淀池、隔油池处理后回用于车辆冲洗或抑尘洒水，严禁直接外排；淤泥滤水通过“三级沉淀+混凝沉淀+活性炭吸附”处理后回用或达标排放，外排废水应达到《污水综合排放标准》（GB 8978-1996）一级标准后排放；合理安排</w:t>
      </w:r>
      <w:r>
        <w:rPr>
          <w:rFonts w:hint="eastAsia" w:ascii="仿宋" w:hAnsi="仿宋" w:eastAsia="仿宋" w:cs="仿宋"/>
          <w:color w:val="auto"/>
          <w:sz w:val="30"/>
          <w:szCs w:val="30"/>
          <w:lang w:val="en-US" w:eastAsia="zh-CN"/>
        </w:rPr>
        <w:t>施工时间与方式，选择枯水期清淤和非雨天施工，采取围挡或关闭上游水闸的方式进行涉水施工，加强施工管理，不得在清淤施工河道内遗留生活垃圾，含油废物等。</w:t>
      </w:r>
    </w:p>
    <w:p w14:paraId="68B235F1">
      <w:pPr>
        <w:keepNext w:val="0"/>
        <w:keepLines w:val="0"/>
        <w:pageBreakBefore w:val="0"/>
        <w:widowControl w:val="0"/>
        <w:kinsoku/>
        <w:wordWrap/>
        <w:overflowPunct/>
        <w:topLinePunct w:val="0"/>
        <w:bidi w:val="0"/>
        <w:adjustRightInd/>
        <w:snapToGrid/>
        <w:spacing w:line="600" w:lineRule="exact"/>
        <w:ind w:firstLine="602"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b/>
          <w:bCs/>
          <w:color w:val="auto"/>
          <w:sz w:val="30"/>
          <w:szCs w:val="30"/>
          <w:lang w:val="en-US" w:eastAsia="zh-CN"/>
        </w:rPr>
        <w:t>2.废气污染防治。</w:t>
      </w:r>
      <w:r>
        <w:rPr>
          <w:rFonts w:hint="eastAsia" w:ascii="仿宋" w:hAnsi="仿宋" w:eastAsia="仿宋" w:cs="仿宋"/>
          <w:b w:val="0"/>
          <w:bCs w:val="0"/>
          <w:color w:val="auto"/>
          <w:sz w:val="30"/>
          <w:szCs w:val="30"/>
          <w:lang w:val="en-US" w:eastAsia="zh-CN"/>
        </w:rPr>
        <w:t>项目施工期</w:t>
      </w:r>
      <w:r>
        <w:rPr>
          <w:rFonts w:hint="eastAsia" w:ascii="仿宋" w:hAnsi="仿宋" w:eastAsia="仿宋" w:cs="仿宋"/>
          <w:color w:val="auto"/>
          <w:sz w:val="30"/>
          <w:szCs w:val="30"/>
          <w:lang w:val="en-US" w:eastAsia="zh-CN"/>
        </w:rPr>
        <w:t>应采取施工场地设置临时围挡</w:t>
      </w:r>
      <w:r>
        <w:rPr>
          <w:rFonts w:hint="eastAsia" w:ascii="仿宋" w:hAnsi="仿宋" w:eastAsia="仿宋" w:cs="仿宋"/>
          <w:b w:val="0"/>
          <w:bCs w:val="0"/>
          <w:color w:val="auto"/>
          <w:sz w:val="30"/>
          <w:szCs w:val="30"/>
          <w:lang w:val="en-US" w:eastAsia="zh-CN"/>
        </w:rPr>
        <w:t>、冲洗平台</w:t>
      </w:r>
      <w:r>
        <w:rPr>
          <w:rFonts w:hint="eastAsia" w:ascii="仿宋" w:hAnsi="仿宋" w:eastAsia="仿宋" w:cs="仿宋"/>
          <w:color w:val="auto"/>
          <w:sz w:val="30"/>
          <w:szCs w:val="30"/>
          <w:lang w:val="en-US" w:eastAsia="zh-CN"/>
        </w:rPr>
        <w:t>、物料覆盖、洒水等有效产尘、抑尘、降尘措施，严防扬尘污染和带泥上路；加强施工机械和运输车辆管理与</w:t>
      </w:r>
      <w:bookmarkStart w:id="0" w:name="_GoBack"/>
      <w:bookmarkEnd w:id="0"/>
      <w:r>
        <w:rPr>
          <w:rFonts w:hint="eastAsia" w:ascii="仿宋" w:hAnsi="仿宋" w:eastAsia="仿宋" w:cs="仿宋"/>
          <w:color w:val="auto"/>
          <w:sz w:val="30"/>
          <w:szCs w:val="30"/>
          <w:lang w:val="en-US" w:eastAsia="zh-CN"/>
        </w:rPr>
        <w:t>保养维修，不得使用劣质燃料，确保尾气达标排放；车辆运输物料应覆盖或密闭并限速按规定路线行驶，禁止超载，防止物料遗撒外漏；使用符合标准的商品混凝土；尽量选择风力较小时疏浚清淤并分段施工，清淤弃土应及时清运，减少恶臭气体影响。</w:t>
      </w:r>
    </w:p>
    <w:p w14:paraId="6B19A4C0">
      <w:pPr>
        <w:keepNext w:val="0"/>
        <w:keepLines w:val="0"/>
        <w:pageBreakBefore w:val="0"/>
        <w:widowControl w:val="0"/>
        <w:kinsoku/>
        <w:wordWrap/>
        <w:overflowPunct/>
        <w:topLinePunct w:val="0"/>
        <w:bidi w:val="0"/>
        <w:adjustRightInd/>
        <w:snapToGrid/>
        <w:spacing w:line="600" w:lineRule="exact"/>
        <w:ind w:firstLine="602" w:firstLineChars="200"/>
        <w:textAlignment w:val="auto"/>
        <w:rPr>
          <w:rFonts w:hint="eastAsia" w:ascii="仿宋" w:hAnsi="仿宋" w:eastAsia="仿宋" w:cs="仿宋"/>
          <w:bCs/>
          <w:color w:val="auto"/>
          <w:sz w:val="30"/>
          <w:szCs w:val="30"/>
          <w:highlight w:val="none"/>
          <w:lang w:val="en-US" w:eastAsia="zh-CN"/>
        </w:rPr>
      </w:pPr>
      <w:r>
        <w:rPr>
          <w:rFonts w:hint="eastAsia" w:ascii="仿宋" w:hAnsi="仿宋" w:eastAsia="仿宋" w:cs="仿宋"/>
          <w:b/>
          <w:bCs/>
          <w:color w:val="auto"/>
          <w:sz w:val="30"/>
          <w:szCs w:val="30"/>
          <w:lang w:val="en-US" w:eastAsia="zh-CN"/>
        </w:rPr>
        <w:t>3.落实固体废物防治工作。</w:t>
      </w:r>
      <w:r>
        <w:rPr>
          <w:rFonts w:hint="eastAsia" w:ascii="仿宋" w:hAnsi="仿宋" w:eastAsia="仿宋" w:cs="仿宋"/>
          <w:b w:val="0"/>
          <w:bCs w:val="0"/>
          <w:color w:val="auto"/>
          <w:sz w:val="30"/>
          <w:szCs w:val="30"/>
          <w:lang w:val="en-US" w:eastAsia="zh-CN"/>
        </w:rPr>
        <w:t>废水池沉渣和淤泥经“石灰调理+板框压滤脱水”后泥饼暂存，达到《城镇污水处理厂污泥处置 制砖用泥质》（GB/T 25031-2010）标准后，交由有资质的公司进行资源化利用；施工人员的生活垃圾设置垃圾桶收集，同管道清淤过程中清理出来的生活垃圾或杂草，经统一收集后交由环卫部门清运处理；</w:t>
      </w:r>
      <w:r>
        <w:rPr>
          <w:rFonts w:hint="eastAsia" w:ascii="仿宋" w:hAnsi="仿宋" w:eastAsia="仿宋" w:cs="仿宋"/>
          <w:b w:val="0"/>
          <w:bCs w:val="0"/>
          <w:color w:val="auto"/>
          <w:sz w:val="30"/>
          <w:szCs w:val="30"/>
          <w:highlight w:val="none"/>
        </w:rPr>
        <w:t>建筑垃</w:t>
      </w:r>
      <w:r>
        <w:rPr>
          <w:rFonts w:hint="eastAsia" w:ascii="仿宋" w:hAnsi="仿宋" w:eastAsia="仿宋" w:cs="仿宋"/>
          <w:bCs/>
          <w:color w:val="auto"/>
          <w:sz w:val="30"/>
          <w:szCs w:val="30"/>
          <w:highlight w:val="none"/>
        </w:rPr>
        <w:t>圾</w:t>
      </w:r>
      <w:r>
        <w:rPr>
          <w:rFonts w:hint="eastAsia" w:ascii="仿宋" w:hAnsi="仿宋" w:eastAsia="仿宋" w:cs="仿宋"/>
          <w:bCs/>
          <w:color w:val="auto"/>
          <w:sz w:val="30"/>
          <w:szCs w:val="30"/>
          <w:highlight w:val="none"/>
          <w:lang w:val="en-US" w:eastAsia="zh-CN"/>
        </w:rPr>
        <w:t>分类收集后回用或</w:t>
      </w:r>
      <w:r>
        <w:rPr>
          <w:rFonts w:hint="eastAsia" w:ascii="仿宋" w:hAnsi="仿宋" w:eastAsia="仿宋" w:cs="仿宋"/>
          <w:bCs/>
          <w:color w:val="auto"/>
          <w:sz w:val="30"/>
          <w:szCs w:val="30"/>
          <w:highlight w:val="none"/>
        </w:rPr>
        <w:t>送</w:t>
      </w:r>
      <w:r>
        <w:rPr>
          <w:rFonts w:hint="eastAsia" w:ascii="仿宋" w:hAnsi="仿宋" w:eastAsia="仿宋" w:cs="仿宋"/>
          <w:bCs/>
          <w:color w:val="auto"/>
          <w:sz w:val="30"/>
          <w:szCs w:val="30"/>
          <w:highlight w:val="none"/>
          <w:lang w:val="en-US" w:eastAsia="zh-CN"/>
        </w:rPr>
        <w:t>合法的</w:t>
      </w:r>
      <w:r>
        <w:rPr>
          <w:rFonts w:hint="eastAsia" w:ascii="仿宋" w:hAnsi="仿宋" w:eastAsia="仿宋" w:cs="仿宋"/>
          <w:bCs/>
          <w:color w:val="auto"/>
          <w:sz w:val="30"/>
          <w:szCs w:val="30"/>
          <w:highlight w:val="none"/>
        </w:rPr>
        <w:t>建筑垃圾消纳场处理</w:t>
      </w:r>
      <w:r>
        <w:rPr>
          <w:rFonts w:hint="eastAsia" w:ascii="仿宋" w:hAnsi="仿宋" w:eastAsia="仿宋" w:cs="仿宋"/>
          <w:bCs/>
          <w:color w:val="auto"/>
          <w:sz w:val="30"/>
          <w:szCs w:val="30"/>
          <w:highlight w:val="none"/>
          <w:lang w:eastAsia="zh-CN"/>
        </w:rPr>
        <w:t>；</w:t>
      </w:r>
      <w:r>
        <w:rPr>
          <w:rFonts w:hint="eastAsia" w:ascii="仿宋" w:hAnsi="仿宋" w:eastAsia="仿宋" w:cs="仿宋"/>
          <w:color w:val="auto"/>
          <w:sz w:val="30"/>
          <w:szCs w:val="30"/>
          <w:highlight w:val="none"/>
          <w:lang w:eastAsia="zh-CN"/>
        </w:rPr>
        <w:t>严禁各类固废</w:t>
      </w:r>
      <w:r>
        <w:rPr>
          <w:rFonts w:hint="eastAsia" w:ascii="仿宋" w:hAnsi="仿宋" w:eastAsia="仿宋" w:cs="仿宋"/>
          <w:color w:val="auto"/>
          <w:sz w:val="30"/>
          <w:szCs w:val="30"/>
          <w:highlight w:val="none"/>
          <w:lang w:val="en-US" w:eastAsia="zh-CN"/>
        </w:rPr>
        <w:t>直接</w:t>
      </w:r>
      <w:r>
        <w:rPr>
          <w:rFonts w:hint="eastAsia" w:ascii="仿宋" w:hAnsi="仿宋" w:eastAsia="仿宋" w:cs="仿宋"/>
          <w:color w:val="auto"/>
          <w:sz w:val="30"/>
          <w:szCs w:val="30"/>
          <w:highlight w:val="none"/>
          <w:lang w:eastAsia="zh-CN"/>
        </w:rPr>
        <w:t>倾倒水体。</w:t>
      </w:r>
      <w:r>
        <w:rPr>
          <w:rFonts w:hint="eastAsia" w:ascii="仿宋" w:hAnsi="仿宋" w:eastAsia="仿宋" w:cs="仿宋"/>
          <w:color w:val="auto"/>
          <w:sz w:val="30"/>
          <w:szCs w:val="30"/>
          <w:highlight w:val="none"/>
          <w:lang w:val="en-US" w:eastAsia="zh-CN"/>
        </w:rPr>
        <w:t>运营期固废主要为泵站产生的栅渣，及时清理后由环卫部门处理；设备维护保养过程中产生的废机油、抹布等危险废物交有资质的公司处理。</w:t>
      </w:r>
    </w:p>
    <w:p w14:paraId="11AAB523">
      <w:pPr>
        <w:keepNext w:val="0"/>
        <w:keepLines w:val="0"/>
        <w:pageBreakBefore w:val="0"/>
        <w:widowControl w:val="0"/>
        <w:numPr>
          <w:ilvl w:val="0"/>
          <w:numId w:val="0"/>
        </w:numPr>
        <w:kinsoku/>
        <w:wordWrap/>
        <w:overflowPunct/>
        <w:topLinePunct w:val="0"/>
        <w:bidi w:val="0"/>
        <w:adjustRightInd/>
        <w:snapToGrid/>
        <w:spacing w:line="600" w:lineRule="exact"/>
        <w:ind w:firstLine="602" w:firstLineChars="200"/>
        <w:textAlignment w:val="auto"/>
      </w:pPr>
      <w:r>
        <w:rPr>
          <w:rFonts w:hint="eastAsia" w:ascii="仿宋" w:hAnsi="仿宋" w:eastAsia="仿宋" w:cs="仿宋"/>
          <w:b/>
          <w:bCs/>
          <w:color w:val="auto"/>
          <w:sz w:val="30"/>
          <w:szCs w:val="30"/>
          <w:highlight w:val="none"/>
          <w:lang w:val="en-US" w:eastAsia="zh-CN"/>
        </w:rPr>
        <w:t>4.加强噪声污染防治工作。</w:t>
      </w:r>
      <w:r>
        <w:rPr>
          <w:rFonts w:hint="eastAsia" w:ascii="仿宋" w:hAnsi="仿宋" w:eastAsia="仿宋" w:cs="仿宋"/>
          <w:b w:val="0"/>
          <w:bCs w:val="0"/>
          <w:color w:val="auto"/>
          <w:sz w:val="30"/>
          <w:szCs w:val="30"/>
          <w:highlight w:val="none"/>
          <w:lang w:val="en-US" w:eastAsia="zh-CN"/>
        </w:rPr>
        <w:t>施工期加强车辆和机械设备的维修保养，合理安排施工时间，车辆运输应限速禁鸣，减少运输噪声影响；选择低噪声设备并合理布局，严禁集中使用高噪声设备作业，减少设备噪声影响；在敏感点合理设置移动隔声屏障、围挡等噪声防护措施，禁止夜间施工，做到文明施工，防止噪声扰民。运营期选用低噪声设备并科学布置，周边栽种吸声绿植等措施降噪。水泵等主要噪声设备均应安装于泵房内并采取减震降噪措施；泵房采用封闭式的砖砌结构，且门窗完整无破损与裂缝等，确保运行时泵房外的噪声达到《工业企业厂界环境噪声排放标准》（GB12348-2008）中2类标准。</w:t>
      </w:r>
    </w:p>
    <w:p w14:paraId="363AE71B">
      <w:pPr>
        <w:keepNext w:val="0"/>
        <w:keepLines w:val="0"/>
        <w:pageBreakBefore w:val="0"/>
        <w:widowControl w:val="0"/>
        <w:numPr>
          <w:ilvl w:val="0"/>
          <w:numId w:val="0"/>
        </w:numPr>
        <w:kinsoku/>
        <w:wordWrap/>
        <w:overflowPunct/>
        <w:topLinePunct w:val="0"/>
        <w:bidi w:val="0"/>
        <w:adjustRightInd/>
        <w:snapToGrid/>
        <w:spacing w:line="600" w:lineRule="exact"/>
        <w:ind w:firstLine="602" w:firstLineChars="200"/>
        <w:textAlignment w:val="auto"/>
        <w:rPr>
          <w:rFonts w:hint="eastAsia" w:ascii="仿宋" w:hAnsi="仿宋" w:eastAsia="仿宋" w:cs="仿宋"/>
          <w:bCs/>
          <w:color w:val="auto"/>
          <w:kern w:val="2"/>
          <w:sz w:val="30"/>
          <w:szCs w:val="30"/>
          <w:lang w:val="en-US" w:eastAsia="zh-CN" w:bidi="ar-SA"/>
        </w:rPr>
      </w:pPr>
      <w:r>
        <w:rPr>
          <w:rFonts w:hint="eastAsia" w:ascii="仿宋" w:hAnsi="仿宋" w:eastAsia="仿宋" w:cs="仿宋"/>
          <w:b/>
          <w:bCs/>
          <w:color w:val="auto"/>
          <w:sz w:val="30"/>
          <w:szCs w:val="30"/>
          <w:highlight w:val="none"/>
          <w:lang w:val="en-US" w:eastAsia="zh-CN"/>
        </w:rPr>
        <w:t>5.落实生态环境保护工作。</w:t>
      </w:r>
      <w:r>
        <w:rPr>
          <w:rFonts w:hint="eastAsia" w:ascii="仿宋" w:hAnsi="仿宋" w:eastAsia="仿宋" w:cs="仿宋"/>
          <w:color w:val="auto"/>
          <w:sz w:val="30"/>
          <w:szCs w:val="30"/>
          <w:highlight w:val="none"/>
          <w:lang w:val="en-US" w:eastAsia="zh-CN"/>
        </w:rPr>
        <w:t>加强施工组织管理，严格控制用地范围和面积，尽量缩短用地时间，优化和落实临时工程生态恢复措施；严</w:t>
      </w:r>
      <w:r>
        <w:rPr>
          <w:rFonts w:hint="eastAsia" w:ascii="仿宋" w:hAnsi="仿宋" w:eastAsia="仿宋" w:cs="仿宋"/>
          <w:color w:val="auto"/>
          <w:sz w:val="30"/>
          <w:szCs w:val="30"/>
          <w:highlight w:val="none"/>
          <w:lang w:eastAsia="zh-CN"/>
        </w:rPr>
        <w:t>禁占用生态保护红线、基本农田、自然湿地等敏感区域；</w:t>
      </w:r>
      <w:r>
        <w:rPr>
          <w:rFonts w:hint="eastAsia" w:ascii="仿宋" w:hAnsi="仿宋" w:eastAsia="仿宋" w:cs="仿宋"/>
          <w:color w:val="auto"/>
          <w:sz w:val="30"/>
          <w:szCs w:val="30"/>
          <w:highlight w:val="none"/>
          <w:lang w:val="en-US" w:eastAsia="zh-CN"/>
        </w:rPr>
        <w:t>采取有效的生态保护措施，最大限度减少对水生和陆生生物的影响；落实水土保持措施，增设水土保持表土防护、边坡绿化、临时遮盖等措施，施工结束后应及时进行场地整理，</w:t>
      </w:r>
      <w:r>
        <w:rPr>
          <w:rFonts w:hint="eastAsia" w:ascii="仿宋" w:hAnsi="仿宋" w:eastAsia="仿宋" w:cs="仿宋"/>
          <w:color w:val="auto"/>
          <w:sz w:val="30"/>
          <w:szCs w:val="30"/>
          <w:lang w:val="en-US" w:eastAsia="zh-CN"/>
        </w:rPr>
        <w:t>用于复垦或恢复植被，</w:t>
      </w:r>
      <w:r>
        <w:rPr>
          <w:rFonts w:hint="eastAsia" w:ascii="仿宋" w:hAnsi="仿宋" w:eastAsia="仿宋" w:cs="仿宋"/>
          <w:bCs/>
          <w:color w:val="auto"/>
          <w:kern w:val="2"/>
          <w:sz w:val="30"/>
          <w:szCs w:val="30"/>
          <w:lang w:val="en-US" w:eastAsia="zh-CN" w:bidi="ar-SA"/>
        </w:rPr>
        <w:t>恢复土地原有功能。</w:t>
      </w:r>
    </w:p>
    <w:p w14:paraId="2A281985">
      <w:pPr>
        <w:keepNext w:val="0"/>
        <w:keepLines w:val="0"/>
        <w:pageBreakBefore w:val="0"/>
        <w:widowControl w:val="0"/>
        <w:kinsoku/>
        <w:wordWrap/>
        <w:overflowPunct/>
        <w:topLinePunct w:val="0"/>
        <w:bidi w:val="0"/>
        <w:adjustRightInd/>
        <w:snapToGrid/>
        <w:spacing w:line="600" w:lineRule="exact"/>
        <w:ind w:firstLine="602"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b/>
          <w:bCs/>
          <w:color w:val="auto"/>
          <w:sz w:val="30"/>
          <w:szCs w:val="30"/>
          <w:lang w:val="en-US" w:eastAsia="zh-CN"/>
        </w:rPr>
        <w:t>6.加强环境管理工作。</w:t>
      </w:r>
      <w:r>
        <w:rPr>
          <w:rFonts w:hint="eastAsia" w:ascii="仿宋" w:hAnsi="仿宋" w:eastAsia="仿宋" w:cs="仿宋"/>
          <w:color w:val="auto"/>
          <w:sz w:val="30"/>
          <w:szCs w:val="30"/>
          <w:lang w:val="en-US" w:eastAsia="zh-CN"/>
        </w:rPr>
        <w:t>完善各项环境管理制度，严格落实施工期和营运期各项污染防治措施，按要求做好环境监测和环境管理工作，确保周边环境安全。</w:t>
      </w:r>
    </w:p>
    <w:p w14:paraId="6FFF478D">
      <w:pPr>
        <w:pStyle w:val="15"/>
        <w:keepNext w:val="0"/>
        <w:keepLines w:val="0"/>
        <w:pageBreakBefore w:val="0"/>
        <w:widowControl w:val="0"/>
        <w:kinsoku/>
        <w:wordWrap/>
        <w:overflowPunct/>
        <w:topLinePunct w:val="0"/>
        <w:autoSpaceDE/>
        <w:autoSpaceDN/>
        <w:bidi w:val="0"/>
        <w:adjustRightInd/>
        <w:snapToGrid/>
        <w:spacing w:line="600" w:lineRule="exact"/>
        <w:ind w:left="0" w:leftChars="0"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eastAsia="zh-CN"/>
        </w:rPr>
        <w:t>三、</w:t>
      </w:r>
      <w:r>
        <w:rPr>
          <w:rFonts w:hint="eastAsia" w:ascii="仿宋" w:hAnsi="仿宋" w:eastAsia="仿宋" w:cs="仿宋"/>
          <w:color w:val="auto"/>
          <w:sz w:val="30"/>
          <w:szCs w:val="30"/>
        </w:rPr>
        <w:t>项目建成后应按规定程序实施竣工环境保护验收。由</w:t>
      </w:r>
      <w:r>
        <w:rPr>
          <w:rFonts w:hint="eastAsia" w:ascii="仿宋" w:hAnsi="仿宋" w:eastAsia="仿宋" w:cs="仿宋"/>
          <w:color w:val="auto"/>
          <w:sz w:val="30"/>
          <w:szCs w:val="30"/>
          <w:lang w:val="en-US" w:eastAsia="zh-CN"/>
        </w:rPr>
        <w:t>岳阳市</w:t>
      </w:r>
      <w:r>
        <w:rPr>
          <w:rFonts w:hint="eastAsia" w:ascii="仿宋" w:hAnsi="仿宋" w:eastAsia="仿宋" w:cs="仿宋"/>
          <w:color w:val="auto"/>
          <w:sz w:val="30"/>
          <w:szCs w:val="30"/>
        </w:rPr>
        <w:t>临湘</w:t>
      </w:r>
      <w:r>
        <w:rPr>
          <w:rFonts w:hint="eastAsia" w:ascii="仿宋" w:hAnsi="仿宋" w:eastAsia="仿宋" w:cs="仿宋"/>
          <w:color w:val="auto"/>
          <w:sz w:val="30"/>
          <w:szCs w:val="30"/>
          <w:lang w:eastAsia="zh-CN"/>
        </w:rPr>
        <w:t>生态环境保护综合行政执法大队</w:t>
      </w:r>
      <w:r>
        <w:rPr>
          <w:rFonts w:hint="eastAsia" w:ascii="仿宋" w:hAnsi="仿宋" w:eastAsia="仿宋" w:cs="仿宋"/>
          <w:color w:val="auto"/>
          <w:sz w:val="30"/>
          <w:szCs w:val="30"/>
        </w:rPr>
        <w:t>负责该项目的日常现场监管。</w:t>
      </w:r>
    </w:p>
    <w:p w14:paraId="7A5A5EDC">
      <w:pPr>
        <w:pStyle w:val="15"/>
        <w:keepNext w:val="0"/>
        <w:keepLines w:val="0"/>
        <w:pageBreakBefore w:val="0"/>
        <w:widowControl w:val="0"/>
        <w:kinsoku/>
        <w:wordWrap/>
        <w:overflowPunct/>
        <w:topLinePunct w:val="0"/>
        <w:autoSpaceDE/>
        <w:autoSpaceDN/>
        <w:bidi w:val="0"/>
        <w:adjustRightInd/>
        <w:snapToGrid/>
        <w:spacing w:line="620" w:lineRule="exact"/>
        <w:ind w:left="0" w:leftChars="0" w:firstLine="600" w:firstLineChars="200"/>
        <w:jc w:val="right"/>
        <w:textAlignment w:val="auto"/>
        <w:rPr>
          <w:rFonts w:hint="eastAsia" w:ascii="仿宋" w:hAnsi="仿宋" w:eastAsia="仿宋" w:cs="仿宋"/>
          <w:color w:val="auto"/>
          <w:sz w:val="30"/>
          <w:szCs w:val="30"/>
          <w:lang w:val="en-US" w:eastAsia="zh-CN"/>
        </w:rPr>
      </w:pPr>
    </w:p>
    <w:p w14:paraId="55F47C0A">
      <w:pPr>
        <w:pStyle w:val="15"/>
        <w:keepNext w:val="0"/>
        <w:keepLines w:val="0"/>
        <w:pageBreakBefore w:val="0"/>
        <w:widowControl w:val="0"/>
        <w:kinsoku/>
        <w:wordWrap/>
        <w:overflowPunct/>
        <w:topLinePunct w:val="0"/>
        <w:autoSpaceDE/>
        <w:autoSpaceDN/>
        <w:bidi w:val="0"/>
        <w:adjustRightInd/>
        <w:snapToGrid/>
        <w:spacing w:line="550" w:lineRule="exact"/>
        <w:ind w:left="0" w:leftChars="0" w:firstLine="600" w:firstLineChars="200"/>
        <w:jc w:val="center"/>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 xml:space="preserve">                            岳阳市生态环境局</w:t>
      </w:r>
    </w:p>
    <w:p w14:paraId="5CB0000C">
      <w:pPr>
        <w:pStyle w:val="15"/>
        <w:keepNext w:val="0"/>
        <w:keepLines w:val="0"/>
        <w:pageBreakBefore w:val="0"/>
        <w:widowControl w:val="0"/>
        <w:kinsoku/>
        <w:wordWrap/>
        <w:overflowPunct/>
        <w:topLinePunct w:val="0"/>
        <w:autoSpaceDE/>
        <w:autoSpaceDN/>
        <w:bidi w:val="0"/>
        <w:adjustRightInd/>
        <w:snapToGrid/>
        <w:spacing w:line="550" w:lineRule="exact"/>
        <w:ind w:firstLine="5100" w:firstLineChars="1700"/>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val="en-US" w:eastAsia="zh-CN"/>
        </w:rPr>
        <w:t>2025年8月 日</w:t>
      </w:r>
    </w:p>
    <w:sectPr>
      <w:footerReference r:id="rId4" w:type="default"/>
      <w:pgSz w:w="11906" w:h="16838"/>
      <w:pgMar w:top="1440" w:right="1800" w:bottom="1440" w:left="1800"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font>
  <w:font w:name="方正仿宋_GB2312">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orbel">
    <w:panose1 w:val="020B0503020204020204"/>
    <w:charset w:val="00"/>
    <w:family w:val="swiss"/>
    <w:pitch w:val="default"/>
    <w:sig w:usb0="A00002EF" w:usb1="4000A44B" w:usb2="00000000" w:usb3="00000000" w:csb0="2000019F" w:csb1="00000000"/>
  </w:font>
  <w:font w:name="新宋体-18030">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6D188">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B7A2DA">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9B7A2DA">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B659A">
    <w:pPr>
      <w:pStyle w:val="11"/>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zNjRjY2EwOTMwZTNhZDdjNzExOTY4Yzg1MGNmYWQifQ=="/>
  </w:docVars>
  <w:rsids>
    <w:rsidRoot w:val="00000000"/>
    <w:rsid w:val="00724552"/>
    <w:rsid w:val="02590268"/>
    <w:rsid w:val="0828472E"/>
    <w:rsid w:val="087E4ECC"/>
    <w:rsid w:val="0B851E06"/>
    <w:rsid w:val="0E221092"/>
    <w:rsid w:val="0E4E4176"/>
    <w:rsid w:val="0FF0363A"/>
    <w:rsid w:val="15D867AD"/>
    <w:rsid w:val="182824B2"/>
    <w:rsid w:val="202E11BC"/>
    <w:rsid w:val="24850294"/>
    <w:rsid w:val="2A110196"/>
    <w:rsid w:val="2A9D3AC5"/>
    <w:rsid w:val="2B0F333D"/>
    <w:rsid w:val="2D257530"/>
    <w:rsid w:val="2E18206C"/>
    <w:rsid w:val="36033D6B"/>
    <w:rsid w:val="375F74E7"/>
    <w:rsid w:val="394B230B"/>
    <w:rsid w:val="3BDC22A4"/>
    <w:rsid w:val="3C941EAA"/>
    <w:rsid w:val="3E2B12C1"/>
    <w:rsid w:val="406F19FB"/>
    <w:rsid w:val="40F7192E"/>
    <w:rsid w:val="44A7469E"/>
    <w:rsid w:val="452020D4"/>
    <w:rsid w:val="458A1EF8"/>
    <w:rsid w:val="462E14CC"/>
    <w:rsid w:val="463D6FDA"/>
    <w:rsid w:val="46FC1F9B"/>
    <w:rsid w:val="498C3781"/>
    <w:rsid w:val="53135777"/>
    <w:rsid w:val="534F22A3"/>
    <w:rsid w:val="54F352DF"/>
    <w:rsid w:val="55EA559C"/>
    <w:rsid w:val="58DD6347"/>
    <w:rsid w:val="5C16794B"/>
    <w:rsid w:val="5CF62D2C"/>
    <w:rsid w:val="5D290F9F"/>
    <w:rsid w:val="5E8348E7"/>
    <w:rsid w:val="61EE5BEB"/>
    <w:rsid w:val="63421797"/>
    <w:rsid w:val="64DC7A60"/>
    <w:rsid w:val="65F2FC06"/>
    <w:rsid w:val="6B0276A8"/>
    <w:rsid w:val="77D91A60"/>
    <w:rsid w:val="787D781D"/>
    <w:rsid w:val="B7F0FA73"/>
    <w:rsid w:val="EDFB0437"/>
    <w:rsid w:val="EEF1E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beforeAutospacing="0" w:after="330" w:afterAutospacing="0" w:line="576" w:lineRule="auto"/>
      <w:outlineLvl w:val="0"/>
    </w:pPr>
    <w:rPr>
      <w:b/>
      <w:kern w:val="44"/>
      <w:sz w:val="44"/>
    </w:rPr>
  </w:style>
  <w:style w:type="paragraph" w:styleId="3">
    <w:name w:val="heading 2"/>
    <w:basedOn w:val="1"/>
    <w:next w:val="1"/>
    <w:qFormat/>
    <w:uiPriority w:val="0"/>
    <w:pPr>
      <w:keepNext/>
      <w:spacing w:before="120" w:line="360" w:lineRule="auto"/>
      <w:ind w:firstLine="1285" w:firstLineChars="200"/>
      <w:outlineLvl w:val="1"/>
    </w:pPr>
    <w:rPr>
      <w:rFonts w:ascii="宋体" w:hAnsi="宋体" w:eastAsia="宋体"/>
      <w:spacing w:val="6"/>
      <w:sz w:val="28"/>
      <w:szCs w:val="20"/>
    </w:rPr>
  </w:style>
  <w:style w:type="paragraph" w:styleId="4">
    <w:name w:val="heading 4"/>
    <w:basedOn w:val="1"/>
    <w:next w:val="5"/>
    <w:qFormat/>
    <w:uiPriority w:val="0"/>
    <w:pPr>
      <w:keepNext/>
      <w:keepLines/>
      <w:spacing w:after="120" w:line="360" w:lineRule="auto"/>
      <w:ind w:firstLine="480" w:firstLineChars="200"/>
      <w:jc w:val="left"/>
      <w:outlineLvl w:val="3"/>
    </w:pPr>
    <w:rPr>
      <w:bCs/>
      <w:sz w:val="24"/>
      <w:szCs w:val="28"/>
      <w:u w:val="single"/>
    </w:rPr>
  </w:style>
  <w:style w:type="character" w:default="1" w:styleId="18">
    <w:name w:val="Default Paragraph Font"/>
    <w:qFormat/>
    <w:uiPriority w:val="0"/>
  </w:style>
  <w:style w:type="table" w:default="1" w:styleId="16">
    <w:name w:val="Normal Table"/>
    <w:qFormat/>
    <w:uiPriority w:val="0"/>
    <w:tblPr>
      <w:tblCellMar>
        <w:top w:w="0" w:type="dxa"/>
        <w:left w:w="108" w:type="dxa"/>
        <w:bottom w:w="0" w:type="dxa"/>
        <w:right w:w="108" w:type="dxa"/>
      </w:tblCellMar>
    </w:tblPr>
  </w:style>
  <w:style w:type="paragraph" w:styleId="5">
    <w:name w:val="Normal Indent"/>
    <w:basedOn w:val="1"/>
    <w:next w:val="4"/>
    <w:qFormat/>
    <w:uiPriority w:val="0"/>
    <w:pPr>
      <w:adjustRightInd w:val="0"/>
      <w:snapToGrid w:val="0"/>
      <w:spacing w:after="0" w:line="360" w:lineRule="auto"/>
      <w:ind w:firstLine="0" w:firstLineChars="0"/>
      <w:jc w:val="left"/>
    </w:pPr>
    <w:rPr>
      <w:rFonts w:eastAsia="宋体"/>
      <w:sz w:val="24"/>
      <w:szCs w:val="20"/>
    </w:rPr>
  </w:style>
  <w:style w:type="paragraph" w:styleId="6">
    <w:name w:val="annotation text"/>
    <w:basedOn w:val="1"/>
    <w:uiPriority w:val="0"/>
    <w:pPr>
      <w:jc w:val="left"/>
    </w:pPr>
  </w:style>
  <w:style w:type="paragraph" w:styleId="7">
    <w:name w:val="Body Text"/>
    <w:basedOn w:val="1"/>
    <w:next w:val="1"/>
    <w:qFormat/>
    <w:uiPriority w:val="0"/>
    <w:pPr>
      <w:spacing w:after="120"/>
    </w:pPr>
  </w:style>
  <w:style w:type="paragraph" w:styleId="8">
    <w:name w:val="Body Text Indent"/>
    <w:basedOn w:val="1"/>
    <w:next w:val="1"/>
    <w:qFormat/>
    <w:uiPriority w:val="0"/>
    <w:pPr>
      <w:spacing w:line="360" w:lineRule="auto"/>
      <w:ind w:firstLine="570"/>
    </w:pPr>
    <w:rPr>
      <w:rFonts w:eastAsia="仿宋_GB2312"/>
      <w:sz w:val="28"/>
      <w:szCs w:val="20"/>
    </w:rPr>
  </w:style>
  <w:style w:type="paragraph" w:styleId="9">
    <w:name w:val="Body Text Indent 2"/>
    <w:basedOn w:val="1"/>
    <w:next w:val="1"/>
    <w:qFormat/>
    <w:uiPriority w:val="0"/>
    <w:pPr>
      <w:spacing w:after="120" w:line="480" w:lineRule="auto"/>
      <w:ind w:left="420" w:left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39"/>
  </w:style>
  <w:style w:type="paragraph" w:styleId="13">
    <w:name w:val="List"/>
    <w:basedOn w:val="1"/>
    <w:qFormat/>
    <w:uiPriority w:val="0"/>
    <w:pPr>
      <w:spacing w:line="360" w:lineRule="exact"/>
      <w:ind w:firstLine="38" w:firstLineChars="18"/>
      <w:jc w:val="left"/>
    </w:pPr>
    <w:rPr>
      <w:rFonts w:ascii="宋体"/>
      <w:szCs w:val="21"/>
    </w:rPr>
  </w:style>
  <w:style w:type="paragraph" w:styleId="14">
    <w:name w:val="Body Text First Indent"/>
    <w:basedOn w:val="7"/>
    <w:next w:val="1"/>
    <w:qFormat/>
    <w:uiPriority w:val="99"/>
    <w:pPr>
      <w:adjustRightInd w:val="0"/>
      <w:snapToGrid w:val="0"/>
      <w:spacing w:after="0"/>
    </w:pPr>
  </w:style>
  <w:style w:type="paragraph" w:styleId="15">
    <w:name w:val="Body Text First Indent 2"/>
    <w:basedOn w:val="8"/>
    <w:next w:val="14"/>
    <w:qFormat/>
    <w:uiPriority w:val="0"/>
    <w:pPr>
      <w:spacing w:after="120" w:line="240" w:lineRule="auto"/>
      <w:ind w:left="420" w:leftChars="200" w:firstLine="420" w:firstLineChars="200"/>
    </w:pPr>
    <w:rPr>
      <w:rFonts w:ascii="Corbel" w:hAnsi="Corbel"/>
      <w:sz w:val="21"/>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列出段落1"/>
    <w:basedOn w:val="1"/>
    <w:qFormat/>
    <w:uiPriority w:val="34"/>
    <w:pPr>
      <w:ind w:firstLine="420"/>
    </w:pPr>
  </w:style>
  <w:style w:type="paragraph" w:customStyle="1" w:styleId="20">
    <w:name w:val="xl27"/>
    <w:basedOn w:val="1"/>
    <w:next w:val="9"/>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sz w:val="24"/>
      <w:szCs w:val="24"/>
    </w:rPr>
  </w:style>
  <w:style w:type="paragraph" w:customStyle="1" w:styleId="21">
    <w:name w:val="Default"/>
    <w:basedOn w:val="7"/>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customStyle="1" w:styleId="22">
    <w:name w:val="样式 正文文本缩进 + 行距: 1.5 倍行距"/>
    <w:basedOn w:val="8"/>
    <w:qFormat/>
    <w:uiPriority w:val="0"/>
    <w:pPr>
      <w:spacing w:before="0" w:after="120"/>
      <w:ind w:left="90" w:leftChars="32" w:firstLine="560" w:firstLineChars="200"/>
    </w:pPr>
    <w:rPr>
      <w:rFonts w:ascii="Times New Roman" w:cs="宋体"/>
    </w:rPr>
  </w:style>
  <w:style w:type="paragraph" w:customStyle="1" w:styleId="23">
    <w:name w:val="文本"/>
    <w:basedOn w:val="1"/>
    <w:next w:val="1"/>
    <w:qFormat/>
    <w:uiPriority w:val="0"/>
    <w:pPr>
      <w:autoSpaceDE w:val="0"/>
      <w:autoSpaceDN w:val="0"/>
      <w:ind w:firstLine="480"/>
    </w:pPr>
    <w:rPr>
      <w:rFonts w:cs="Times New Roman"/>
      <w:szCs w:val="24"/>
      <w:lang w:val="zh-CN"/>
    </w:rPr>
  </w:style>
  <w:style w:type="character" w:customStyle="1" w:styleId="24">
    <w:name w:val="报告正文 Char Char"/>
    <w:qFormat/>
    <w:uiPriority w:val="0"/>
    <w:rPr>
      <w:rFonts w:ascii="Times New Roman" w:hAnsi="Times New Roman" w:eastAsia="宋体" w:cs="Times New Roman"/>
      <w:color w:val="000000"/>
      <w:sz w:val="24"/>
      <w:szCs w:val="24"/>
    </w:rPr>
  </w:style>
  <w:style w:type="paragraph" w:customStyle="1" w:styleId="25">
    <w:name w:val="C正文"/>
    <w:basedOn w:val="1"/>
    <w:qFormat/>
    <w:uiPriority w:val="0"/>
    <w:pPr>
      <w:wordWrap w:val="0"/>
      <w:ind w:firstLine="480"/>
    </w:pPr>
    <w:rPr>
      <w:rFonts w:ascii="Times New Roman" w:hAnsi="Times New Roman"/>
    </w:rPr>
  </w:style>
  <w:style w:type="paragraph" w:customStyle="1" w:styleId="26">
    <w:name w:val="正文 首行缩进"/>
    <w:basedOn w:val="1"/>
    <w:qFormat/>
    <w:uiPriority w:val="0"/>
    <w:pPr>
      <w:spacing w:line="360" w:lineRule="auto"/>
      <w:ind w:firstLine="200" w:firstLineChars="200"/>
    </w:pPr>
    <w:rPr>
      <w:rFonts w:cs="宋体"/>
      <w:kern w:val="0"/>
      <w:szCs w:val="20"/>
    </w:rPr>
  </w:style>
  <w:style w:type="paragraph" w:customStyle="1" w:styleId="27">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表格内容"/>
    <w:basedOn w:val="29"/>
    <w:next w:val="30"/>
    <w:qFormat/>
    <w:uiPriority w:val="0"/>
    <w:pPr>
      <w:spacing w:line="240" w:lineRule="atLeast"/>
      <w:ind w:right="-86" w:rightChars="-36"/>
      <w:jc w:val="center"/>
    </w:pPr>
    <w:rPr>
      <w:b/>
      <w:szCs w:val="21"/>
    </w:rPr>
  </w:style>
  <w:style w:type="paragraph" w:customStyle="1" w:styleId="29">
    <w:name w:val="填表内容"/>
    <w:basedOn w:val="1"/>
    <w:qFormat/>
    <w:uiPriority w:val="0"/>
    <w:pPr>
      <w:adjustRightInd w:val="0"/>
      <w:spacing w:line="240" w:lineRule="auto"/>
      <w:ind w:firstLine="0" w:firstLineChars="0"/>
      <w:jc w:val="left"/>
      <w:textAlignment w:val="baseline"/>
    </w:pPr>
    <w:rPr>
      <w:rFonts w:ascii="楷体_GB2312" w:hAnsi="楷体_GB2312" w:eastAsia="宋体"/>
      <w:sz w:val="21"/>
      <w:szCs w:val="20"/>
    </w:rPr>
  </w:style>
  <w:style w:type="paragraph" w:customStyle="1" w:styleId="30">
    <w:name w:val="表格表头"/>
    <w:basedOn w:val="1"/>
    <w:qFormat/>
    <w:uiPriority w:val="0"/>
    <w:pPr>
      <w:adjustRightInd w:val="0"/>
      <w:snapToGrid w:val="0"/>
      <w:spacing w:line="240" w:lineRule="auto"/>
      <w:ind w:firstLine="0" w:firstLineChars="0"/>
      <w:jc w:val="center"/>
    </w:pPr>
    <w:rPr>
      <w:rFonts w:hint="eastAsia"/>
      <w:b/>
      <w:kern w:val="0"/>
      <w:sz w:val="21"/>
      <w:szCs w:val="20"/>
    </w:rPr>
  </w:style>
  <w:style w:type="paragraph" w:customStyle="1" w:styleId="31">
    <w:name w:val="S报告正文"/>
    <w:basedOn w:val="1"/>
    <w:qFormat/>
    <w:uiPriority w:val="0"/>
    <w:pPr>
      <w:adjustRightInd w:val="0"/>
      <w:snapToGrid w:val="0"/>
      <w:spacing w:line="480" w:lineRule="exact"/>
      <w:ind w:firstLine="510"/>
      <w:jc w:val="left"/>
    </w:pPr>
    <w:rPr>
      <w:sz w:val="24"/>
    </w:rPr>
  </w:style>
  <w:style w:type="paragraph" w:customStyle="1" w:styleId="32">
    <w:name w:val="纯文本1"/>
    <w:basedOn w:val="1"/>
    <w:qFormat/>
    <w:uiPriority w:val="0"/>
    <w:rPr>
      <w:rFonts w:ascii="宋体" w:hAnsi="Courier New"/>
      <w:szCs w:val="20"/>
    </w:rPr>
  </w:style>
  <w:style w:type="paragraph" w:customStyle="1" w:styleId="33">
    <w:name w:val="样式 样式 首行缩进:  2 字符 + 首行缩进:  2 字符"/>
    <w:basedOn w:val="1"/>
    <w:next w:val="12"/>
    <w:qFormat/>
    <w:uiPriority w:val="0"/>
    <w:pPr>
      <w:snapToGrid w:val="0"/>
      <w:spacing w:line="360" w:lineRule="auto"/>
      <w:ind w:firstLine="560" w:firstLineChars="200"/>
    </w:pPr>
    <w:rPr>
      <w:spacing w:val="0"/>
      <w:sz w:val="28"/>
    </w:rPr>
  </w:style>
  <w:style w:type="paragraph" w:customStyle="1" w:styleId="34">
    <w:name w:val="正文-易恒"/>
    <w:basedOn w:val="1"/>
    <w:qFormat/>
    <w:uiPriority w:val="0"/>
    <w:pPr>
      <w:spacing w:line="360" w:lineRule="auto"/>
      <w:ind w:firstLine="200" w:firstLineChars="200"/>
    </w:pPr>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592</Words>
  <Characters>628</Characters>
  <Paragraphs>27</Paragraphs>
  <TotalTime>8</TotalTime>
  <ScaleCrop>false</ScaleCrop>
  <LinksUpToDate>false</LinksUpToDate>
  <CharactersWithSpaces>628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2022-01-28T08:36:00Z</dcterms:created>
  <dc:creator>lenovo</dc:creator>
  <cp:lastModifiedBy>呱呱</cp:lastModifiedBy>
  <cp:lastPrinted>2024-04-19T08:38:00Z</cp:lastPrinted>
  <dcterms:modified xsi:type="dcterms:W3CDTF">2025-08-07T02:52:54Z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FECAC578D93F49609E55EACC3121032D_13</vt:lpwstr>
  </property>
  <property fmtid="{D5CDD505-2E9C-101B-9397-08002B2CF9AE}" pid="4" name="KSOTemplateDocerSaveRecord">
    <vt:lpwstr>eyJoZGlkIjoiYzFlM2FmOGFmNDQ1ODkzMTAzZTU0MmJkMTljNzRjZDQiLCJ1c2VySWQiOiIxMTQxODUzNzMwIn0=</vt:lpwstr>
  </property>
</Properties>
</file>