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92B14">
      <w:pPr>
        <w:jc w:val="center"/>
        <w:rPr>
          <w:rFonts w:hint="default" w:ascii="Times New Roman" w:hAnsi="Times New Roman" w:eastAsia="方正仿宋_GB2312" w:cs="Times New Roman"/>
          <w:b/>
          <w:bCs/>
          <w:color w:val="auto"/>
          <w:sz w:val="36"/>
          <w:szCs w:val="36"/>
          <w:highlight w:val="none"/>
        </w:rPr>
      </w:pPr>
    </w:p>
    <w:p w14:paraId="5DB12B79">
      <w:pPr>
        <w:jc w:val="center"/>
        <w:rPr>
          <w:rFonts w:hint="default" w:ascii="Times New Roman" w:hAnsi="Times New Roman" w:eastAsia="方正仿宋_GB2312" w:cs="Times New Roman"/>
          <w:b/>
          <w:bCs/>
          <w:color w:val="auto"/>
          <w:sz w:val="36"/>
          <w:szCs w:val="36"/>
          <w:highlight w:val="none"/>
        </w:rPr>
      </w:pPr>
    </w:p>
    <w:p w14:paraId="36B29478">
      <w:pPr>
        <w:jc w:val="right"/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686299C">
      <w:pPr>
        <w:jc w:val="right"/>
        <w:rPr>
          <w:rFonts w:hint="default" w:ascii="Times New Roman" w:hAnsi="Times New Roman" w:eastAsia="方正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岳临环评</w:t>
      </w:r>
      <w:r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〔2025〕9号</w:t>
      </w:r>
    </w:p>
    <w:p w14:paraId="21202C9A">
      <w:pPr>
        <w:jc w:val="center"/>
        <w:rPr>
          <w:rFonts w:hint="default" w:ascii="Times New Roman" w:hAnsi="Times New Roman" w:eastAsia="方正仿宋_GB2312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6"/>
          <w:szCs w:val="36"/>
          <w:highlight w:val="none"/>
        </w:rPr>
        <w:t>关于华能临湘白羊田生态农场100兆瓦农光互补</w:t>
      </w:r>
    </w:p>
    <w:p w14:paraId="1CEF5B42">
      <w:pPr>
        <w:jc w:val="center"/>
        <w:rPr>
          <w:rFonts w:hint="default" w:ascii="Times New Roman" w:hAnsi="Times New Roman" w:eastAsia="方正仿宋_GB2312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6"/>
          <w:szCs w:val="36"/>
          <w:highlight w:val="none"/>
        </w:rPr>
        <w:t>光伏发电项目环境影响报告表的批复</w:t>
      </w:r>
    </w:p>
    <w:p w14:paraId="273BEBBF">
      <w:pPr>
        <w:jc w:val="center"/>
        <w:rPr>
          <w:rFonts w:hint="default" w:ascii="Times New Roman" w:hAnsi="Times New Roman" w:eastAsia="方正仿宋_GB2312" w:cs="Times New Roman"/>
          <w:b/>
          <w:bCs/>
          <w:color w:val="auto"/>
          <w:sz w:val="36"/>
          <w:szCs w:val="36"/>
          <w:highlight w:val="none"/>
        </w:rPr>
      </w:pPr>
    </w:p>
    <w:p w14:paraId="2169B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华能湖南岳阳发电有限责任公司：</w:t>
      </w:r>
    </w:p>
    <w:p w14:paraId="39515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你公司报送的《华能临湘白羊田生态农场100兆瓦农光互补光伏发电项目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环境影响报告表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》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（以下简称《报告表》）、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申请批复的报告等相关材料收悉。经研究，现批复如下：</w:t>
      </w:r>
    </w:p>
    <w:p w14:paraId="575213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一、为助推集中式光伏规模化发展，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你公司投资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45506.45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万元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其中环保投资129万元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在临湘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白羊田镇、长塘镇合盘村、古洞村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、柳家村和柳厂村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建设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复合型集中式光伏发电项目</w:t>
      </w:r>
      <w:bookmarkStart w:id="0" w:name="_GoBack"/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（发</w:t>
      </w:r>
      <w:bookmarkEnd w:id="0"/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下称本项目）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本项目为农光互补项目，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光伏方阵用地938551m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，升压站用地4624m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，本项目光伏区域现状土地利用类型为设施农用地，未占用基本农田等</w:t>
      </w:r>
      <w:r>
        <w:rPr>
          <w:rFonts w:hint="default" w:ascii="Times New Roman" w:hAnsi="Times New Roman" w:eastAsia="方正仿宋_GB2312" w:cs="Times New Roman"/>
          <w:iCs/>
          <w:color w:val="auto"/>
          <w:kern w:val="0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主要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建设内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en-US"/>
        </w:rPr>
        <w:t>容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为：光伏电池组件、组串式逆变器、箱变、升压站（土建部分）等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，本工程已安装10433块535Wp、81247块540 Wp、32504块545 Wp、96010块550Wp单晶硅太阳能电池组件，共计220194块。配备512台196kW组串式逆变器，32个3150KVA箱式变电站，所发出电量经升压至35kV后，通过集电线路接入110kV升压站，升压站通过输送线路外输至</w:t>
      </w:r>
    </w:p>
    <w:p w14:paraId="6B37CE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电网。已配套建设生活楼、附属用房、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公用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环保工程。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本次评价包括光伏场区、升压站土建工程，升压站主变、事故油池、35kV集电线路以及升压站至外部电网的输送线路已另行开展辐射环评（《岳阳市生态环境局关于白羊田光伏升压站-公田变110kV线路工程环境影响报告表的批复》），场地平整、土地手续、农业部分等由湖南久鸿家庭农场有限公司、岳阳市馨汇农业综合开发有限公司负责，不在本次评价范围内。本次环评为补办环评，项目已建成并投入运营。</w:t>
      </w:r>
    </w:p>
    <w:p w14:paraId="38F81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pacing w:val="0"/>
          <w:kern w:val="10"/>
          <w:sz w:val="32"/>
          <w:szCs w:val="32"/>
          <w:lang w:val="en-US" w:eastAsia="zh-CN" w:bidi="ar-SA"/>
        </w:rPr>
        <w:t>根据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湖南葆华环保有限公司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编制的</w:t>
      </w:r>
      <w:r>
        <w:rPr>
          <w:rFonts w:hint="default" w:ascii="Times New Roman" w:hAnsi="Times New Roman" w:eastAsia="方正仿宋_GB2312" w:cs="Times New Roman"/>
          <w:color w:val="auto"/>
          <w:spacing w:val="0"/>
          <w:kern w:val="10"/>
          <w:sz w:val="32"/>
          <w:szCs w:val="32"/>
          <w:lang w:val="en-US" w:eastAsia="zh-CN" w:bidi="ar-SA"/>
        </w:rPr>
        <w:t>《报告表》的基本内容、结论、专家评审意见及</w:t>
      </w:r>
      <w:r>
        <w:rPr>
          <w:rFonts w:hint="eastAsia" w:ascii="Times New Roman" w:hAnsi="Times New Roman" w:eastAsia="方正仿宋_GB2312" w:cs="Times New Roman"/>
          <w:color w:val="auto"/>
          <w:spacing w:val="0"/>
          <w:kern w:val="10"/>
          <w:sz w:val="32"/>
          <w:szCs w:val="32"/>
          <w:lang w:val="en-US" w:eastAsia="zh-CN" w:bidi="ar-SA"/>
        </w:rPr>
        <w:t>岳阳市</w:t>
      </w:r>
      <w:r>
        <w:rPr>
          <w:rFonts w:hint="default" w:ascii="Times New Roman" w:hAnsi="Times New Roman" w:eastAsia="方正仿宋_GB2312" w:cs="Times New Roman"/>
          <w:color w:val="auto"/>
          <w:spacing w:val="0"/>
          <w:kern w:val="10"/>
          <w:sz w:val="32"/>
          <w:szCs w:val="32"/>
          <w:lang w:val="en-US" w:eastAsia="zh-CN" w:bidi="ar-SA"/>
        </w:rPr>
        <w:t>临湘生态环境事务中心出具的《华能临湘白羊田生态农场100兆瓦农光互补光伏发电项目环境影响报告表技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  <w:t>术评估报告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-5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临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</w:rPr>
        <w:t>环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事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</w:rPr>
        <w:t>评估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〔2025〕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号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从生态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环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境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保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护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eastAsia="zh-CN"/>
        </w:rPr>
        <w:t>角度考虑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  <w:t>，我局原则同意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你公司提交的《报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  <w:t>告表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  <w:t>所列性质、地点、规模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工艺和生态环境保护对策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  <w:t>措施。</w:t>
      </w:r>
    </w:p>
    <w:p w14:paraId="16F1B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二、本项目于2021年9月正式开工建设，于2023年2月建设完毕并网发电投入使用，目前正常运营。项目在运营中，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须全面落实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  <w:t>报告表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提出的</w:t>
      </w:r>
      <w:r>
        <w:rPr>
          <w:rFonts w:hint="default" w:ascii="Times New Roman" w:hAnsi="Times New Roman" w:eastAsia="方正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各项生态保护</w:t>
      </w:r>
      <w:r>
        <w:rPr>
          <w:rFonts w:hint="default" w:ascii="Times New Roman" w:hAnsi="Times New Roman" w:eastAsia="方正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污染防治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和风险防范措施，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严格执行环保“三同时”制度，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并着重做好以下几方面的工作：</w:t>
      </w:r>
    </w:p>
    <w:p w14:paraId="0EA5C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lang w:val="en-US" w:eastAsia="zh-CN"/>
        </w:rPr>
        <w:t>1.废水污染防治。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运营期废水主要为光伏板清洁废水，升压站值班人员生活污水和食堂废水。清洗光伏板应采用清水冲洗，不得添加任何洗涤剂；清洁废水作为灌溉用水直接顺流至光伏板下种植区域；食堂废水经隔油池处理后和生活污水一起进入一体化污水处理设施，处理后的废水用作场区绿化。</w:t>
      </w:r>
    </w:p>
    <w:p w14:paraId="66BFB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en-US"/>
        </w:rPr>
        <w:t>大气污染防治。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运营期废气主要为食堂油烟，应安装合格的油烟净化器，油烟净化器要做到及时清理维护并保持正常运行，确保油烟废气经净化处理后满足《饮食业油烟排放标准（试行）》（GB18483-2001）排放限值。</w:t>
      </w:r>
    </w:p>
    <w:p w14:paraId="554154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en-US"/>
        </w:rPr>
        <w:t>噪声污染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防治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en-US"/>
        </w:rPr>
        <w:t>。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运营期</w:t>
      </w:r>
      <w:r>
        <w:rPr>
          <w:rFonts w:hint="default" w:ascii="Times New Roman" w:hAnsi="Times New Roman" w:eastAsia="方正仿宋_GB2312" w:cs="Times New Roman"/>
          <w:color w:val="auto"/>
          <w:spacing w:val="0"/>
          <w:sz w:val="32"/>
          <w:szCs w:val="32"/>
          <w:lang w:val="en-US" w:eastAsia="zh-CN"/>
        </w:rPr>
        <w:t>主要噪声源为光伏场区逆变器、箱式变压器等设备，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运营过程中应当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加强设备的维修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和保养，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确</w:t>
      </w:r>
      <w:r>
        <w:rPr>
          <w:rFonts w:hint="default" w:ascii="Times New Roman" w:hAnsi="Times New Roman" w:eastAsia="方正仿宋_GB2312" w:cs="Times New Roman"/>
          <w:color w:val="auto"/>
          <w:spacing w:val="0"/>
          <w:sz w:val="32"/>
          <w:szCs w:val="32"/>
          <w:lang w:val="en-US" w:eastAsia="zh-CN"/>
        </w:rPr>
        <w:t>保</w:t>
      </w:r>
      <w:r>
        <w:rPr>
          <w:rFonts w:hint="eastAsia" w:ascii="Times New Roman" w:hAnsi="Times New Roman" w:eastAsia="方正仿宋_GB2312" w:cs="Times New Roman"/>
          <w:color w:val="auto"/>
          <w:spacing w:val="0"/>
          <w:sz w:val="32"/>
          <w:szCs w:val="32"/>
          <w:lang w:val="en-US" w:eastAsia="zh-CN"/>
        </w:rPr>
        <w:t>厂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界环境噪声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满足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《工业企业厂界环境噪声排放标准》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GB12348-2008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表1中的2类区排放限值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。</w:t>
      </w:r>
    </w:p>
    <w:p w14:paraId="31101D5F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en-US"/>
        </w:rPr>
        <w:t>规范固体废物的暂存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en-US"/>
        </w:rPr>
        <w:t>处置。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废旧太阳能电池板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《光伏组件回收再利用通用技术要求》（GB/T 39753-2021）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收集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暂存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一般固废暂存间，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定期由厂家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回收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利用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；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生活垃圾定期交乡镇环卫部门处理；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废变压器油、废含油抹布和手套、废铅酸蓄电池等危险废物应暂存于危废暂存间，并委托有资质的单位处置。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服务期满后，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严格按照《中华人民共和国固体废物污染环境防治法》要求，规范处置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拆除的太阳能电池板、设备等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各类固废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662CED52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5.落实生态环境保护要求。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已于2023年2月完成整体建设，并对项目临时占地进行了生态恢复。运营期加强光伏电场的绿化管理，通过强化农作物种植管理措施来降低对农作物的影响；加强对职工的环境保护教育，杜绝对各种动物的滥捕、滥猎现象。运营期满后，你公司应组织专业人员对光伏区（电池组件及支架、变压器、逆变器等）进行全部拆除，拆除后的光伏组件交由厂家进行回收；拆除过程中，应加强施工人员培训，避免对板下作物造成破坏。</w:t>
      </w:r>
    </w:p>
    <w:p w14:paraId="2E7608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en-US"/>
        </w:rPr>
        <w:t>加强环境风险防范。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运营过程中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加强环境管理，配备必要的专职或兼职人员，严格落实环境保护“三同时”制度，确保设施正常稳定运行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，各类污染物稳定达标排放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；做好火灾防范措施、检修废油的泄漏风险措施和蓄电池屏泄漏风险措施；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在生产管理中，严格执行国家有关法律法规，落实各项安全措施，确保安全生产。</w:t>
      </w:r>
    </w:p>
    <w:p w14:paraId="722EE1B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项目建成后应按规定程序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竣工环境保护验收。由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岳阳市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临湘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负责该项目的日常现场监管。</w:t>
      </w:r>
    </w:p>
    <w:p w14:paraId="3269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3108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岳阳市生态环境局</w:t>
      </w:r>
    </w:p>
    <w:p w14:paraId="2C58D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1FE725-E6EF-4E5F-B036-336748C7B8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8DED460-C736-4963-A27B-1B88713C393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C5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</w:p>
  <w:p w14:paraId="699E2B0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D0843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E5E20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E5E20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7897BBDF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863F8"/>
    <w:rsid w:val="03515374"/>
    <w:rsid w:val="03DB0660"/>
    <w:rsid w:val="04673CA2"/>
    <w:rsid w:val="0708246E"/>
    <w:rsid w:val="07637645"/>
    <w:rsid w:val="0DB97A03"/>
    <w:rsid w:val="175960C2"/>
    <w:rsid w:val="1AD93A76"/>
    <w:rsid w:val="1D5430C8"/>
    <w:rsid w:val="244615D9"/>
    <w:rsid w:val="270B4978"/>
    <w:rsid w:val="28BD0286"/>
    <w:rsid w:val="29C41326"/>
    <w:rsid w:val="2DE55AB4"/>
    <w:rsid w:val="39C026EF"/>
    <w:rsid w:val="3BAC0F6E"/>
    <w:rsid w:val="3D9E1EAC"/>
    <w:rsid w:val="3DE31F88"/>
    <w:rsid w:val="3E9B6CAD"/>
    <w:rsid w:val="425E57D5"/>
    <w:rsid w:val="46492C2C"/>
    <w:rsid w:val="46C863F8"/>
    <w:rsid w:val="4E7A454C"/>
    <w:rsid w:val="4FB158CE"/>
    <w:rsid w:val="4FB400EF"/>
    <w:rsid w:val="50F67CD7"/>
    <w:rsid w:val="513055A1"/>
    <w:rsid w:val="55033CA9"/>
    <w:rsid w:val="5A1922D0"/>
    <w:rsid w:val="5E133E89"/>
    <w:rsid w:val="60943ECD"/>
    <w:rsid w:val="61A84056"/>
    <w:rsid w:val="63244B15"/>
    <w:rsid w:val="65F67457"/>
    <w:rsid w:val="66FC56F2"/>
    <w:rsid w:val="683936BF"/>
    <w:rsid w:val="77521091"/>
    <w:rsid w:val="777844DD"/>
    <w:rsid w:val="78867AA5"/>
    <w:rsid w:val="79AA06DE"/>
    <w:rsid w:val="7DBB7264"/>
    <w:rsid w:val="7E543864"/>
    <w:rsid w:val="7E55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customStyle="1" w:styleId="5">
    <w:name w:val="样式 正文文本缩进 + 行距: 1.5 倍行距"/>
    <w:basedOn w:val="1"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next w:val="1"/>
    <w:unhideWhenUsed/>
    <w:qFormat/>
    <w:uiPriority w:val="99"/>
    <w:pPr>
      <w:adjustRightInd w:val="0"/>
      <w:snapToGrid w:val="0"/>
      <w:spacing w:after="0"/>
    </w:pPr>
  </w:style>
  <w:style w:type="paragraph" w:styleId="9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paragraph" w:customStyle="1" w:styleId="12">
    <w:name w:val="第二章正文"/>
    <w:basedOn w:val="1"/>
    <w:qFormat/>
    <w:uiPriority w:val="0"/>
    <w:pPr>
      <w:adjustRightInd w:val="0"/>
      <w:snapToGrid w:val="0"/>
      <w:spacing w:line="360" w:lineRule="auto"/>
      <w:ind w:firstLine="720" w:firstLineChars="200"/>
      <w:jc w:val="both"/>
    </w:pPr>
    <w:rPr>
      <w:rFonts w:ascii="Times New Roman" w:hAnsi="Times New Roman" w:eastAsia="宋体" w:cs="宋体"/>
      <w:kern w:val="0"/>
      <w:sz w:val="24"/>
      <w:szCs w:val="21"/>
    </w:rPr>
  </w:style>
  <w:style w:type="paragraph" w:customStyle="1" w:styleId="13">
    <w:name w:val="正文-易恒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1809</Words>
  <Characters>1957</Characters>
  <Lines>0</Lines>
  <Paragraphs>0</Paragraphs>
  <TotalTime>9</TotalTime>
  <ScaleCrop>false</ScaleCrop>
  <LinksUpToDate>false</LinksUpToDate>
  <CharactersWithSpaces>1960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2025-01-15T01:31:00Z</dcterms:created>
  <dc:creator>呱呱</dc:creator>
  <cp:lastModifiedBy>呱呱</cp:lastModifiedBy>
  <cp:lastPrinted>2025-09-23T08:08:00Z</cp:lastPrinted>
  <dcterms:modified xsi:type="dcterms:W3CDTF">2025-09-24T00:45:01Z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D381CDF5E5DA4A8BA6B08A0A6CF1C4AC_13</vt:lpwstr>
  </property>
  <property fmtid="{D5CDD505-2E9C-101B-9397-08002B2CF9AE}" pid="4" name="KSOTemplateDocerSaveRecord">
    <vt:lpwstr>eyJoZGlkIjoiYzFlM2FmOGFmNDQ1ODkzMTAzZTU0MmJkMTljNzRjZDQiLCJ1c2VySWQiOiIxMTQxODUzNzMwIn0=</vt:lpwstr>
  </property>
</Properties>
</file>