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9B132">
      <w:pPr>
        <w:pStyle w:val="29"/>
        <w:pageBreakBefore w:val="0"/>
        <w:kinsoku/>
        <w:wordWrap/>
        <w:overflowPunct/>
        <w:topLinePunct w:val="0"/>
        <w:bidi w:val="0"/>
        <w:snapToGrid/>
        <w:spacing w:line="560" w:lineRule="exact"/>
        <w:jc w:val="both"/>
        <w:textAlignment w:val="top"/>
        <w:rPr>
          <w:rFonts w:hint="default" w:ascii="Times New Roman" w:hAnsi="Times New Roman" w:eastAsia="黑体" w:cs="Times New Roman"/>
          <w:b/>
          <w:color w:val="000000"/>
          <w:sz w:val="36"/>
        </w:rPr>
      </w:pPr>
      <w:r>
        <w:rPr>
          <w:rFonts w:hint="default" w:ascii="Times New Roman" w:hAnsi="Times New Roman" w:eastAsia="黑体" w:cs="Times New Roman"/>
          <w:b/>
          <w:color w:val="000000"/>
          <w:sz w:val="36"/>
          <w:lang w:val="en-US" w:eastAsia="zh-CN"/>
        </w:rPr>
        <w:t xml:space="preserve"> </w:t>
      </w:r>
    </w:p>
    <w:p w14:paraId="2D5AC4FF">
      <w:pPr>
        <w:pStyle w:val="29"/>
        <w:pageBreakBefore w:val="0"/>
        <w:kinsoku/>
        <w:wordWrap/>
        <w:overflowPunct/>
        <w:topLinePunct w:val="0"/>
        <w:bidi w:val="0"/>
        <w:snapToGrid/>
        <w:spacing w:line="560" w:lineRule="exact"/>
        <w:ind w:firstLine="5250" w:firstLineChars="1750"/>
        <w:jc w:val="both"/>
        <w:textAlignment w:val="top"/>
        <w:rPr>
          <w:rFonts w:hint="default" w:ascii="Times New Roman" w:hAnsi="Times New Roman" w:eastAsia="楷体_GB2312" w:cs="Times New Roman"/>
          <w:color w:val="000000"/>
          <w:sz w:val="30"/>
          <w:szCs w:val="30"/>
        </w:rPr>
      </w:pPr>
    </w:p>
    <w:p w14:paraId="344ADEAD">
      <w:pPr>
        <w:pStyle w:val="29"/>
        <w:pageBreakBefore w:val="0"/>
        <w:kinsoku/>
        <w:wordWrap/>
        <w:overflowPunct/>
        <w:topLinePunct w:val="0"/>
        <w:bidi w:val="0"/>
        <w:snapToGrid/>
        <w:spacing w:line="560" w:lineRule="exact"/>
        <w:ind w:firstLine="5250" w:firstLineChars="1750"/>
        <w:jc w:val="both"/>
        <w:textAlignment w:val="top"/>
        <w:rPr>
          <w:rFonts w:hint="default" w:ascii="Times New Roman" w:hAnsi="Times New Roman" w:eastAsia="楷体_GB2312" w:cs="Times New Roman"/>
          <w:color w:val="000000"/>
          <w:sz w:val="30"/>
          <w:szCs w:val="30"/>
        </w:rPr>
      </w:pPr>
    </w:p>
    <w:p w14:paraId="4686299C">
      <w:pPr>
        <w:pageBreakBefore w:val="0"/>
        <w:kinsoku/>
        <w:wordWrap/>
        <w:overflowPunct/>
        <w:topLinePunct w:val="0"/>
        <w:bidi w:val="0"/>
        <w:snapToGrid/>
        <w:spacing w:line="560" w:lineRule="exact"/>
        <w:ind w:firstLine="5880" w:firstLineChars="2100"/>
        <w:jc w:val="both"/>
        <w:rPr>
          <w:rFonts w:hint="default" w:ascii="Times New Roman" w:hAnsi="Times New Roman" w:eastAsia="宋体" w:cs="Times New Roman"/>
          <w:b w:val="0"/>
          <w:bCs w:val="0"/>
          <w:sz w:val="28"/>
          <w:szCs w:val="28"/>
          <w:highlight w:val="none"/>
        </w:rPr>
      </w:pPr>
      <w:r>
        <w:rPr>
          <w:rFonts w:hint="default" w:ascii="Times New Roman" w:hAnsi="Times New Roman" w:eastAsia="宋体" w:cs="Times New Roman"/>
          <w:b w:val="0"/>
          <w:bCs w:val="0"/>
          <w:color w:val="auto"/>
          <w:sz w:val="28"/>
          <w:szCs w:val="28"/>
          <w:highlight w:val="none"/>
          <w:lang w:val="en-US" w:eastAsia="zh-CN"/>
        </w:rPr>
        <w:t>岳临环评</w:t>
      </w:r>
      <w:r>
        <w:rPr>
          <w:rFonts w:hint="default" w:ascii="Times New Roman" w:hAnsi="Times New Roman" w:cs="Times New Roman"/>
          <w:b w:val="0"/>
          <w:bCs w:val="0"/>
          <w:color w:val="auto"/>
          <w:sz w:val="28"/>
          <w:szCs w:val="28"/>
          <w:highlight w:val="none"/>
          <w:lang w:val="en-US" w:eastAsia="zh-CN"/>
        </w:rPr>
        <w:t>〔2025〕10号</w:t>
      </w:r>
    </w:p>
    <w:p w14:paraId="3E1BA137">
      <w:pPr>
        <w:pStyle w:val="29"/>
        <w:keepNext w:val="0"/>
        <w:keepLines w:val="0"/>
        <w:pageBreakBefore w:val="0"/>
        <w:widowControl/>
        <w:kinsoku/>
        <w:wordWrap/>
        <w:overflowPunct/>
        <w:topLinePunct w:val="0"/>
        <w:autoSpaceDE/>
        <w:autoSpaceDN/>
        <w:bidi w:val="0"/>
        <w:adjustRightInd/>
        <w:snapToGrid/>
        <w:spacing w:line="560" w:lineRule="exact"/>
        <w:ind w:left="0" w:hanging="216" w:hangingChars="49"/>
        <w:jc w:val="center"/>
        <w:textAlignment w:val="top"/>
        <w:rPr>
          <w:rFonts w:hint="eastAsia" w:ascii="宋体" w:hAnsi="宋体" w:eastAsia="宋体" w:cs="宋体"/>
          <w:b/>
          <w:color w:val="000000"/>
          <w:sz w:val="44"/>
          <w:szCs w:val="44"/>
        </w:rPr>
      </w:pPr>
      <w:bookmarkStart w:id="0" w:name="_Hlk504140001"/>
      <w:r>
        <w:rPr>
          <w:rFonts w:hint="eastAsia" w:ascii="宋体" w:hAnsi="宋体" w:eastAsia="宋体" w:cs="宋体"/>
          <w:b/>
          <w:color w:val="000000"/>
          <w:sz w:val="44"/>
          <w:szCs w:val="44"/>
          <w:lang w:val="en-US" w:eastAsia="zh-CN"/>
        </w:rPr>
        <w:t>关于湖南联盈非织造材料有限公司非织造材料项目（年产150万m</w:t>
      </w:r>
      <w:r>
        <w:rPr>
          <w:rFonts w:hint="eastAsia" w:ascii="宋体" w:hAnsi="宋体" w:eastAsia="宋体" w:cs="宋体"/>
          <w:b/>
          <w:color w:val="000000"/>
          <w:sz w:val="44"/>
          <w:szCs w:val="44"/>
          <w:vertAlign w:val="superscript"/>
          <w:lang w:val="en-US" w:eastAsia="zh-CN"/>
        </w:rPr>
        <w:t>2</w:t>
      </w:r>
      <w:r>
        <w:rPr>
          <w:rFonts w:hint="eastAsia" w:ascii="宋体" w:hAnsi="宋体" w:eastAsia="宋体" w:cs="宋体"/>
          <w:b/>
          <w:color w:val="000000"/>
          <w:sz w:val="44"/>
          <w:szCs w:val="44"/>
          <w:lang w:val="en-US" w:eastAsia="zh-CN"/>
        </w:rPr>
        <w:t>）建设项目</w:t>
      </w:r>
      <w:r>
        <w:rPr>
          <w:rFonts w:hint="eastAsia" w:ascii="宋体" w:hAnsi="宋体" w:eastAsia="宋体" w:cs="宋体"/>
          <w:b/>
          <w:color w:val="000000"/>
          <w:sz w:val="44"/>
          <w:szCs w:val="44"/>
        </w:rPr>
        <w:t>环境影响报告表的批复</w:t>
      </w:r>
    </w:p>
    <w:bookmarkEnd w:id="0"/>
    <w:p w14:paraId="3C5A80CA">
      <w:pPr>
        <w:pageBreakBefore w:val="0"/>
        <w:kinsoku/>
        <w:wordWrap/>
        <w:overflowPunct/>
        <w:topLinePunct w:val="0"/>
        <w:bidi w:val="0"/>
        <w:snapToGrid/>
        <w:spacing w:line="560" w:lineRule="exact"/>
        <w:ind w:firstLine="0" w:firstLineChars="0"/>
        <w:jc w:val="both"/>
        <w:rPr>
          <w:rFonts w:hint="default" w:ascii="Times New Roman" w:hAnsi="Times New Roman" w:eastAsia="仿宋_GB2312" w:cs="Times New Roman"/>
          <w:color w:val="000000"/>
          <w:sz w:val="32"/>
        </w:rPr>
      </w:pPr>
    </w:p>
    <w:p w14:paraId="16A8F1E6">
      <w:pPr>
        <w:pStyle w:val="29"/>
        <w:pageBreakBefore w:val="0"/>
        <w:kinsoku/>
        <w:wordWrap/>
        <w:overflowPunct/>
        <w:topLinePunct w:val="0"/>
        <w:autoSpaceDE/>
        <w:autoSpaceDN/>
        <w:bidi w:val="0"/>
        <w:adjustRightInd/>
        <w:snapToGrid/>
        <w:spacing w:line="560" w:lineRule="exact"/>
        <w:jc w:val="both"/>
        <w:textAlignment w:val="top"/>
        <w:rPr>
          <w:rFonts w:hint="default" w:ascii="Times New Roman" w:hAnsi="Times New Roman" w:eastAsia="仿宋" w:cs="Times New Roman"/>
          <w:b w:val="0"/>
          <w:bCs w:val="0"/>
          <w:spacing w:val="0"/>
          <w:kern w:val="2"/>
          <w:sz w:val="32"/>
          <w:szCs w:val="32"/>
          <w:lang w:val="en-US" w:eastAsia="zh-CN" w:bidi="ar-SA"/>
        </w:rPr>
      </w:pPr>
      <w:r>
        <w:rPr>
          <w:rFonts w:hint="default" w:ascii="Times New Roman" w:hAnsi="Times New Roman" w:eastAsia="仿宋" w:cs="Times New Roman"/>
          <w:sz w:val="32"/>
          <w:szCs w:val="32"/>
        </w:rPr>
        <w:t>湖</w:t>
      </w:r>
      <w:r>
        <w:rPr>
          <w:rFonts w:hint="default" w:ascii="Times New Roman" w:hAnsi="Times New Roman" w:eastAsia="仿宋" w:cs="Times New Roman"/>
          <w:b w:val="0"/>
          <w:bCs w:val="0"/>
          <w:spacing w:val="0"/>
          <w:kern w:val="2"/>
          <w:sz w:val="32"/>
          <w:szCs w:val="32"/>
          <w:lang w:val="en-US" w:eastAsia="zh-CN" w:bidi="ar-SA"/>
        </w:rPr>
        <w:t>南联盈非织造材料有限公司：</w:t>
      </w:r>
    </w:p>
    <w:p w14:paraId="549EC37E">
      <w:pPr>
        <w:pStyle w:val="3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spacing w:val="0"/>
          <w:kern w:val="2"/>
          <w:sz w:val="32"/>
          <w:szCs w:val="32"/>
          <w:lang w:val="en-US" w:eastAsia="zh-CN" w:bidi="ar-SA"/>
        </w:rPr>
      </w:pPr>
      <w:r>
        <w:rPr>
          <w:rFonts w:hint="default" w:ascii="Times New Roman" w:hAnsi="Times New Roman" w:eastAsia="仿宋" w:cs="Times New Roman"/>
          <w:b w:val="0"/>
          <w:bCs w:val="0"/>
          <w:spacing w:val="0"/>
          <w:kern w:val="2"/>
          <w:sz w:val="32"/>
          <w:szCs w:val="32"/>
          <w:lang w:val="en-US" w:eastAsia="zh-CN" w:bidi="ar-SA"/>
        </w:rPr>
        <w:t>你公司报送的《湖南联盈非织造材料有限公司非织造材料项目（年产150万m</w:t>
      </w:r>
      <w:r>
        <w:rPr>
          <w:rFonts w:hint="default" w:ascii="Times New Roman" w:hAnsi="Times New Roman" w:eastAsia="仿宋" w:cs="Times New Roman"/>
          <w:b w:val="0"/>
          <w:bCs w:val="0"/>
          <w:spacing w:val="0"/>
          <w:kern w:val="2"/>
          <w:sz w:val="32"/>
          <w:szCs w:val="32"/>
          <w:vertAlign w:val="superscript"/>
          <w:lang w:val="en-US" w:eastAsia="zh-CN" w:bidi="ar-SA"/>
        </w:rPr>
        <w:t>2</w:t>
      </w:r>
      <w:r>
        <w:rPr>
          <w:rFonts w:hint="default" w:ascii="Times New Roman" w:hAnsi="Times New Roman" w:eastAsia="仿宋" w:cs="Times New Roman"/>
          <w:b w:val="0"/>
          <w:bCs w:val="0"/>
          <w:spacing w:val="0"/>
          <w:kern w:val="2"/>
          <w:sz w:val="32"/>
          <w:szCs w:val="32"/>
          <w:lang w:val="en-US" w:eastAsia="zh-CN" w:bidi="ar-SA"/>
        </w:rPr>
        <w:t>）建设项目环境影响报告表》（报批稿）（以下简称《报告表》）、申请批复的报告等相关材料收悉。经研究，现批复如下</w:t>
      </w:r>
      <w:r>
        <w:rPr>
          <w:rFonts w:hint="eastAsia" w:ascii="Times New Roman" w:hAnsi="Times New Roman" w:eastAsia="仿宋" w:cs="Times New Roman"/>
          <w:b w:val="0"/>
          <w:bCs w:val="0"/>
          <w:spacing w:val="0"/>
          <w:kern w:val="2"/>
          <w:sz w:val="32"/>
          <w:szCs w:val="32"/>
          <w:lang w:val="en-US" w:eastAsia="zh-CN" w:bidi="ar-SA"/>
        </w:rPr>
        <w:t>：</w:t>
      </w:r>
    </w:p>
    <w:p w14:paraId="41D632A6">
      <w:pPr>
        <w:pStyle w:val="5"/>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仿宋" w:cs="Times New Roman"/>
          <w:b w:val="0"/>
          <w:bCs w:val="0"/>
          <w:spacing w:val="0"/>
          <w:kern w:val="2"/>
          <w:sz w:val="32"/>
          <w:szCs w:val="32"/>
          <w:lang w:val="en-US" w:eastAsia="zh-CN" w:bidi="ar-SA"/>
        </w:rPr>
      </w:pPr>
      <w:r>
        <w:rPr>
          <w:rFonts w:hint="default" w:ascii="Times New Roman" w:hAnsi="Times New Roman" w:eastAsia="仿宋" w:cs="Times New Roman"/>
          <w:b w:val="0"/>
          <w:bCs w:val="0"/>
          <w:spacing w:val="0"/>
          <w:kern w:val="2"/>
          <w:sz w:val="32"/>
          <w:szCs w:val="32"/>
          <w:lang w:val="en-US" w:eastAsia="zh-CN" w:bidi="ar-SA"/>
        </w:rPr>
        <w:t>为适应市场需求，</w:t>
      </w:r>
      <w:r>
        <w:rPr>
          <w:rFonts w:hint="eastAsia" w:ascii="Times New Roman" w:hAnsi="Times New Roman" w:eastAsia="仿宋" w:cs="Times New Roman"/>
          <w:b w:val="0"/>
          <w:bCs w:val="0"/>
          <w:spacing w:val="0"/>
          <w:kern w:val="2"/>
          <w:sz w:val="32"/>
          <w:szCs w:val="32"/>
          <w:lang w:val="en-US" w:eastAsia="zh-CN" w:bidi="ar-SA"/>
        </w:rPr>
        <w:t>提高</w:t>
      </w:r>
      <w:r>
        <w:rPr>
          <w:rFonts w:hint="default" w:ascii="Times New Roman" w:hAnsi="Times New Roman" w:eastAsia="仿宋" w:cs="Times New Roman"/>
          <w:b w:val="0"/>
          <w:bCs w:val="0"/>
          <w:spacing w:val="0"/>
          <w:kern w:val="2"/>
          <w:sz w:val="32"/>
          <w:szCs w:val="32"/>
          <w:lang w:val="en-US" w:eastAsia="zh-CN" w:bidi="ar-SA"/>
        </w:rPr>
        <w:t>市场竞争力，你公司拟投资1000万元（其中环保投资约52万元），租赁湖南省岳阳市临湘高新技术产业开发区滨江片区标准化厂房3#栋北侧建设非织造材料项目（年产150万m</w:t>
      </w:r>
      <w:r>
        <w:rPr>
          <w:rFonts w:hint="default" w:ascii="Times New Roman" w:hAnsi="Times New Roman" w:eastAsia="仿宋" w:cs="Times New Roman"/>
          <w:b w:val="0"/>
          <w:bCs w:val="0"/>
          <w:spacing w:val="0"/>
          <w:kern w:val="2"/>
          <w:sz w:val="32"/>
          <w:szCs w:val="32"/>
          <w:vertAlign w:val="superscript"/>
          <w:lang w:val="en-US" w:eastAsia="zh-CN" w:bidi="ar-SA"/>
        </w:rPr>
        <w:t>2</w:t>
      </w:r>
      <w:r>
        <w:rPr>
          <w:rFonts w:hint="default" w:ascii="Times New Roman" w:hAnsi="Times New Roman" w:eastAsia="仿宋" w:cs="Times New Roman"/>
          <w:b w:val="0"/>
          <w:bCs w:val="0"/>
          <w:spacing w:val="0"/>
          <w:kern w:val="2"/>
          <w:sz w:val="32"/>
          <w:szCs w:val="32"/>
          <w:lang w:val="en-US" w:eastAsia="zh-CN" w:bidi="ar-SA"/>
        </w:rPr>
        <w:t>）。项目占地面积3500m</w:t>
      </w:r>
      <w:r>
        <w:rPr>
          <w:rFonts w:hint="default" w:ascii="Times New Roman" w:hAnsi="Times New Roman" w:eastAsia="仿宋" w:cs="Times New Roman"/>
          <w:b w:val="0"/>
          <w:bCs w:val="0"/>
          <w:spacing w:val="0"/>
          <w:kern w:val="2"/>
          <w:sz w:val="32"/>
          <w:szCs w:val="32"/>
          <w:vertAlign w:val="superscript"/>
          <w:lang w:val="en-US" w:eastAsia="zh-CN" w:bidi="ar-SA"/>
        </w:rPr>
        <w:t>2</w:t>
      </w:r>
      <w:r>
        <w:rPr>
          <w:rFonts w:hint="default" w:ascii="Times New Roman" w:hAnsi="Times New Roman" w:eastAsia="仿宋" w:cs="Times New Roman"/>
          <w:b w:val="0"/>
          <w:bCs w:val="0"/>
          <w:spacing w:val="0"/>
          <w:kern w:val="2"/>
          <w:sz w:val="32"/>
          <w:szCs w:val="32"/>
          <w:lang w:val="en-US" w:eastAsia="zh-CN" w:bidi="ar-SA"/>
        </w:rPr>
        <w:t>，主要生产工艺为开松、混棉、梳理、成网、铺网、针刺、调胶/胶砂、浸胶/喷胶/喷砂、烘干、收卷。主要建设内容为：共设2条基布线、1条喷砂线，主要生产设备为铺棉机、棉箱机、梳棉机、铺网机、成网机、预针刺机、针刺机、喷胶机、烘箱、浸胶机、喷砂机、收卷机、印字机等；辅助建设冷库、配胶间等，并配套建设公用工程、环保工程等。</w:t>
      </w:r>
    </w:p>
    <w:p w14:paraId="5CD2DD8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bCs w:val="0"/>
          <w:spacing w:val="0"/>
          <w:kern w:val="2"/>
          <w:sz w:val="32"/>
          <w:szCs w:val="32"/>
          <w:lang w:val="en-US" w:eastAsia="zh-CN" w:bidi="ar-SA"/>
        </w:rPr>
        <w:sectPr>
          <w:headerReference r:id="rId5" w:type="default"/>
          <w:footerReference r:id="rId6" w:type="default"/>
          <w:pgSz w:w="11906" w:h="16838"/>
          <w:pgMar w:top="1440" w:right="1588" w:bottom="1440" w:left="1588" w:header="851" w:footer="850" w:gutter="0"/>
          <w:pgNumType w:fmt="decimal" w:start="2"/>
          <w:cols w:space="720" w:num="1"/>
          <w:docGrid w:type="lines" w:linePitch="273" w:charSpace="0"/>
        </w:sectPr>
      </w:pPr>
      <w:r>
        <w:rPr>
          <w:rFonts w:hint="default" w:ascii="Times New Roman" w:hAnsi="Times New Roman" w:eastAsia="仿宋" w:cs="Times New Roman"/>
          <w:b w:val="0"/>
          <w:bCs w:val="0"/>
          <w:spacing w:val="0"/>
          <w:kern w:val="2"/>
          <w:sz w:val="32"/>
          <w:szCs w:val="32"/>
          <w:lang w:val="en-US" w:eastAsia="zh-CN" w:bidi="ar-SA"/>
        </w:rPr>
        <w:t>根据长沙格润环保科技发展有限公司编制的《报告表》的基本内容、结论、专家审查意见及岳阳市临湘生态环境事务</w:t>
      </w:r>
    </w:p>
    <w:p w14:paraId="38F816B4">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b w:val="0"/>
          <w:bCs w:val="0"/>
          <w:spacing w:val="0"/>
          <w:kern w:val="2"/>
          <w:sz w:val="32"/>
          <w:szCs w:val="32"/>
          <w:lang w:val="en-US" w:eastAsia="zh-CN" w:bidi="ar-SA"/>
        </w:rPr>
      </w:pPr>
      <w:r>
        <w:rPr>
          <w:rFonts w:hint="default" w:ascii="Times New Roman" w:hAnsi="Times New Roman" w:eastAsia="仿宋" w:cs="Times New Roman"/>
          <w:b w:val="0"/>
          <w:bCs w:val="0"/>
          <w:spacing w:val="0"/>
          <w:kern w:val="2"/>
          <w:sz w:val="32"/>
          <w:szCs w:val="32"/>
          <w:lang w:val="en-US" w:eastAsia="zh-CN" w:bidi="ar-SA"/>
        </w:rPr>
        <w:t>中心出具的《关于〈湖南联盈非织造材料有限公司非织造材料项目（年产150万m</w:t>
      </w:r>
      <w:r>
        <w:rPr>
          <w:rFonts w:hint="default" w:ascii="Times New Roman" w:hAnsi="Times New Roman" w:eastAsia="仿宋" w:cs="Times New Roman"/>
          <w:b w:val="0"/>
          <w:bCs w:val="0"/>
          <w:spacing w:val="0"/>
          <w:kern w:val="2"/>
          <w:sz w:val="32"/>
          <w:szCs w:val="32"/>
          <w:vertAlign w:val="superscript"/>
          <w:lang w:val="en-US" w:eastAsia="zh-CN" w:bidi="ar-SA"/>
        </w:rPr>
        <w:t>2</w:t>
      </w:r>
      <w:r>
        <w:rPr>
          <w:rFonts w:hint="default" w:ascii="Times New Roman" w:hAnsi="Times New Roman" w:eastAsia="仿宋" w:cs="Times New Roman"/>
          <w:b w:val="0"/>
          <w:bCs w:val="0"/>
          <w:spacing w:val="0"/>
          <w:kern w:val="2"/>
          <w:sz w:val="32"/>
          <w:szCs w:val="32"/>
          <w:lang w:val="en-US" w:eastAsia="zh-CN" w:bidi="ar-SA"/>
        </w:rPr>
        <w:t>）建设项目环境影响报告表〉技术评估意见的报告》（临环事评估〔2025〕10号），从环境保护角度考虑，我局原则同意你公司提交的《报告表》所列性质、地点、规模、工艺和环境保护对策措施。</w:t>
      </w:r>
    </w:p>
    <w:p w14:paraId="16F1B0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000000" w:themeColor="text1"/>
          <w:sz w:val="32"/>
          <w:szCs w:val="32"/>
          <w:highlight w:val="none"/>
          <w:u w:val="none" w:color="auto"/>
          <w:lang w:val="en-US" w:eastAsia="zh-CN"/>
          <w14:textFill>
            <w14:solidFill>
              <w14:schemeClr w14:val="tx1"/>
            </w14:solidFill>
          </w14:textFill>
        </w:rPr>
      </w:pPr>
      <w:r>
        <w:rPr>
          <w:rFonts w:hint="default" w:ascii="Times New Roman" w:hAnsi="Times New Roman" w:eastAsia="仿宋" w:cs="Times New Roman"/>
          <w:b w:val="0"/>
          <w:bCs w:val="0"/>
          <w:spacing w:val="0"/>
          <w:kern w:val="2"/>
          <w:sz w:val="32"/>
          <w:szCs w:val="32"/>
          <w:lang w:val="en-US" w:eastAsia="zh-CN" w:bidi="ar-SA"/>
        </w:rPr>
        <w:t>二、项目在建设和运营中，须全面落实《报告表》提出的各项污染防治、风险防范措施，严格执行环保“三同时”制度，确保外排污染物稳定达标排放，环境风险可控，并着重做好</w:t>
      </w:r>
      <w:r>
        <w:rPr>
          <w:rFonts w:hint="default" w:ascii="Times New Roman" w:hAnsi="Times New Roman" w:eastAsia="仿宋" w:cs="Times New Roman"/>
          <w:b w:val="0"/>
          <w:bCs w:val="0"/>
          <w:color w:val="000000" w:themeColor="text1"/>
          <w:sz w:val="32"/>
          <w:szCs w:val="32"/>
          <w:highlight w:val="none"/>
          <w:u w:val="none" w:color="auto"/>
          <w:lang w:val="en-US" w:eastAsia="zh-CN"/>
          <w14:textFill>
            <w14:solidFill>
              <w14:schemeClr w14:val="tx1"/>
            </w14:solidFill>
          </w14:textFill>
        </w:rPr>
        <w:t>以下几方面的工作：</w:t>
      </w:r>
    </w:p>
    <w:p w14:paraId="20121B73">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 w:cs="Times New Roman"/>
          <w:b w:val="0"/>
          <w:bCs w:val="0"/>
          <w:spacing w:val="0"/>
          <w:kern w:val="2"/>
          <w:sz w:val="32"/>
          <w:szCs w:val="32"/>
          <w:lang w:val="en-US" w:eastAsia="zh-CN" w:bidi="ar-SA"/>
        </w:rPr>
      </w:pPr>
      <w:r>
        <w:rPr>
          <w:rFonts w:hint="default" w:ascii="Times New Roman" w:hAnsi="Times New Roman" w:eastAsia="楷体" w:cs="Times New Roman"/>
          <w:b/>
          <w:bCs/>
          <w:kern w:val="2"/>
          <w:sz w:val="32"/>
          <w:szCs w:val="32"/>
          <w:lang w:val="en-US" w:eastAsia="zh-CN"/>
        </w:rPr>
        <w:t>1.废气</w:t>
      </w:r>
      <w:r>
        <w:rPr>
          <w:rFonts w:hint="default" w:ascii="Times New Roman" w:hAnsi="Times New Roman" w:eastAsia="楷体" w:cs="Times New Roman"/>
          <w:b/>
          <w:bCs/>
          <w:kern w:val="2"/>
          <w:sz w:val="32"/>
          <w:szCs w:val="32"/>
        </w:rPr>
        <w:t>污染防治。</w:t>
      </w:r>
      <w:r>
        <w:rPr>
          <w:rFonts w:hint="default" w:ascii="Times New Roman" w:hAnsi="Times New Roman" w:eastAsia="仿宋" w:cs="Times New Roman"/>
          <w:b w:val="0"/>
          <w:bCs w:val="0"/>
          <w:spacing w:val="0"/>
          <w:kern w:val="2"/>
          <w:sz w:val="32"/>
          <w:szCs w:val="32"/>
          <w:lang w:val="en-US" w:eastAsia="zh-CN" w:bidi="ar-SA"/>
        </w:rPr>
        <w:t>施工期废气主要污染物为有机废气，通过选用环保低VOCs含量的装修材料、减少现场切割和打磨等施工工序、加强通风换气、加强施工管理、设置防护措施等</w:t>
      </w:r>
      <w:r>
        <w:rPr>
          <w:rFonts w:hint="eastAsia" w:ascii="Times New Roman" w:hAnsi="Times New Roman" w:eastAsia="仿宋" w:cs="Times New Roman"/>
          <w:b w:val="0"/>
          <w:bCs w:val="0"/>
          <w:spacing w:val="0"/>
          <w:kern w:val="2"/>
          <w:sz w:val="32"/>
          <w:szCs w:val="32"/>
          <w:lang w:val="en-US" w:eastAsia="zh-CN" w:bidi="ar-SA"/>
        </w:rPr>
        <w:t>，减少</w:t>
      </w:r>
      <w:r>
        <w:rPr>
          <w:rFonts w:hint="default" w:ascii="Times New Roman" w:hAnsi="Times New Roman" w:eastAsia="仿宋" w:cs="Times New Roman"/>
          <w:b w:val="0"/>
          <w:bCs w:val="0"/>
          <w:spacing w:val="0"/>
          <w:kern w:val="2"/>
          <w:sz w:val="32"/>
          <w:szCs w:val="32"/>
          <w:lang w:val="en-US" w:eastAsia="zh-CN" w:bidi="ar-SA"/>
        </w:rPr>
        <w:t>装修废气对周边环境的影响。营运期有组织排放废气主要有：颗粒物、非甲烷总烃、挥发性有机物、臭气浓度等。其中：调胶/调胶砂废气、调墨废气设有密闭配胶间收集，喷胶/喷胶砂废气、浸胶废气、烘干废气设置包围型集气罩收集，开松、梳理等废气设置集气罩收集，经收集后进入“过滤棉+二级活性炭吸附装置”处理后统一经离地22m排气筒（DA001）排放；经处理后的颗粒物执行《涂料、油墨及胶黏剂工业大气污染物排放标准》（GB37824-2019）和《大气污染物综合排放标准》（GB16297-1996）从严的标准限值；非甲烷总烃、挥发性有机物执行《印刷业挥发性有机物排放标准》（DB43/1357-2017）中从严的标准限值；臭气浓度满足《恶臭污染物排放标准》（GB14554-93）排放标准；食堂油烟经环保认证的油烟净化器处理后经专用烟道引至楼顶排放，油烟满足《饮食业油烟排放标准</w:t>
      </w:r>
      <w:r>
        <w:rPr>
          <w:rFonts w:hint="eastAsia" w:ascii="Times New Roman" w:hAnsi="Times New Roman" w:eastAsia="仿宋" w:cs="Times New Roman"/>
          <w:b w:val="0"/>
          <w:bCs w:val="0"/>
          <w:spacing w:val="0"/>
          <w:kern w:val="2"/>
          <w:sz w:val="32"/>
          <w:szCs w:val="32"/>
          <w:lang w:val="en-US" w:eastAsia="zh-CN" w:bidi="ar-SA"/>
        </w:rPr>
        <w:t>（</w:t>
      </w:r>
      <w:r>
        <w:rPr>
          <w:rFonts w:hint="default" w:ascii="Times New Roman" w:hAnsi="Times New Roman" w:eastAsia="仿宋" w:cs="Times New Roman"/>
          <w:b w:val="0"/>
          <w:bCs w:val="0"/>
          <w:spacing w:val="0"/>
          <w:kern w:val="2"/>
          <w:sz w:val="32"/>
          <w:szCs w:val="32"/>
          <w:lang w:val="en-US" w:eastAsia="zh-CN" w:bidi="ar-SA"/>
        </w:rPr>
        <w:t>试行</w:t>
      </w:r>
      <w:r>
        <w:rPr>
          <w:rFonts w:hint="eastAsia" w:ascii="Times New Roman" w:hAnsi="Times New Roman" w:eastAsia="仿宋" w:cs="Times New Roman"/>
          <w:b w:val="0"/>
          <w:bCs w:val="0"/>
          <w:spacing w:val="0"/>
          <w:kern w:val="2"/>
          <w:sz w:val="32"/>
          <w:szCs w:val="32"/>
          <w:lang w:val="en-US" w:eastAsia="zh-CN" w:bidi="ar-SA"/>
        </w:rPr>
        <w:t>）</w:t>
      </w:r>
      <w:r>
        <w:rPr>
          <w:rFonts w:hint="default" w:ascii="Times New Roman" w:hAnsi="Times New Roman" w:eastAsia="仿宋" w:cs="Times New Roman"/>
          <w:b w:val="0"/>
          <w:bCs w:val="0"/>
          <w:spacing w:val="0"/>
          <w:kern w:val="2"/>
          <w:sz w:val="32"/>
          <w:szCs w:val="32"/>
          <w:lang w:val="en-US" w:eastAsia="zh-CN" w:bidi="ar-SA"/>
        </w:rPr>
        <w:t>》（GB18483-2001）排放标准。</w:t>
      </w:r>
    </w:p>
    <w:p w14:paraId="71979F1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b w:val="0"/>
          <w:bCs w:val="0"/>
          <w:spacing w:val="0"/>
          <w:kern w:val="2"/>
          <w:sz w:val="32"/>
          <w:szCs w:val="32"/>
          <w:lang w:val="en-US" w:eastAsia="zh-CN" w:bidi="ar-SA"/>
        </w:rPr>
      </w:pPr>
      <w:r>
        <w:rPr>
          <w:rFonts w:hint="default" w:ascii="Times New Roman" w:hAnsi="Times New Roman" w:eastAsia="仿宋" w:cs="Times New Roman"/>
          <w:b w:val="0"/>
          <w:bCs w:val="0"/>
          <w:spacing w:val="0"/>
          <w:kern w:val="2"/>
          <w:sz w:val="32"/>
          <w:szCs w:val="32"/>
          <w:lang w:val="en-US" w:eastAsia="zh-CN" w:bidi="ar-SA"/>
        </w:rPr>
        <w:t>无组织排放（厂界）应加强车间通风。非甲烷总烃执行《大气污染物综合排放标准》（GB16297-1996）表2排放标准；挥发性有机物执行《印刷业挥发性有机物排放标准》（DB43/1357-2017）表2排放标准；颗粒物执行《涂料、油墨及胶黏剂工业大气污染物排放标准》（GB37824-2019）表2和《大气污染物综合排放标准》（GB16297-1996）表2中从严执行的标准限值；臭气浓度执行《恶臭污染物排放标准》（GB14554-93）排放标准。无组织排放（厂房外）非甲烷总烃执行《挥发性有机物无组织排放控制标准》（GB37822-2019）；挥发性有机物执行《印刷业挥发性有机物排放标准》（DB43/1357-2017）。</w:t>
      </w:r>
    </w:p>
    <w:p w14:paraId="597BF599">
      <w:pPr>
        <w:pStyle w:val="5"/>
        <w:pageBreakBefore w:val="0"/>
        <w:kinsoku/>
        <w:wordWrap/>
        <w:overflowPunct/>
        <w:topLinePunct w:val="0"/>
        <w:autoSpaceDE/>
        <w:autoSpaceDN/>
        <w:bidi w:val="0"/>
        <w:adjustRightInd/>
        <w:snapToGrid/>
        <w:spacing w:before="0" w:after="0" w:line="560" w:lineRule="exact"/>
        <w:ind w:left="0" w:leftChars="0" w:firstLine="640" w:firstLineChars="200"/>
        <w:jc w:val="both"/>
        <w:rPr>
          <w:rFonts w:hint="default" w:ascii="Times New Roman" w:hAnsi="Times New Roman" w:eastAsia="仿宋" w:cs="Times New Roman"/>
          <w:b w:val="0"/>
          <w:bCs w:val="0"/>
          <w:spacing w:val="0"/>
          <w:kern w:val="2"/>
          <w:sz w:val="32"/>
          <w:szCs w:val="32"/>
          <w:lang w:val="en-US" w:eastAsia="zh-CN" w:bidi="ar-SA"/>
        </w:rPr>
      </w:pPr>
      <w:r>
        <w:rPr>
          <w:rFonts w:hint="default" w:ascii="Times New Roman" w:hAnsi="Times New Roman" w:eastAsia="仿宋" w:cs="Times New Roman"/>
          <w:b w:val="0"/>
          <w:bCs w:val="0"/>
          <w:spacing w:val="0"/>
          <w:kern w:val="2"/>
          <w:sz w:val="32"/>
          <w:szCs w:val="32"/>
          <w:lang w:val="en-US" w:eastAsia="zh-CN" w:bidi="ar-SA"/>
        </w:rPr>
        <w:t>营运期要加强集气罩、抽风管道、密闭配胶间、废气处理等设备设施的维护管理，生产废气做到应收尽收集中处理，减少无组织排放；同时，及时更换过滤棉和活性炭，确保各项污染防治设施稳定正常运行。</w:t>
      </w:r>
    </w:p>
    <w:p w14:paraId="747CB3D0">
      <w:pPr>
        <w:pStyle w:val="5"/>
        <w:pageBreakBefore w:val="0"/>
        <w:kinsoku/>
        <w:wordWrap/>
        <w:overflowPunct/>
        <w:topLinePunct w:val="0"/>
        <w:autoSpaceDE/>
        <w:autoSpaceDN/>
        <w:bidi w:val="0"/>
        <w:adjustRightInd/>
        <w:snapToGrid/>
        <w:spacing w:before="0" w:after="0" w:line="560" w:lineRule="exact"/>
        <w:ind w:left="0" w:leftChars="0" w:firstLine="643" w:firstLineChars="200"/>
        <w:jc w:val="both"/>
        <w:rPr>
          <w:rFonts w:hint="default" w:ascii="Times New Roman" w:hAnsi="Times New Roman" w:eastAsia="仿宋" w:cs="Times New Roman"/>
          <w:b w:val="0"/>
          <w:bCs w:val="0"/>
          <w:spacing w:val="0"/>
          <w:kern w:val="2"/>
          <w:sz w:val="32"/>
          <w:szCs w:val="32"/>
          <w:lang w:val="en-US" w:eastAsia="zh-CN" w:bidi="ar-SA"/>
        </w:rPr>
      </w:pPr>
      <w:r>
        <w:rPr>
          <w:rFonts w:hint="eastAsia" w:ascii="Times New Roman" w:hAnsi="Times New Roman" w:eastAsia="仿宋" w:cs="Times New Roman"/>
          <w:b/>
          <w:bCs/>
          <w:spacing w:val="0"/>
          <w:kern w:val="2"/>
          <w:sz w:val="32"/>
          <w:szCs w:val="32"/>
          <w:lang w:val="en-US" w:eastAsia="zh-CN" w:bidi="ar-SA"/>
        </w:rPr>
        <w:t>2.</w:t>
      </w:r>
      <w:r>
        <w:rPr>
          <w:rFonts w:hint="default" w:ascii="Times New Roman" w:hAnsi="Times New Roman" w:eastAsia="仿宋" w:cs="Times New Roman"/>
          <w:b/>
          <w:bCs/>
          <w:spacing w:val="0"/>
          <w:kern w:val="2"/>
          <w:sz w:val="32"/>
          <w:szCs w:val="32"/>
          <w:lang w:val="en-US" w:eastAsia="zh-CN" w:bidi="ar-SA"/>
        </w:rPr>
        <w:t>废水污染防治。</w:t>
      </w:r>
      <w:r>
        <w:rPr>
          <w:rFonts w:hint="default" w:ascii="Times New Roman" w:hAnsi="Times New Roman" w:eastAsia="仿宋" w:cs="Times New Roman"/>
          <w:b w:val="0"/>
          <w:bCs w:val="0"/>
          <w:spacing w:val="0"/>
          <w:kern w:val="2"/>
          <w:sz w:val="32"/>
          <w:szCs w:val="32"/>
          <w:lang w:val="en-US" w:eastAsia="zh-CN" w:bidi="ar-SA"/>
        </w:rPr>
        <w:t>项目实行“雨污分流、污污分流”。项目清洗用水使用储存桶收集后回用于调胶工序，不外排；蒸汽冷凝水一部分回用于调胶/胶砂用水，一部分经园区污水管网排入园区污水处理厂处理；建设和营运期生活污水依托园区化粪池预处后经园区污水管网排入园区污水处理厂处理；执行《污水综合排放标准》（GB8978-1996）表4中三级标准。</w:t>
      </w:r>
    </w:p>
    <w:p w14:paraId="536E1D5B">
      <w:pPr>
        <w:pStyle w:val="5"/>
        <w:pageBreakBefore w:val="0"/>
        <w:kinsoku/>
        <w:wordWrap/>
        <w:overflowPunct/>
        <w:topLinePunct w:val="0"/>
        <w:autoSpaceDE/>
        <w:autoSpaceDN/>
        <w:bidi w:val="0"/>
        <w:adjustRightInd/>
        <w:snapToGrid/>
        <w:spacing w:before="0" w:after="0" w:line="560" w:lineRule="exact"/>
        <w:ind w:left="0" w:leftChars="0" w:firstLine="643" w:firstLineChars="200"/>
        <w:jc w:val="both"/>
        <w:rPr>
          <w:rFonts w:hint="default" w:ascii="Times New Roman" w:hAnsi="Times New Roman" w:eastAsia="仿宋" w:cs="Times New Roman"/>
          <w:b w:val="0"/>
          <w:bCs w:val="0"/>
          <w:spacing w:val="0"/>
          <w:kern w:val="2"/>
          <w:sz w:val="32"/>
          <w:szCs w:val="32"/>
          <w:lang w:val="zh-CN" w:eastAsia="zh-CN" w:bidi="ar-SA"/>
        </w:rPr>
      </w:pPr>
      <w:r>
        <w:rPr>
          <w:rFonts w:hint="default" w:ascii="Times New Roman" w:hAnsi="Times New Roman" w:eastAsia="仿宋" w:cs="Times New Roman"/>
          <w:b/>
          <w:bCs/>
          <w:spacing w:val="0"/>
          <w:kern w:val="2"/>
          <w:sz w:val="32"/>
          <w:szCs w:val="32"/>
          <w:lang w:val="en-US" w:eastAsia="zh-CN" w:bidi="ar-SA"/>
        </w:rPr>
        <w:t>3.噪声污染防治</w:t>
      </w:r>
      <w:r>
        <w:rPr>
          <w:rFonts w:hint="default" w:ascii="Times New Roman" w:hAnsi="Times New Roman" w:eastAsia="仿宋" w:cs="Times New Roman"/>
          <w:b/>
          <w:bCs/>
          <w:spacing w:val="0"/>
          <w:kern w:val="2"/>
          <w:sz w:val="32"/>
          <w:szCs w:val="32"/>
          <w:lang w:val="zh-CN" w:eastAsia="zh-CN" w:bidi="ar-SA"/>
        </w:rPr>
        <w:t>。</w:t>
      </w:r>
      <w:r>
        <w:rPr>
          <w:rFonts w:hint="default" w:ascii="Times New Roman" w:hAnsi="Times New Roman" w:eastAsia="仿宋" w:cs="Times New Roman"/>
          <w:b w:val="0"/>
          <w:bCs w:val="0"/>
          <w:spacing w:val="0"/>
          <w:kern w:val="2"/>
          <w:sz w:val="32"/>
          <w:szCs w:val="32"/>
          <w:lang w:val="zh-CN" w:eastAsia="zh-CN" w:bidi="ar-SA"/>
        </w:rPr>
        <w:t>合理安排施工时间，严禁夜间施工；合理安排施工顺序，将高噪音作业集中进行，缩短持续时间；选用低噪声设备，设置独立的气泵房，安装隔音罩、吸声材料、消声器和基础减振垫</w:t>
      </w:r>
      <w:r>
        <w:rPr>
          <w:rFonts w:hint="default" w:ascii="Times New Roman" w:hAnsi="Times New Roman" w:eastAsia="仿宋" w:cs="Times New Roman"/>
          <w:b w:val="0"/>
          <w:bCs w:val="0"/>
          <w:spacing w:val="0"/>
          <w:kern w:val="2"/>
          <w:sz w:val="32"/>
          <w:szCs w:val="32"/>
          <w:lang w:val="en-US" w:eastAsia="zh-CN" w:bidi="ar-SA"/>
        </w:rPr>
        <w:t>等</w:t>
      </w:r>
      <w:r>
        <w:rPr>
          <w:rFonts w:hint="default" w:ascii="Times New Roman" w:hAnsi="Times New Roman" w:eastAsia="仿宋" w:cs="Times New Roman"/>
          <w:b w:val="0"/>
          <w:bCs w:val="0"/>
          <w:spacing w:val="0"/>
          <w:kern w:val="2"/>
          <w:sz w:val="32"/>
          <w:szCs w:val="32"/>
          <w:lang w:val="zh-CN" w:eastAsia="zh-CN" w:bidi="ar-SA"/>
        </w:rPr>
        <w:t>治理措施；做好设备保养，保持设备运行良好；确保</w:t>
      </w:r>
      <w:r>
        <w:rPr>
          <w:rFonts w:hint="default" w:ascii="Times New Roman" w:hAnsi="Times New Roman" w:eastAsia="仿宋" w:cs="Times New Roman"/>
          <w:b w:val="0"/>
          <w:bCs w:val="0"/>
          <w:spacing w:val="0"/>
          <w:kern w:val="2"/>
          <w:sz w:val="32"/>
          <w:szCs w:val="32"/>
          <w:lang w:val="en-US" w:eastAsia="zh-CN" w:bidi="ar-SA"/>
        </w:rPr>
        <w:t>厂界</w:t>
      </w:r>
      <w:r>
        <w:rPr>
          <w:rFonts w:hint="default" w:ascii="Times New Roman" w:hAnsi="Times New Roman" w:eastAsia="仿宋" w:cs="Times New Roman"/>
          <w:b w:val="0"/>
          <w:bCs w:val="0"/>
          <w:spacing w:val="0"/>
          <w:kern w:val="2"/>
          <w:sz w:val="32"/>
          <w:szCs w:val="32"/>
          <w:lang w:val="zh-CN" w:eastAsia="zh-CN" w:bidi="ar-SA"/>
        </w:rPr>
        <w:t>噪声</w:t>
      </w:r>
      <w:r>
        <w:rPr>
          <w:rFonts w:hint="default" w:ascii="Times New Roman" w:hAnsi="Times New Roman" w:eastAsia="仿宋" w:cs="Times New Roman"/>
          <w:b w:val="0"/>
          <w:bCs w:val="0"/>
          <w:spacing w:val="0"/>
          <w:kern w:val="2"/>
          <w:sz w:val="32"/>
          <w:szCs w:val="32"/>
          <w:lang w:val="en-US" w:eastAsia="zh-CN" w:bidi="ar-SA"/>
        </w:rPr>
        <w:t>满足</w:t>
      </w:r>
      <w:r>
        <w:rPr>
          <w:rFonts w:hint="default" w:ascii="Times New Roman" w:hAnsi="Times New Roman" w:eastAsia="仿宋" w:cs="Times New Roman"/>
          <w:b w:val="0"/>
          <w:bCs w:val="0"/>
          <w:spacing w:val="0"/>
          <w:kern w:val="2"/>
          <w:sz w:val="32"/>
          <w:szCs w:val="32"/>
          <w:lang w:val="zh-CN" w:eastAsia="zh-CN" w:bidi="ar-SA"/>
        </w:rPr>
        <w:t>《工业企业厂界环境噪声排放标准》（GB12348-2008）中3类标准要求。</w:t>
      </w:r>
    </w:p>
    <w:p w14:paraId="49D90B32">
      <w:pPr>
        <w:pStyle w:val="12"/>
        <w:pageBreakBefore w:val="0"/>
        <w:widowControl w:val="0"/>
        <w:kinsoku/>
        <w:wordWrap/>
        <w:overflowPunct/>
        <w:topLinePunct w:val="0"/>
        <w:autoSpaceDE w:val="0"/>
        <w:autoSpaceDN/>
        <w:bidi w:val="0"/>
        <w:spacing w:before="0" w:beforeAutospacing="0" w:after="0" w:afterAutospacing="0" w:line="240" w:lineRule="auto"/>
        <w:ind w:firstLine="643" w:firstLineChars="200"/>
        <w:jc w:val="both"/>
        <w:rPr>
          <w:rFonts w:hint="default" w:ascii="Times New Roman" w:hAnsi="Times New Roman" w:eastAsia="仿宋" w:cs="Times New Roman"/>
          <w:b w:val="0"/>
          <w:bCs w:val="0"/>
          <w:spacing w:val="0"/>
          <w:kern w:val="2"/>
          <w:sz w:val="32"/>
          <w:szCs w:val="32"/>
          <w:lang w:val="en-US" w:eastAsia="zh-CN" w:bidi="ar-SA"/>
        </w:rPr>
      </w:pPr>
      <w:r>
        <w:rPr>
          <w:rFonts w:hint="eastAsia" w:ascii="Times New Roman" w:hAnsi="Times New Roman" w:eastAsia="仿宋" w:cs="Times New Roman"/>
          <w:b/>
          <w:bCs/>
          <w:spacing w:val="0"/>
          <w:kern w:val="2"/>
          <w:sz w:val="32"/>
          <w:szCs w:val="32"/>
          <w:lang w:val="en-US" w:eastAsia="zh-CN" w:bidi="ar-SA"/>
        </w:rPr>
        <w:t>4.</w:t>
      </w:r>
      <w:r>
        <w:rPr>
          <w:rFonts w:hint="default" w:ascii="Times New Roman" w:hAnsi="Times New Roman" w:eastAsia="仿宋" w:cs="Times New Roman"/>
          <w:b/>
          <w:bCs/>
          <w:spacing w:val="0"/>
          <w:kern w:val="2"/>
          <w:sz w:val="32"/>
          <w:szCs w:val="32"/>
          <w:lang w:val="en-US" w:eastAsia="zh-CN" w:bidi="ar-SA"/>
        </w:rPr>
        <w:t>固体废物防治。</w:t>
      </w:r>
      <w:r>
        <w:rPr>
          <w:rFonts w:hint="default" w:ascii="Times New Roman" w:hAnsi="Times New Roman" w:eastAsia="仿宋" w:cs="Times New Roman"/>
          <w:b w:val="0"/>
          <w:bCs w:val="0"/>
          <w:spacing w:val="0"/>
          <w:kern w:val="2"/>
          <w:sz w:val="32"/>
          <w:szCs w:val="32"/>
          <w:lang w:val="en-US" w:eastAsia="zh-CN" w:bidi="ar-SA"/>
        </w:rPr>
        <w:t>严格按《一般工业固体废物贮存和填埋污染控制标准》（GB18599-2020）、《危险废物贮存污染控制标准》（GB18597-2023）相关要求进行，规范建设固体废物暂存间，建立健全固体废物管理台账。危险废物的收集、贮存、运输全过程严格按照《危险废物收集贮存运输技术规范》（HJ2025-2012）的有关规定执行。施工期装修垃圾收集后按照建筑垃圾管理要求统一送相关部门处置，禁止乱堆乱弃；生活垃圾定点堆放，经建设单位统一收集后委托环卫部门清运处理。营运期废包装材料收集后定期外售综合利用；废油桶、废过滤棉、废活性炭、含油废抹布和手套、废润滑油、含胶废抹布和手套、废胶桶、废油墨桶，分类收集后密封暂存于危废间，定期交有资质单位处理；生活垃圾收集后由环卫部门处理。</w:t>
      </w:r>
    </w:p>
    <w:p w14:paraId="29D345C7">
      <w:pPr>
        <w:pStyle w:val="12"/>
        <w:pageBreakBefore w:val="0"/>
        <w:widowControl w:val="0"/>
        <w:kinsoku/>
        <w:wordWrap/>
        <w:overflowPunct/>
        <w:topLinePunct w:val="0"/>
        <w:autoSpaceDE w:val="0"/>
        <w:autoSpaceDN/>
        <w:bidi w:val="0"/>
        <w:spacing w:before="0" w:beforeAutospacing="0" w:after="0" w:afterAutospacing="0" w:line="240" w:lineRule="auto"/>
        <w:ind w:firstLine="643" w:firstLineChars="200"/>
        <w:jc w:val="both"/>
        <w:rPr>
          <w:rFonts w:hint="default" w:ascii="Times New Roman" w:hAnsi="Times New Roman" w:eastAsia="仿宋" w:cs="Times New Roman"/>
          <w:b w:val="0"/>
          <w:bCs w:val="0"/>
          <w:spacing w:val="0"/>
          <w:kern w:val="2"/>
          <w:sz w:val="32"/>
          <w:szCs w:val="32"/>
          <w:lang w:val="en-US" w:eastAsia="zh-CN" w:bidi="ar-SA"/>
        </w:rPr>
      </w:pPr>
      <w:r>
        <w:rPr>
          <w:rFonts w:hint="eastAsia" w:ascii="Times New Roman" w:hAnsi="Times New Roman" w:eastAsia="仿宋" w:cs="Times New Roman"/>
          <w:b/>
          <w:bCs/>
          <w:spacing w:val="0"/>
          <w:kern w:val="2"/>
          <w:sz w:val="32"/>
          <w:szCs w:val="32"/>
          <w:lang w:val="en-US" w:eastAsia="zh-CN" w:bidi="ar-SA"/>
        </w:rPr>
        <w:t>5.</w:t>
      </w:r>
      <w:r>
        <w:rPr>
          <w:rFonts w:hint="default" w:ascii="Times New Roman" w:hAnsi="Times New Roman" w:eastAsia="仿宋" w:cs="Times New Roman"/>
          <w:b/>
          <w:bCs/>
          <w:spacing w:val="0"/>
          <w:kern w:val="2"/>
          <w:sz w:val="32"/>
          <w:szCs w:val="32"/>
          <w:lang w:val="en-US" w:eastAsia="zh-CN" w:bidi="ar-SA"/>
        </w:rPr>
        <w:t>土壤和地下水防治</w:t>
      </w:r>
      <w:r>
        <w:rPr>
          <w:rFonts w:hint="default" w:ascii="Times New Roman" w:hAnsi="Times New Roman" w:eastAsia="仿宋" w:cs="Times New Roman"/>
          <w:b w:val="0"/>
          <w:bCs w:val="0"/>
          <w:spacing w:val="0"/>
          <w:kern w:val="2"/>
          <w:sz w:val="32"/>
          <w:szCs w:val="32"/>
          <w:lang w:val="en-US" w:eastAsia="zh-CN" w:bidi="ar-SA"/>
        </w:rPr>
        <w:t>。按照“源头控制，分区防控”的原则落实土壤和地下水污染防治措施。对场区进行分区防渗，简单防渗区、一般防渗区和重点防渗区均应按相关技术规范要求落实防渗措施，特别是在危废间、配胶间、机修间等周边要进行严格的防渗处理，确保防渗性能达到要求，防范污染源对地下水、土壤环境的垂直下渗和地面漫流污染影响，避免污染地下水和土壤环境，杜绝“跑、冒、滴、漏”等事故的发生。</w:t>
      </w:r>
    </w:p>
    <w:p w14:paraId="4B317BFD">
      <w:pPr>
        <w:pStyle w:val="12"/>
        <w:pageBreakBefore w:val="0"/>
        <w:widowControl w:val="0"/>
        <w:kinsoku/>
        <w:wordWrap/>
        <w:overflowPunct/>
        <w:topLinePunct w:val="0"/>
        <w:autoSpaceDE w:val="0"/>
        <w:autoSpaceDN/>
        <w:bidi w:val="0"/>
        <w:spacing w:before="0" w:beforeAutospacing="0" w:after="0" w:afterAutospacing="0" w:line="240" w:lineRule="auto"/>
        <w:ind w:firstLine="643" w:firstLineChars="200"/>
        <w:jc w:val="both"/>
        <w:rPr>
          <w:rFonts w:hint="default" w:ascii="Times New Roman" w:hAnsi="Times New Roman" w:eastAsia="仿宋" w:cs="Times New Roman"/>
          <w:b w:val="0"/>
          <w:bCs w:val="0"/>
          <w:spacing w:val="0"/>
          <w:kern w:val="2"/>
          <w:sz w:val="32"/>
          <w:szCs w:val="32"/>
          <w:lang w:val="en-US" w:eastAsia="zh-CN" w:bidi="ar-SA"/>
        </w:rPr>
      </w:pPr>
      <w:r>
        <w:rPr>
          <w:rFonts w:hint="eastAsia" w:ascii="Times New Roman" w:hAnsi="Times New Roman" w:eastAsia="仿宋" w:cs="Times New Roman"/>
          <w:b/>
          <w:bCs/>
          <w:spacing w:val="0"/>
          <w:kern w:val="2"/>
          <w:sz w:val="32"/>
          <w:szCs w:val="32"/>
          <w:lang w:val="en-US" w:eastAsia="zh-CN" w:bidi="ar-SA"/>
        </w:rPr>
        <w:t>6.</w:t>
      </w:r>
      <w:r>
        <w:rPr>
          <w:rFonts w:hint="default" w:ascii="Times New Roman" w:hAnsi="Times New Roman" w:eastAsia="仿宋" w:cs="Times New Roman"/>
          <w:b/>
          <w:bCs/>
          <w:spacing w:val="0"/>
          <w:kern w:val="2"/>
          <w:sz w:val="32"/>
          <w:szCs w:val="32"/>
          <w:lang w:val="en-US" w:eastAsia="zh-CN" w:bidi="ar-SA"/>
        </w:rPr>
        <w:t>加强环境管理与环境风险防范。</w:t>
      </w:r>
      <w:r>
        <w:rPr>
          <w:rFonts w:hint="default" w:ascii="Times New Roman" w:hAnsi="Times New Roman" w:eastAsia="仿宋" w:cs="Times New Roman"/>
          <w:b w:val="0"/>
          <w:bCs w:val="0"/>
          <w:spacing w:val="0"/>
          <w:kern w:val="2"/>
          <w:sz w:val="32"/>
          <w:szCs w:val="32"/>
          <w:lang w:val="en-US" w:eastAsia="zh-CN" w:bidi="ar-SA"/>
        </w:rPr>
        <w:t>加强企业内部管理，制订突发环境风险应急预案并定期进行演练，严格落实环境风险防控和应急措施，定期巡检和维护各种设备设施；加强职工的安全教育和培训，增强安全防范意识，配备齐全的消防器材并严格防火管理，要有完善的安全消防措施。</w:t>
      </w:r>
    </w:p>
    <w:p w14:paraId="4153EEBD">
      <w:pPr>
        <w:pageBreakBefore w:val="0"/>
        <w:numPr>
          <w:ilvl w:val="0"/>
          <w:numId w:val="0"/>
        </w:numPr>
        <w:kinsoku/>
        <w:wordWrap/>
        <w:overflowPunct/>
        <w:topLinePunct w:val="0"/>
        <w:bidi w:val="0"/>
        <w:snapToGrid/>
        <w:spacing w:line="560" w:lineRule="exact"/>
        <w:ind w:firstLine="643" w:firstLineChars="200"/>
        <w:jc w:val="both"/>
        <w:rPr>
          <w:rFonts w:hint="default" w:ascii="Times New Roman" w:hAnsi="Times New Roman" w:eastAsia="仿宋" w:cs="Times New Roman"/>
          <w:b w:val="0"/>
          <w:bCs w:val="0"/>
          <w:spacing w:val="0"/>
          <w:kern w:val="2"/>
          <w:sz w:val="32"/>
          <w:szCs w:val="32"/>
          <w:lang w:val="en-US" w:eastAsia="zh-CN" w:bidi="ar-SA"/>
        </w:rPr>
      </w:pPr>
      <w:r>
        <w:rPr>
          <w:rFonts w:hint="eastAsia" w:ascii="Times New Roman" w:hAnsi="Times New Roman" w:eastAsia="仿宋" w:cs="Times New Roman"/>
          <w:b/>
          <w:bCs/>
          <w:spacing w:val="0"/>
          <w:kern w:val="2"/>
          <w:sz w:val="32"/>
          <w:szCs w:val="32"/>
          <w:lang w:val="en-US" w:eastAsia="zh-CN" w:bidi="ar-SA"/>
        </w:rPr>
        <w:t>7.</w:t>
      </w:r>
      <w:r>
        <w:rPr>
          <w:rFonts w:hint="default" w:ascii="Times New Roman" w:hAnsi="Times New Roman" w:eastAsia="仿宋" w:cs="Times New Roman"/>
          <w:b/>
          <w:bCs/>
          <w:spacing w:val="0"/>
          <w:kern w:val="2"/>
          <w:sz w:val="32"/>
          <w:szCs w:val="32"/>
          <w:lang w:val="en-US" w:eastAsia="zh-CN" w:bidi="ar-SA"/>
        </w:rPr>
        <w:t>总量控制。</w:t>
      </w:r>
      <w:r>
        <w:rPr>
          <w:rFonts w:hint="default" w:ascii="Times New Roman" w:hAnsi="Times New Roman" w:eastAsia="仿宋" w:cs="Times New Roman"/>
          <w:b w:val="0"/>
          <w:bCs w:val="0"/>
          <w:spacing w:val="0"/>
          <w:kern w:val="2"/>
          <w:sz w:val="32"/>
          <w:szCs w:val="32"/>
          <w:lang w:val="en-US" w:eastAsia="zh-CN" w:bidi="ar-SA"/>
        </w:rPr>
        <w:t>本项目主要污染物总量控制指标为：COD</w:t>
      </w:r>
      <w:r>
        <w:rPr>
          <w:rFonts w:hint="eastAsia" w:eastAsia="仿宋" w:cs="Times New Roman"/>
          <w:b w:val="0"/>
          <w:bCs w:val="0"/>
          <w:spacing w:val="0"/>
          <w:kern w:val="2"/>
          <w:sz w:val="32"/>
          <w:szCs w:val="32"/>
          <w:lang w:val="en-US" w:eastAsia="zh-CN" w:bidi="ar-SA"/>
        </w:rPr>
        <w:t>≤</w:t>
      </w:r>
      <w:r>
        <w:rPr>
          <w:rFonts w:hint="default" w:ascii="Times New Roman" w:hAnsi="Times New Roman" w:eastAsia="仿宋" w:cs="Times New Roman"/>
          <w:b w:val="0"/>
          <w:bCs w:val="0"/>
          <w:spacing w:val="0"/>
          <w:kern w:val="2"/>
          <w:sz w:val="32"/>
          <w:szCs w:val="32"/>
          <w:lang w:val="en-US" w:eastAsia="zh-CN" w:bidi="ar-SA"/>
        </w:rPr>
        <w:t>0.025t/a、氨氮</w:t>
      </w:r>
      <w:r>
        <w:rPr>
          <w:rFonts w:hint="eastAsia" w:eastAsia="仿宋" w:cs="Times New Roman"/>
          <w:b w:val="0"/>
          <w:bCs w:val="0"/>
          <w:spacing w:val="0"/>
          <w:kern w:val="2"/>
          <w:sz w:val="32"/>
          <w:szCs w:val="32"/>
          <w:lang w:val="en-US" w:eastAsia="zh-CN" w:bidi="ar-SA"/>
        </w:rPr>
        <w:t>≤</w:t>
      </w:r>
      <w:r>
        <w:rPr>
          <w:rFonts w:hint="default" w:ascii="Times New Roman" w:hAnsi="Times New Roman" w:eastAsia="仿宋" w:cs="Times New Roman"/>
          <w:b w:val="0"/>
          <w:bCs w:val="0"/>
          <w:spacing w:val="0"/>
          <w:kern w:val="2"/>
          <w:sz w:val="32"/>
          <w:szCs w:val="32"/>
          <w:lang w:val="en-US" w:eastAsia="zh-CN" w:bidi="ar-SA"/>
        </w:rPr>
        <w:t>0.005t/a、VOCs</w:t>
      </w:r>
      <w:r>
        <w:rPr>
          <w:rFonts w:hint="eastAsia" w:eastAsia="仿宋" w:cs="Times New Roman"/>
          <w:b w:val="0"/>
          <w:bCs w:val="0"/>
          <w:spacing w:val="0"/>
          <w:kern w:val="2"/>
          <w:sz w:val="32"/>
          <w:szCs w:val="32"/>
          <w:lang w:val="en-US" w:eastAsia="zh-CN" w:bidi="ar-SA"/>
        </w:rPr>
        <w:t>≤</w:t>
      </w:r>
      <w:r>
        <w:rPr>
          <w:rFonts w:hint="default" w:ascii="Times New Roman" w:hAnsi="Times New Roman" w:eastAsia="仿宋" w:cs="Times New Roman"/>
          <w:b w:val="0"/>
          <w:bCs w:val="0"/>
          <w:spacing w:val="0"/>
          <w:kern w:val="2"/>
          <w:sz w:val="32"/>
          <w:szCs w:val="32"/>
          <w:lang w:val="en-US" w:eastAsia="zh-CN" w:bidi="ar-SA"/>
        </w:rPr>
        <w:t>2.539t/a。氨氮、COD总量控制指标通过排污权交易获取，VOCs实行总量控制。</w:t>
      </w:r>
    </w:p>
    <w:p w14:paraId="7C59B4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b w:val="0"/>
          <w:bCs w:val="0"/>
          <w:spacing w:val="0"/>
          <w:kern w:val="2"/>
          <w:sz w:val="32"/>
          <w:szCs w:val="32"/>
          <w:lang w:val="zh-CN" w:eastAsia="zh-CN" w:bidi="ar-SA"/>
        </w:rPr>
      </w:pPr>
      <w:r>
        <w:rPr>
          <w:rFonts w:hint="default" w:ascii="Times New Roman" w:hAnsi="Times New Roman" w:eastAsia="仿宋" w:cs="Times New Roman"/>
          <w:b w:val="0"/>
          <w:bCs w:val="0"/>
          <w:spacing w:val="0"/>
          <w:kern w:val="2"/>
          <w:sz w:val="32"/>
          <w:szCs w:val="32"/>
          <w:lang w:val="en-US" w:eastAsia="zh-CN" w:bidi="ar-SA"/>
        </w:rPr>
        <w:t>三、严格按规程操作，确保各种污染治理设施的正常运行。项目建成后应按规定程序实施竣工环境保护验收。由岳阳市临湘生态环境保护综合行政执法大队负责该项目的日常现场监管</w:t>
      </w:r>
      <w:r>
        <w:rPr>
          <w:rFonts w:hint="default" w:ascii="Times New Roman" w:hAnsi="Times New Roman" w:eastAsia="仿宋" w:cs="Times New Roman"/>
          <w:b w:val="0"/>
          <w:bCs w:val="0"/>
          <w:spacing w:val="0"/>
          <w:kern w:val="2"/>
          <w:sz w:val="32"/>
          <w:szCs w:val="32"/>
          <w:lang w:val="zh-CN" w:eastAsia="zh-CN" w:bidi="ar-SA"/>
        </w:rPr>
        <w:t>。</w:t>
      </w:r>
    </w:p>
    <w:p w14:paraId="37E6E7B2">
      <w:pPr>
        <w:pStyle w:val="29"/>
        <w:pageBreakBefore w:val="0"/>
        <w:kinsoku/>
        <w:wordWrap/>
        <w:overflowPunct/>
        <w:topLinePunct w:val="0"/>
        <w:bidi w:val="0"/>
        <w:snapToGrid/>
        <w:spacing w:line="560" w:lineRule="exact"/>
        <w:ind w:firstLine="4640" w:firstLineChars="1450"/>
        <w:jc w:val="both"/>
        <w:textAlignment w:val="top"/>
        <w:rPr>
          <w:rFonts w:hint="default" w:ascii="Times New Roman" w:hAnsi="Times New Roman" w:eastAsia="仿宋" w:cs="Times New Roman"/>
          <w:b w:val="0"/>
          <w:bCs w:val="0"/>
          <w:spacing w:val="0"/>
          <w:kern w:val="2"/>
          <w:sz w:val="32"/>
          <w:szCs w:val="32"/>
          <w:lang w:val="en-US" w:eastAsia="zh-CN" w:bidi="ar-SA"/>
        </w:rPr>
      </w:pPr>
    </w:p>
    <w:p w14:paraId="40C07436">
      <w:pPr>
        <w:pStyle w:val="29"/>
        <w:keepNext w:val="0"/>
        <w:keepLines w:val="0"/>
        <w:pageBreakBefore w:val="0"/>
        <w:widowControl/>
        <w:kinsoku/>
        <w:wordWrap/>
        <w:overflowPunct/>
        <w:topLinePunct w:val="0"/>
        <w:autoSpaceDE/>
        <w:autoSpaceDN/>
        <w:bidi w:val="0"/>
        <w:adjustRightInd/>
        <w:snapToGrid/>
        <w:spacing w:line="560" w:lineRule="exact"/>
        <w:ind w:firstLine="5600" w:firstLineChars="1750"/>
        <w:jc w:val="both"/>
        <w:textAlignment w:val="top"/>
        <w:rPr>
          <w:rFonts w:hint="default" w:ascii="Times New Roman" w:hAnsi="Times New Roman" w:eastAsia="仿宋" w:cs="Times New Roman"/>
          <w:b w:val="0"/>
          <w:bCs w:val="0"/>
          <w:spacing w:val="0"/>
          <w:kern w:val="2"/>
          <w:sz w:val="32"/>
          <w:szCs w:val="32"/>
          <w:lang w:val="en-US" w:eastAsia="zh-CN" w:bidi="ar-SA"/>
        </w:rPr>
      </w:pPr>
      <w:r>
        <w:rPr>
          <w:rFonts w:hint="default" w:ascii="Times New Roman" w:hAnsi="Times New Roman" w:eastAsia="仿宋" w:cs="Times New Roman"/>
          <w:b w:val="0"/>
          <w:bCs w:val="0"/>
          <w:spacing w:val="0"/>
          <w:kern w:val="2"/>
          <w:sz w:val="32"/>
          <w:szCs w:val="32"/>
          <w:lang w:val="en-US" w:eastAsia="zh-CN" w:bidi="ar-SA"/>
        </w:rPr>
        <w:t>岳阳市生态环境局</w:t>
      </w:r>
    </w:p>
    <w:p w14:paraId="4E193B40">
      <w:pPr>
        <w:pStyle w:val="29"/>
        <w:keepNext w:val="0"/>
        <w:keepLines w:val="0"/>
        <w:pageBreakBefore w:val="0"/>
        <w:widowControl/>
        <w:tabs>
          <w:tab w:val="left" w:pos="5580"/>
        </w:tabs>
        <w:kinsoku/>
        <w:wordWrap/>
        <w:overflowPunct/>
        <w:topLinePunct w:val="0"/>
        <w:autoSpaceDE/>
        <w:autoSpaceDN/>
        <w:bidi w:val="0"/>
        <w:adjustRightInd/>
        <w:snapToGrid/>
        <w:spacing w:line="560" w:lineRule="exact"/>
        <w:ind w:firstLine="5440" w:firstLineChars="1700"/>
        <w:jc w:val="both"/>
        <w:textAlignment w:val="top"/>
        <w:rPr>
          <w:rFonts w:hint="default" w:ascii="Times New Roman" w:hAnsi="Times New Roman" w:eastAsia="仿宋" w:cs="Times New Roman"/>
          <w:b w:val="0"/>
          <w:bCs w:val="0"/>
          <w:spacing w:val="0"/>
          <w:kern w:val="2"/>
          <w:sz w:val="32"/>
          <w:szCs w:val="32"/>
          <w:lang w:val="en-US" w:eastAsia="zh-CN" w:bidi="ar-SA"/>
        </w:rPr>
      </w:pPr>
      <w:r>
        <w:rPr>
          <w:rFonts w:hint="default" w:ascii="Times New Roman" w:hAnsi="Times New Roman" w:eastAsia="仿宋" w:cs="Times New Roman"/>
          <w:b w:val="0"/>
          <w:bCs w:val="0"/>
          <w:spacing w:val="0"/>
          <w:kern w:val="2"/>
          <w:sz w:val="32"/>
          <w:szCs w:val="32"/>
          <w:lang w:val="en-US" w:eastAsia="zh-CN" w:bidi="ar-SA"/>
        </w:rPr>
        <w:t>2025年</w:t>
      </w:r>
      <w:r>
        <w:rPr>
          <w:rFonts w:hint="eastAsia" w:eastAsia="仿宋" w:cs="Times New Roman"/>
          <w:b w:val="0"/>
          <w:bCs w:val="0"/>
          <w:spacing w:val="0"/>
          <w:kern w:val="2"/>
          <w:sz w:val="32"/>
          <w:szCs w:val="32"/>
          <w:lang w:val="en-US" w:eastAsia="zh-CN" w:bidi="ar-SA"/>
        </w:rPr>
        <w:t>10</w:t>
      </w:r>
      <w:r>
        <w:rPr>
          <w:rFonts w:hint="default" w:ascii="Times New Roman" w:hAnsi="Times New Roman" w:eastAsia="仿宋" w:cs="Times New Roman"/>
          <w:b w:val="0"/>
          <w:bCs w:val="0"/>
          <w:spacing w:val="0"/>
          <w:kern w:val="2"/>
          <w:sz w:val="32"/>
          <w:szCs w:val="32"/>
          <w:lang w:val="en-US" w:eastAsia="zh-CN" w:bidi="ar-SA"/>
        </w:rPr>
        <w:t xml:space="preserve">月 </w:t>
      </w:r>
      <w:r>
        <w:rPr>
          <w:rFonts w:hint="eastAsia" w:eastAsia="仿宋" w:cs="Times New Roman"/>
          <w:b w:val="0"/>
          <w:bCs w:val="0"/>
          <w:spacing w:val="0"/>
          <w:kern w:val="2"/>
          <w:sz w:val="32"/>
          <w:szCs w:val="32"/>
          <w:lang w:val="en-US" w:eastAsia="zh-CN" w:bidi="ar-SA"/>
        </w:rPr>
        <w:t>10</w:t>
      </w:r>
      <w:r>
        <w:rPr>
          <w:rFonts w:hint="default" w:ascii="Times New Roman" w:hAnsi="Times New Roman" w:eastAsia="仿宋" w:cs="Times New Roman"/>
          <w:b w:val="0"/>
          <w:bCs w:val="0"/>
          <w:spacing w:val="0"/>
          <w:kern w:val="2"/>
          <w:sz w:val="32"/>
          <w:szCs w:val="32"/>
          <w:lang w:val="en-US" w:eastAsia="zh-CN" w:bidi="ar-SA"/>
        </w:rPr>
        <w:t xml:space="preserve"> 日</w:t>
      </w:r>
    </w:p>
    <w:p w14:paraId="09923F77">
      <w:pPr>
        <w:pStyle w:val="29"/>
        <w:pageBreakBefore w:val="0"/>
        <w:kinsoku/>
        <w:wordWrap/>
        <w:overflowPunct/>
        <w:topLinePunct w:val="0"/>
        <w:bidi w:val="0"/>
        <w:snapToGrid/>
        <w:spacing w:line="560" w:lineRule="exact"/>
        <w:jc w:val="both"/>
        <w:textAlignment w:val="top"/>
        <w:rPr>
          <w:rFonts w:hint="default" w:ascii="Times New Roman" w:hAnsi="Times New Roman" w:eastAsia="仿宋" w:cs="Times New Roman"/>
          <w:sz w:val="10"/>
          <w:szCs w:val="10"/>
        </w:rPr>
      </w:pPr>
    </w:p>
    <w:p w14:paraId="7C616C99">
      <w:pPr>
        <w:pStyle w:val="29"/>
        <w:pageBreakBefore w:val="0"/>
        <w:kinsoku/>
        <w:wordWrap/>
        <w:overflowPunct/>
        <w:topLinePunct w:val="0"/>
        <w:bidi w:val="0"/>
        <w:snapToGrid/>
        <w:spacing w:line="560" w:lineRule="exact"/>
        <w:jc w:val="both"/>
        <w:textAlignment w:val="top"/>
        <w:rPr>
          <w:rFonts w:hint="default" w:ascii="Times New Roman" w:hAnsi="Times New Roman" w:eastAsia="仿宋" w:cs="Times New Roman"/>
          <w:sz w:val="10"/>
          <w:szCs w:val="10"/>
        </w:rPr>
      </w:pPr>
    </w:p>
    <w:p w14:paraId="1DCC8E4A">
      <w:pPr>
        <w:pStyle w:val="29"/>
        <w:pageBreakBefore w:val="0"/>
        <w:kinsoku/>
        <w:wordWrap/>
        <w:overflowPunct/>
        <w:topLinePunct w:val="0"/>
        <w:bidi w:val="0"/>
        <w:snapToGrid/>
        <w:spacing w:line="560" w:lineRule="exact"/>
        <w:jc w:val="both"/>
        <w:textAlignment w:val="top"/>
        <w:rPr>
          <w:rFonts w:hint="default" w:ascii="Times New Roman" w:hAnsi="Times New Roman" w:eastAsia="仿宋" w:cs="Times New Roman"/>
          <w:sz w:val="10"/>
          <w:szCs w:val="10"/>
        </w:rPr>
      </w:pPr>
    </w:p>
    <w:p w14:paraId="62AC31B4">
      <w:pPr>
        <w:pageBreakBefore w:val="0"/>
        <w:tabs>
          <w:tab w:val="left" w:pos="276"/>
        </w:tabs>
        <w:kinsoku/>
        <w:wordWrap/>
        <w:overflowPunct/>
        <w:topLinePunct w:val="0"/>
        <w:bidi w:val="0"/>
        <w:snapToGrid/>
        <w:spacing w:line="560" w:lineRule="exact"/>
        <w:ind w:firstLine="0" w:firstLineChars="0"/>
        <w:jc w:val="both"/>
        <w:rPr>
          <w:rFonts w:hint="default" w:ascii="Times New Roman" w:hAnsi="Times New Roman" w:eastAsia="仿宋" w:cs="Times New Roman"/>
          <w:sz w:val="10"/>
          <w:szCs w:val="10"/>
        </w:rPr>
      </w:pPr>
      <w:bookmarkStart w:id="1" w:name="_GoBack"/>
      <w:bookmarkEnd w:id="1"/>
    </w:p>
    <w:sectPr>
      <w:footerReference r:id="rId7" w:type="default"/>
      <w:pgSz w:w="11906" w:h="16838"/>
      <w:pgMar w:top="1440" w:right="1588" w:bottom="1440" w:left="1588" w:header="851" w:footer="850" w:gutter="0"/>
      <w:pgNumType w:fmt="decimal" w:start="2"/>
      <w:cols w:space="720" w:num="1"/>
      <w:docGrid w:type="lines" w:linePitch="27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orbel">
    <w:panose1 w:val="020B0503020204020204"/>
    <w:charset w:val="00"/>
    <w:family w:val="swiss"/>
    <w:pitch w:val="default"/>
    <w:sig w:usb0="A00002EF" w:usb1="4000A44B" w:usb2="00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9E6F4">
    <w:pPr>
      <w:pStyle w:val="10"/>
      <w:tabs>
        <w:tab w:val="left" w:pos="3903"/>
        <w:tab w:val="clear" w:pos="4153"/>
      </w:tabs>
      <w:ind w:firstLine="360"/>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35D87">
    <w:pPr>
      <w:pStyle w:val="10"/>
      <w:tabs>
        <w:tab w:val="left" w:pos="3903"/>
        <w:tab w:val="clear" w:pos="4153"/>
      </w:tabs>
      <w:ind w:firstLine="360"/>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5A84B">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F5A84B">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659A">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A5F2C"/>
    <w:multiLevelType w:val="singleLevel"/>
    <w:tmpl w:val="B12A5F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20"/>
    <w:rsid w:val="00B34EDC"/>
    <w:rsid w:val="00B734C6"/>
    <w:rsid w:val="00E97E38"/>
    <w:rsid w:val="00EC4520"/>
    <w:rsid w:val="023C53DB"/>
    <w:rsid w:val="040265F8"/>
    <w:rsid w:val="052A53FB"/>
    <w:rsid w:val="07271259"/>
    <w:rsid w:val="080109C6"/>
    <w:rsid w:val="0D0F3224"/>
    <w:rsid w:val="0D9A523E"/>
    <w:rsid w:val="0E486D6B"/>
    <w:rsid w:val="0E54021A"/>
    <w:rsid w:val="0F8B68A4"/>
    <w:rsid w:val="12B912C7"/>
    <w:rsid w:val="159266A5"/>
    <w:rsid w:val="18421155"/>
    <w:rsid w:val="1B627E82"/>
    <w:rsid w:val="1BCA7BC9"/>
    <w:rsid w:val="1C72170E"/>
    <w:rsid w:val="1C7467DC"/>
    <w:rsid w:val="1E4075E6"/>
    <w:rsid w:val="1E876F10"/>
    <w:rsid w:val="201E3957"/>
    <w:rsid w:val="212201CD"/>
    <w:rsid w:val="21726EAE"/>
    <w:rsid w:val="22B71C0B"/>
    <w:rsid w:val="23644CDE"/>
    <w:rsid w:val="23CA65C3"/>
    <w:rsid w:val="26236B82"/>
    <w:rsid w:val="27937E96"/>
    <w:rsid w:val="28692EB0"/>
    <w:rsid w:val="2B141465"/>
    <w:rsid w:val="2D0A34E8"/>
    <w:rsid w:val="311D1A84"/>
    <w:rsid w:val="32942D03"/>
    <w:rsid w:val="38F35E38"/>
    <w:rsid w:val="39CC3AB9"/>
    <w:rsid w:val="42CE66BF"/>
    <w:rsid w:val="435726DF"/>
    <w:rsid w:val="437E7B29"/>
    <w:rsid w:val="457D5993"/>
    <w:rsid w:val="48EC3D42"/>
    <w:rsid w:val="49A931C2"/>
    <w:rsid w:val="49E76610"/>
    <w:rsid w:val="4BBA6677"/>
    <w:rsid w:val="4C7D65CC"/>
    <w:rsid w:val="4CD75C9B"/>
    <w:rsid w:val="4CF3569F"/>
    <w:rsid w:val="4F91177A"/>
    <w:rsid w:val="525F1CB4"/>
    <w:rsid w:val="55B865D0"/>
    <w:rsid w:val="55E22755"/>
    <w:rsid w:val="562C577E"/>
    <w:rsid w:val="58122FAA"/>
    <w:rsid w:val="5910095D"/>
    <w:rsid w:val="59284923"/>
    <w:rsid w:val="5D957ECE"/>
    <w:rsid w:val="5E693A13"/>
    <w:rsid w:val="5F380192"/>
    <w:rsid w:val="63041F5D"/>
    <w:rsid w:val="65535C7B"/>
    <w:rsid w:val="68785CC8"/>
    <w:rsid w:val="69120710"/>
    <w:rsid w:val="69B2622D"/>
    <w:rsid w:val="6BCE2025"/>
    <w:rsid w:val="6D355AF1"/>
    <w:rsid w:val="6D41164D"/>
    <w:rsid w:val="704626FC"/>
    <w:rsid w:val="70A02A01"/>
    <w:rsid w:val="726411D5"/>
    <w:rsid w:val="72EA7263"/>
    <w:rsid w:val="730B26F6"/>
    <w:rsid w:val="756920F3"/>
    <w:rsid w:val="76386CC0"/>
    <w:rsid w:val="767E1B72"/>
    <w:rsid w:val="7A093C1F"/>
    <w:rsid w:val="7B4A7A78"/>
    <w:rsid w:val="7CB47DAA"/>
    <w:rsid w:val="7CE409BA"/>
    <w:rsid w:val="7FA060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paragraph" w:styleId="2">
    <w:name w:val="heading 2"/>
    <w:basedOn w:val="1"/>
    <w:next w:val="1"/>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3">
    <w:name w:val="heading 3"/>
    <w:basedOn w:val="1"/>
    <w:next w:val="1"/>
    <w:qFormat/>
    <w:uiPriority w:val="0"/>
    <w:pPr>
      <w:keepNext/>
      <w:keepLines/>
      <w:spacing w:before="260" w:after="260" w:line="413" w:lineRule="auto"/>
      <w:outlineLvl w:val="2"/>
    </w:pPr>
    <w:rPr>
      <w:rFonts w:ascii="Arial" w:hAnsi="Arial"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ody Text Indent"/>
    <w:basedOn w:val="1"/>
    <w:next w:val="7"/>
    <w:qFormat/>
    <w:uiPriority w:val="0"/>
    <w:pPr>
      <w:spacing w:line="360" w:lineRule="auto"/>
      <w:ind w:firstLine="570"/>
    </w:pPr>
    <w:rPr>
      <w:rFonts w:eastAsia="仿宋_GB2312"/>
      <w:sz w:val="28"/>
      <w:szCs w:val="20"/>
    </w:rPr>
  </w:style>
  <w:style w:type="paragraph" w:customStyle="1" w:styleId="7">
    <w:name w:val="样式 正文文本缩进 + 行距: 1.5 倍行距"/>
    <w:basedOn w:val="1"/>
    <w:qFormat/>
    <w:uiPriority w:val="0"/>
    <w:pPr>
      <w:spacing w:after="120" w:line="360" w:lineRule="auto"/>
      <w:ind w:left="90" w:leftChars="32" w:firstLine="560" w:firstLineChars="200"/>
    </w:pPr>
    <w:rPr>
      <w:rFonts w:cs="宋体"/>
    </w:rPr>
  </w:style>
  <w:style w:type="paragraph" w:styleId="8">
    <w:name w:val="Date"/>
    <w:basedOn w:val="1"/>
    <w:next w:val="1"/>
    <w:qFormat/>
    <w:uiPriority w:val="0"/>
    <w:pPr>
      <w:ind w:left="100" w:leftChars="2500"/>
    </w:pPr>
  </w:style>
  <w:style w:type="paragraph" w:styleId="9">
    <w:name w:val="Balloon Text"/>
    <w:basedOn w:val="1"/>
    <w:qFormat/>
    <w:uiPriority w:val="0"/>
    <w:rPr>
      <w:sz w:val="18"/>
      <w:szCs w:val="18"/>
    </w:rPr>
  </w:style>
  <w:style w:type="paragraph" w:styleId="10">
    <w:name w:val="footer"/>
    <w:basedOn w:val="1"/>
    <w:link w:val="33"/>
    <w:qFormat/>
    <w:uiPriority w:val="99"/>
    <w:pPr>
      <w:tabs>
        <w:tab w:val="center" w:pos="4153"/>
        <w:tab w:val="right" w:pos="8306"/>
      </w:tabs>
      <w:snapToGrid w:val="0"/>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qFormat/>
    <w:uiPriority w:val="0"/>
    <w:pPr>
      <w:widowControl/>
      <w:spacing w:before="100" w:beforeAutospacing="1" w:after="100" w:afterAutospacing="1"/>
      <w:jc w:val="left"/>
    </w:pPr>
    <w:rPr>
      <w:rFonts w:ascii="Arial Unicode MS" w:hAnsi="Arial Unicode MS" w:eastAsia="Arial Unicode MS" w:cs="Arial Unicode MS"/>
      <w:kern w:val="0"/>
      <w:sz w:val="24"/>
      <w:szCs w:val="24"/>
      <w:lang w:val="en-US" w:eastAsia="zh-CN" w:bidi="ar-SA"/>
    </w:rPr>
  </w:style>
  <w:style w:type="paragraph" w:styleId="13">
    <w:name w:val="Body Text First Indent"/>
    <w:basedOn w:val="5"/>
    <w:link w:val="25"/>
    <w:qFormat/>
    <w:uiPriority w:val="0"/>
    <w:pPr>
      <w:adjustRightInd w:val="0"/>
      <w:snapToGrid w:val="0"/>
      <w:spacing w:after="0" w:line="360" w:lineRule="auto"/>
      <w:ind w:firstLine="200"/>
      <w:jc w:val="both"/>
    </w:pPr>
    <w:rPr>
      <w:kern w:val="2"/>
      <w:sz w:val="24"/>
    </w:rPr>
  </w:style>
  <w:style w:type="paragraph" w:styleId="14">
    <w:name w:val="Body Text First Indent 2"/>
    <w:basedOn w:val="6"/>
    <w:next w:val="1"/>
    <w:qFormat/>
    <w:uiPriority w:val="0"/>
    <w:pPr>
      <w:spacing w:after="120" w:line="240" w:lineRule="auto"/>
      <w:ind w:left="420" w:leftChars="200" w:firstLine="420" w:firstLineChars="200"/>
    </w:pPr>
    <w:rPr>
      <w:rFonts w:ascii="Corbel" w:hAnsi="Corbel"/>
      <w:sz w:val="21"/>
    </w:rPr>
  </w:style>
  <w:style w:type="table" w:styleId="16">
    <w:name w:val="Table Grid"/>
    <w:basedOn w:val="15"/>
    <w:qFormat/>
    <w:uiPriority w:val="59"/>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annotation reference"/>
    <w:qFormat/>
    <w:uiPriority w:val="0"/>
    <w:rPr>
      <w:sz w:val="21"/>
      <w:szCs w:val="21"/>
    </w:rPr>
  </w:style>
  <w:style w:type="paragraph" w:customStyle="1" w:styleId="20">
    <w:name w:val="列出段落1"/>
    <w:basedOn w:val="1"/>
    <w:qFormat/>
    <w:uiPriority w:val="34"/>
    <w:pPr>
      <w:ind w:firstLine="420"/>
    </w:pPr>
  </w:style>
  <w:style w:type="paragraph" w:customStyle="1" w:styleId="21">
    <w:name w:val="Default"/>
    <w:basedOn w:val="22"/>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纯文本1"/>
    <w:basedOn w:val="1"/>
    <w:qFormat/>
    <w:uiPriority w:val="0"/>
    <w:pPr>
      <w:adjustRightInd w:val="0"/>
    </w:pPr>
    <w:rPr>
      <w:rFonts w:ascii="宋体" w:hAnsi="Courier New"/>
      <w:szCs w:val="20"/>
    </w:rPr>
  </w:style>
  <w:style w:type="character" w:customStyle="1" w:styleId="23">
    <w:name w:val="p0 Char"/>
    <w:basedOn w:val="17"/>
    <w:link w:val="24"/>
    <w:qFormat/>
    <w:uiPriority w:val="0"/>
    <w:rPr>
      <w:rFonts w:eastAsia="宋体"/>
      <w:sz w:val="32"/>
      <w:szCs w:val="32"/>
      <w:lang w:val="en-US" w:eastAsia="zh-CN" w:bidi="ar-SA"/>
    </w:rPr>
  </w:style>
  <w:style w:type="paragraph" w:customStyle="1" w:styleId="24">
    <w:name w:val="p0"/>
    <w:basedOn w:val="1"/>
    <w:link w:val="23"/>
    <w:qFormat/>
    <w:uiPriority w:val="0"/>
    <w:pPr>
      <w:widowControl/>
      <w:ind w:firstLine="0" w:firstLineChars="0"/>
      <w:jc w:val="both"/>
    </w:pPr>
    <w:rPr>
      <w:sz w:val="32"/>
      <w:szCs w:val="32"/>
    </w:rPr>
  </w:style>
  <w:style w:type="character" w:customStyle="1" w:styleId="25">
    <w:name w:val="正文首行缩进 Char"/>
    <w:basedOn w:val="17"/>
    <w:link w:val="13"/>
    <w:qFormat/>
    <w:uiPriority w:val="0"/>
    <w:rPr>
      <w:rFonts w:eastAsia="宋体"/>
      <w:kern w:val="2"/>
      <w:sz w:val="24"/>
      <w:lang w:val="en-US" w:eastAsia="zh-CN" w:bidi="ar-SA"/>
    </w:rPr>
  </w:style>
  <w:style w:type="character" w:customStyle="1" w:styleId="26">
    <w:name w:val="表格文字 Char"/>
    <w:link w:val="27"/>
    <w:qFormat/>
    <w:uiPriority w:val="0"/>
    <w:rPr>
      <w:rFonts w:eastAsia="宋体"/>
      <w:kern w:val="2"/>
      <w:sz w:val="21"/>
      <w:szCs w:val="21"/>
      <w:lang w:val="en-US" w:eastAsia="zh-CN" w:bidi="ar-SA"/>
    </w:rPr>
  </w:style>
  <w:style w:type="paragraph" w:customStyle="1" w:styleId="27">
    <w:name w:val="表格文字"/>
    <w:basedOn w:val="1"/>
    <w:link w:val="26"/>
    <w:qFormat/>
    <w:uiPriority w:val="0"/>
    <w:pPr>
      <w:widowControl/>
      <w:adjustRightInd w:val="0"/>
      <w:snapToGrid w:val="0"/>
      <w:ind w:firstLine="0" w:firstLineChars="0"/>
      <w:jc w:val="center"/>
    </w:pPr>
    <w:rPr>
      <w:kern w:val="2"/>
      <w:sz w:val="21"/>
      <w:szCs w:val="21"/>
    </w:rPr>
  </w:style>
  <w:style w:type="paragraph" w:customStyle="1" w:styleId="28">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29">
    <w:name w:val="WPS Plain"/>
    <w:qFormat/>
    <w:uiPriority w:val="0"/>
    <w:rPr>
      <w:rFonts w:ascii="Times New Roman" w:hAnsi="Times New Roman" w:eastAsia="宋体" w:cs="Times New Roman"/>
      <w:lang w:val="en-US" w:eastAsia="zh-CN" w:bidi="ar-SA"/>
    </w:rPr>
  </w:style>
  <w:style w:type="paragraph" w:customStyle="1" w:styleId="30">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31">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32">
    <w:name w:val="样式1"/>
    <w:next w:val="13"/>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33">
    <w:name w:val="页脚 Char"/>
    <w:basedOn w:val="17"/>
    <w:link w:val="10"/>
    <w:qFormat/>
    <w:uiPriority w:val="99"/>
    <w:rPr>
      <w:sz w:val="18"/>
      <w:szCs w:val="18"/>
    </w:rPr>
  </w:style>
  <w:style w:type="paragraph" w:customStyle="1" w:styleId="34">
    <w:name w:val="0"/>
    <w:basedOn w:val="1"/>
    <w:qFormat/>
    <w:uiPriority w:val="0"/>
    <w:pPr>
      <w:widowControl/>
      <w:snapToGrid w:val="0"/>
      <w:spacing w:line="365" w:lineRule="atLeast"/>
      <w:ind w:left="1" w:firstLine="0" w:firstLineChars="0"/>
      <w:jc w:val="both"/>
      <w:textAlignment w:val="bottom"/>
    </w:pPr>
  </w:style>
  <w:style w:type="paragraph" w:customStyle="1" w:styleId="35">
    <w:name w:val="表格"/>
    <w:basedOn w:val="1"/>
    <w:qFormat/>
    <w:uiPriority w:val="0"/>
    <w:pPr>
      <w:spacing w:line="300" w:lineRule="auto"/>
      <w:ind w:firstLine="0" w:firstLineChars="0"/>
      <w:jc w:val="center"/>
    </w:pPr>
    <w:rPr>
      <w:rFonts w:cs="宋体"/>
      <w:sz w:val="21"/>
      <w:szCs w:val="24"/>
      <w:lang w:eastAsia="en-US"/>
    </w:rPr>
  </w:style>
  <w:style w:type="paragraph" w:styleId="36">
    <w:name w:val="List Paragraph"/>
    <w:basedOn w:val="1"/>
    <w:qFormat/>
    <w:uiPriority w:val="99"/>
    <w:pPr>
      <w:ind w:firstLine="420"/>
    </w:pPr>
  </w:style>
  <w:style w:type="character" w:customStyle="1" w:styleId="37">
    <w:name w:val="正文内容 Char Char"/>
    <w:qFormat/>
    <w:uiPriority w:val="0"/>
    <w:rPr>
      <w:kern w:val="2"/>
      <w:sz w:val="24"/>
      <w:szCs w:val="24"/>
      <w:lang w:val="en-US" w:eastAsia="zh-CN" w:bidi="ar-SA"/>
    </w:rPr>
  </w:style>
  <w:style w:type="paragraph" w:customStyle="1" w:styleId="3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0C2E-1E84-49DD-8C16-E9B161C8BD7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2476</Words>
  <Characters>2748</Characters>
  <Lines>2</Lines>
  <Paragraphs>4</Paragraphs>
  <TotalTime>3</TotalTime>
  <ScaleCrop>false</ScaleCrop>
  <LinksUpToDate>false</LinksUpToDate>
  <CharactersWithSpaces>2751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2019-05-11T05:51:00Z</dcterms:created>
  <dc:creator>微软用户</dc:creator>
  <cp:lastModifiedBy>sunshine</cp:lastModifiedBy>
  <cp:lastPrinted>2020-04-27T01:49:00Z</cp:lastPrinted>
  <dcterms:modified xsi:type="dcterms:W3CDTF">2025-09-30T01:04:22Z</dcterms:modified>
  <dc:title>1、省道1825线湘阴至长沙公路岳阳段改建工程总投资12300万元</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eyJoZGlkIjoiZmMxMDViNDc5ZWNhOGMzY2JkNmZlYWU2NTExYTBhZWYiLCJ1c2VySWQiOiIxNDE4Mjk3MDgyIn0=</vt:lpwstr>
  </property>
  <property fmtid="{D5CDD505-2E9C-101B-9397-08002B2CF9AE}" pid="4" name="ICV">
    <vt:lpwstr>5360A84CE50A454482D2538B796F21E8_13</vt:lpwstr>
  </property>
</Properties>
</file>