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附件3-1：</w:t>
      </w:r>
    </w:p>
    <w:p>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eastAsia="zh-CN"/>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3月份之</w:t>
            </w:r>
            <w:r>
              <w:rPr>
                <w:rFonts w:hint="eastAsia" w:ascii="仿宋_GB2312" w:hAnsi="宋体" w:eastAsia="仿宋_GB2312" w:cs="宋体"/>
                <w:kern w:val="0"/>
                <w:sz w:val="18"/>
                <w:szCs w:val="18"/>
              </w:rPr>
              <w:t>前下达全部资金的50%；6月底前所有</w:t>
            </w:r>
            <w:bookmarkStart w:id="0" w:name="_GoBack"/>
            <w:bookmarkEnd w:id="0"/>
            <w:r>
              <w:rPr>
                <w:rFonts w:hint="eastAsia" w:ascii="仿宋_GB2312" w:hAnsi="宋体" w:eastAsia="仿宋_GB2312" w:cs="宋体"/>
                <w:kern w:val="0"/>
                <w:sz w:val="18"/>
                <w:szCs w:val="18"/>
              </w:rPr>
              <w:t>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管理制度可进一步完善</w:t>
            </w:r>
          </w:p>
        </w:tc>
      </w:tr>
      <w:tr>
        <w:tblPrEx>
          <w:tblLayout w:type="fixed"/>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人民政府 关于做好岳阳市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54245"/>
    <w:rsid w:val="56473646"/>
    <w:rsid w:val="5FF64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2021-09-09T14:07:43Z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