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8B" w:rsidRDefault="00125F8B" w:rsidP="00125F8B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2</w:t>
      </w:r>
    </w:p>
    <w:p w:rsidR="00125F8B" w:rsidRDefault="00125F8B" w:rsidP="00125F8B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125F8B" w:rsidRDefault="00125F8B" w:rsidP="00125F8B">
      <w:pPr>
        <w:spacing w:line="800" w:lineRule="exact"/>
        <w:jc w:val="center"/>
        <w:rPr>
          <w:rFonts w:eastAsia="方正小标宋简体"/>
          <w:bCs/>
          <w:spacing w:val="-20"/>
          <w:sz w:val="46"/>
          <w:szCs w:val="46"/>
        </w:rPr>
      </w:pPr>
      <w:r>
        <w:rPr>
          <w:rFonts w:eastAsia="方正小标宋简体" w:hint="eastAsia"/>
          <w:bCs/>
          <w:spacing w:val="-20"/>
          <w:sz w:val="46"/>
          <w:szCs w:val="46"/>
        </w:rPr>
        <w:t>临湘市</w:t>
      </w:r>
      <w:r>
        <w:rPr>
          <w:rFonts w:eastAsia="方正小标宋简体" w:hint="eastAsia"/>
          <w:bCs/>
          <w:spacing w:val="-20"/>
          <w:sz w:val="46"/>
          <w:szCs w:val="46"/>
        </w:rPr>
        <w:t>20</w:t>
      </w:r>
      <w:r>
        <w:rPr>
          <w:rFonts w:eastAsia="方正小标宋简体" w:hint="eastAsia"/>
          <w:bCs/>
          <w:spacing w:val="-20"/>
          <w:sz w:val="46"/>
          <w:szCs w:val="46"/>
          <w:u w:val="single"/>
        </w:rPr>
        <w:t>24</w:t>
      </w:r>
      <w:r>
        <w:rPr>
          <w:rFonts w:eastAsia="方正小标宋简体" w:hint="eastAsia"/>
          <w:bCs/>
          <w:spacing w:val="-20"/>
          <w:sz w:val="46"/>
          <w:szCs w:val="46"/>
        </w:rPr>
        <w:t>年度部门（单位）整体支出</w:t>
      </w:r>
    </w:p>
    <w:p w:rsidR="00125F8B" w:rsidRDefault="00125F8B" w:rsidP="00125F8B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125F8B" w:rsidRDefault="00125F8B" w:rsidP="00125F8B">
      <w:pPr>
        <w:rPr>
          <w:rFonts w:eastAsia="仿宋_GB2312"/>
          <w:b/>
          <w:sz w:val="32"/>
        </w:rPr>
      </w:pPr>
    </w:p>
    <w:p w:rsidR="00125F8B" w:rsidRDefault="00125F8B" w:rsidP="00125F8B">
      <w:pPr>
        <w:rPr>
          <w:rFonts w:eastAsia="仿宋_GB2312"/>
          <w:b/>
          <w:sz w:val="32"/>
        </w:rPr>
      </w:pPr>
    </w:p>
    <w:p w:rsidR="00125F8B" w:rsidRDefault="00125F8B" w:rsidP="00125F8B">
      <w:pPr>
        <w:rPr>
          <w:rFonts w:eastAsia="仿宋_GB2312"/>
          <w:b/>
          <w:sz w:val="32"/>
        </w:rPr>
      </w:pPr>
    </w:p>
    <w:p w:rsidR="00125F8B" w:rsidRDefault="00125F8B" w:rsidP="00586E93">
      <w:pPr>
        <w:spacing w:beforeLines="50" w:line="348" w:lineRule="auto"/>
        <w:ind w:firstLineChars="150" w:firstLine="474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部门</w:t>
      </w:r>
      <w:r>
        <w:rPr>
          <w:rFonts w:eastAsia="仿宋_GB2312" w:hint="eastAsia"/>
          <w:sz w:val="32"/>
        </w:rPr>
        <w:t>(</w:t>
      </w:r>
      <w:r>
        <w:rPr>
          <w:rFonts w:eastAsia="仿宋_GB2312" w:hint="eastAsia"/>
          <w:sz w:val="32"/>
        </w:rPr>
        <w:t>单位</w:t>
      </w:r>
      <w:r>
        <w:rPr>
          <w:rFonts w:eastAsia="仿宋_GB2312" w:hint="eastAsia"/>
          <w:sz w:val="32"/>
        </w:rPr>
        <w:t>)</w:t>
      </w:r>
      <w:r>
        <w:rPr>
          <w:rFonts w:eastAsia="仿宋_GB2312" w:hint="eastAsia"/>
          <w:sz w:val="32"/>
        </w:rPr>
        <w:t>名称</w:t>
      </w:r>
      <w:r w:rsidR="000055CA">
        <w:rPr>
          <w:rFonts w:eastAsia="仿宋_GB2312" w:hint="eastAsia"/>
          <w:sz w:val="32"/>
        </w:rPr>
        <w:t>：</w:t>
      </w:r>
      <w:r w:rsidR="000055CA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u w:val="single"/>
        </w:rPr>
        <w:t>中共临湘市委党校</w:t>
      </w:r>
    </w:p>
    <w:p w:rsidR="00125F8B" w:rsidRDefault="00125F8B" w:rsidP="00586E93">
      <w:pPr>
        <w:spacing w:beforeLines="50" w:line="348" w:lineRule="auto"/>
        <w:ind w:firstLineChars="150" w:firstLine="474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125F8B" w:rsidRDefault="00125F8B" w:rsidP="00586E93">
      <w:pPr>
        <w:spacing w:beforeLines="50" w:line="348" w:lineRule="auto"/>
        <w:ind w:firstLineChars="150" w:firstLine="474"/>
        <w:rPr>
          <w:rFonts w:eastAsia="仿宋_GB2312"/>
          <w:sz w:val="32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125F8B" w:rsidRDefault="00125F8B" w:rsidP="00125F8B">
      <w:pPr>
        <w:spacing w:line="348" w:lineRule="auto"/>
        <w:ind w:firstLineChars="690" w:firstLine="2182"/>
        <w:rPr>
          <w:rFonts w:eastAsia="仿宋_GB2312"/>
          <w:sz w:val="32"/>
        </w:rPr>
      </w:pPr>
    </w:p>
    <w:p w:rsidR="00125F8B" w:rsidRDefault="00125F8B" w:rsidP="00125F8B">
      <w:pPr>
        <w:spacing w:line="348" w:lineRule="auto"/>
        <w:ind w:firstLineChars="690" w:firstLine="2182"/>
        <w:rPr>
          <w:rFonts w:eastAsia="仿宋_GB2312"/>
          <w:sz w:val="32"/>
        </w:rPr>
      </w:pPr>
    </w:p>
    <w:p w:rsidR="00125F8B" w:rsidRDefault="00125F8B" w:rsidP="00125F8B">
      <w:pPr>
        <w:spacing w:line="348" w:lineRule="auto"/>
        <w:ind w:firstLineChars="690" w:firstLine="2182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 2025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6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10  </w:t>
      </w:r>
      <w:r>
        <w:rPr>
          <w:rFonts w:eastAsia="仿宋_GB2312" w:hint="eastAsia"/>
          <w:sz w:val="32"/>
        </w:rPr>
        <w:t>日</w:t>
      </w:r>
    </w:p>
    <w:p w:rsidR="00125F8B" w:rsidRDefault="00125F8B" w:rsidP="00125F8B"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</w:rPr>
        <w:t>临湘市财政</w:t>
      </w:r>
      <w:r>
        <w:rPr>
          <w:rFonts w:eastAsia="仿宋_GB2312" w:hint="eastAsia"/>
          <w:sz w:val="32"/>
          <w:szCs w:val="32"/>
        </w:rPr>
        <w:t>局（制）</w:t>
      </w:r>
    </w:p>
    <w:p w:rsidR="00125F8B" w:rsidRDefault="00125F8B" w:rsidP="00125F8B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 w:rsidR="00125F8B">
          <w:footerReference w:type="even" r:id="rId6"/>
          <w:pgSz w:w="11906" w:h="16838"/>
          <w:pgMar w:top="1701" w:right="1417" w:bottom="1701" w:left="1417" w:header="851" w:footer="992" w:gutter="0"/>
          <w:pgNumType w:fmt="numberInDash" w:start="8"/>
          <w:cols w:space="720"/>
          <w:docGrid w:type="linesAndChars" w:linePitch="602" w:charSpace="-782"/>
        </w:sect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392"/>
        <w:gridCol w:w="49"/>
        <w:gridCol w:w="477"/>
        <w:gridCol w:w="739"/>
        <w:gridCol w:w="333"/>
        <w:gridCol w:w="1000"/>
        <w:gridCol w:w="417"/>
        <w:gridCol w:w="1033"/>
        <w:gridCol w:w="277"/>
        <w:gridCol w:w="24"/>
        <w:gridCol w:w="1316"/>
        <w:gridCol w:w="59"/>
        <w:gridCol w:w="425"/>
        <w:gridCol w:w="975"/>
        <w:gridCol w:w="343"/>
        <w:gridCol w:w="248"/>
        <w:gridCol w:w="452"/>
        <w:gridCol w:w="678"/>
      </w:tblGrid>
      <w:tr w:rsidR="00125F8B" w:rsidTr="00FC2929">
        <w:trPr>
          <w:trHeight w:val="567"/>
        </w:trPr>
        <w:tc>
          <w:tcPr>
            <w:tcW w:w="10237" w:type="dxa"/>
            <w:gridSpan w:val="18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125F8B" w:rsidTr="00FC2929">
        <w:trPr>
          <w:trHeight w:val="567"/>
        </w:trPr>
        <w:tc>
          <w:tcPr>
            <w:tcW w:w="191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陈凌</w:t>
            </w:r>
            <w:proofErr w:type="gramEnd"/>
          </w:p>
        </w:tc>
        <w:tc>
          <w:tcPr>
            <w:tcW w:w="279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07303731003</w:t>
            </w:r>
          </w:p>
        </w:tc>
      </w:tr>
      <w:tr w:rsidR="00125F8B" w:rsidTr="00FC2929">
        <w:trPr>
          <w:trHeight w:val="567"/>
        </w:trPr>
        <w:tc>
          <w:tcPr>
            <w:tcW w:w="191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23</w:t>
            </w:r>
          </w:p>
        </w:tc>
        <w:tc>
          <w:tcPr>
            <w:tcW w:w="279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noWrap/>
            <w:vAlign w:val="center"/>
          </w:tcPr>
          <w:p w:rsidR="00125F8B" w:rsidRDefault="00093103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</w:t>
            </w:r>
          </w:p>
        </w:tc>
      </w:tr>
      <w:tr w:rsidR="00125F8B" w:rsidTr="00FC2929">
        <w:trPr>
          <w:trHeight w:val="1500"/>
        </w:trPr>
        <w:tc>
          <w:tcPr>
            <w:tcW w:w="191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noWrap/>
            <w:vAlign w:val="center"/>
          </w:tcPr>
          <w:p w:rsidR="00125F8B" w:rsidRPr="004E7F09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E7F0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贯彻执行党和国家的干部教育路线、方针、政策，负责全市党员干部办班培训。</w:t>
            </w: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2464"/>
        </w:trPr>
        <w:tc>
          <w:tcPr>
            <w:tcW w:w="191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noWrap/>
            <w:vAlign w:val="center"/>
          </w:tcPr>
          <w:p w:rsidR="00125F8B" w:rsidRPr="000055CA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</w:t>
            </w:r>
            <w:r w:rsidR="000055CA"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完成校园水电管网改造、学员宿舍改造、报告厅屋顶补漏等校园硬件设施建设，新建1个油茶产业现场教学点。</w:t>
            </w:r>
          </w:p>
          <w:p w:rsidR="00125F8B" w:rsidRPr="000055CA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</w:t>
            </w:r>
            <w:r w:rsidR="000055CA"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举办主体班次、党的二十届三中全会精神轮训班等培训班次23期，培训各级党员干部4800多人次。</w:t>
            </w:r>
          </w:p>
          <w:p w:rsidR="00125F8B" w:rsidRPr="000055CA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</w:t>
            </w:r>
            <w:r w:rsidR="000055CA"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将廉政教育课搬到庭审现场，组织学员赴汨罗、洪湖等地开展异地教学5次，开展现场教学10多次</w:t>
            </w:r>
            <w:r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</w:p>
          <w:p w:rsidR="00125F8B" w:rsidRPr="000055CA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</w:t>
            </w:r>
            <w:r w:rsidR="000055CA"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突出正向激励，完善《中共临湘市委党校科研工作考核细则》等规章制度，充分激发教研人员科研积极性主动性。</w:t>
            </w:r>
            <w:r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</w:t>
            </w:r>
            <w:r w:rsidR="000055CA"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充分发挥党校干部教育的主阵地、“大熔炉”作用，让党员干部在党校学习中明纪笃行、锤炼作风。</w:t>
            </w:r>
          </w:p>
        </w:tc>
      </w:tr>
      <w:tr w:rsidR="00125F8B" w:rsidTr="00FC2929">
        <w:trPr>
          <w:trHeight w:val="2260"/>
        </w:trPr>
        <w:tc>
          <w:tcPr>
            <w:tcW w:w="191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noWrap/>
            <w:vAlign w:val="center"/>
          </w:tcPr>
          <w:p w:rsidR="000055CA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1、坚定政治“方向标”。强化政治建设，始终坚持将</w:t>
            </w:r>
            <w:proofErr w:type="gramStart"/>
            <w:r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党校姓党这一</w:t>
            </w:r>
            <w:proofErr w:type="gramEnd"/>
            <w:r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最高原则和要求贯穿落实于临湘党校工作的全方位全过程。</w:t>
            </w:r>
          </w:p>
          <w:p w:rsidR="000055CA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2、种好培训“责任田”。不断增强干部教育培训工作实效性，充分发挥干部教育培训主渠道、大熔炉作用。</w:t>
            </w:r>
          </w:p>
          <w:p w:rsidR="00125F8B" w:rsidRPr="000055CA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0055C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3、打好科研“组合拳”。强化科研基础，多方式多渠道提升队伍科研水平。</w:t>
            </w: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567"/>
        </w:trPr>
        <w:tc>
          <w:tcPr>
            <w:tcW w:w="10237" w:type="dxa"/>
            <w:gridSpan w:val="18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125F8B" w:rsidTr="00FC2929">
        <w:trPr>
          <w:trHeight w:val="567"/>
        </w:trPr>
        <w:tc>
          <w:tcPr>
            <w:tcW w:w="10237" w:type="dxa"/>
            <w:gridSpan w:val="18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125F8B" w:rsidTr="00FC2929">
        <w:trPr>
          <w:trHeight w:val="567"/>
        </w:trPr>
        <w:tc>
          <w:tcPr>
            <w:tcW w:w="1392" w:type="dxa"/>
            <w:vMerge w:val="restart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125F8B" w:rsidTr="00FC2929">
        <w:trPr>
          <w:trHeight w:val="567"/>
        </w:trPr>
        <w:tc>
          <w:tcPr>
            <w:tcW w:w="1392" w:type="dxa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其他收入</w:t>
            </w:r>
          </w:p>
        </w:tc>
      </w:tr>
      <w:tr w:rsidR="00125F8B" w:rsidTr="00FC2929">
        <w:trPr>
          <w:trHeight w:val="482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480.49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315.44</w:t>
            </w:r>
          </w:p>
        </w:tc>
        <w:tc>
          <w:tcPr>
            <w:tcW w:w="1617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165.05</w:t>
            </w:r>
          </w:p>
        </w:tc>
      </w:tr>
      <w:tr w:rsidR="00125F8B" w:rsidTr="00FC2929">
        <w:trPr>
          <w:trHeight w:val="567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480.49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315.44</w:t>
            </w:r>
          </w:p>
        </w:tc>
        <w:tc>
          <w:tcPr>
            <w:tcW w:w="1617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165.05</w:t>
            </w:r>
          </w:p>
        </w:tc>
      </w:tr>
      <w:tr w:rsidR="00125F8B" w:rsidTr="00FC2929">
        <w:trPr>
          <w:trHeight w:val="567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567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0237" w:type="dxa"/>
            <w:gridSpan w:val="18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125F8B" w:rsidTr="00FC2929">
        <w:trPr>
          <w:trHeight w:val="624"/>
        </w:trPr>
        <w:tc>
          <w:tcPr>
            <w:tcW w:w="1392" w:type="dxa"/>
            <w:vMerge w:val="restart"/>
            <w:noWrap/>
            <w:vAlign w:val="center"/>
          </w:tcPr>
          <w:p w:rsidR="00125F8B" w:rsidRDefault="00125F8B" w:rsidP="00FC2929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125F8B" w:rsidTr="00FC2929">
        <w:trPr>
          <w:trHeight w:val="624"/>
        </w:trPr>
        <w:tc>
          <w:tcPr>
            <w:tcW w:w="1392" w:type="dxa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125F8B" w:rsidTr="00FC2929">
        <w:trPr>
          <w:trHeight w:val="624"/>
        </w:trPr>
        <w:tc>
          <w:tcPr>
            <w:tcW w:w="1392" w:type="dxa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480.49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387.01</w:t>
            </w:r>
          </w:p>
        </w:tc>
        <w:tc>
          <w:tcPr>
            <w:tcW w:w="175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214.68</w:t>
            </w:r>
          </w:p>
        </w:tc>
        <w:tc>
          <w:tcPr>
            <w:tcW w:w="1800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172.33</w:t>
            </w:r>
          </w:p>
        </w:tc>
        <w:tc>
          <w:tcPr>
            <w:tcW w:w="1318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93.48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480.49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387.01</w:t>
            </w:r>
          </w:p>
        </w:tc>
        <w:tc>
          <w:tcPr>
            <w:tcW w:w="175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214.68</w:t>
            </w:r>
          </w:p>
        </w:tc>
        <w:tc>
          <w:tcPr>
            <w:tcW w:w="1800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172.33</w:t>
            </w:r>
          </w:p>
        </w:tc>
        <w:tc>
          <w:tcPr>
            <w:tcW w:w="1318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93.48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vMerge w:val="restart"/>
            <w:noWrap/>
            <w:vAlign w:val="center"/>
          </w:tcPr>
          <w:p w:rsidR="00125F8B" w:rsidRDefault="00125F8B" w:rsidP="00FC29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125F8B" w:rsidTr="00FC2929">
        <w:trPr>
          <w:trHeight w:val="624"/>
        </w:trPr>
        <w:tc>
          <w:tcPr>
            <w:tcW w:w="1392" w:type="dxa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125F8B" w:rsidTr="00FC2929">
        <w:trPr>
          <w:trHeight w:val="624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Pr="00CD4AED" w:rsidRDefault="00CD4AED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D4AE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0.0288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Pr="00CD4AED" w:rsidRDefault="00CD4AED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D4AE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0.0288</w:t>
            </w:r>
          </w:p>
        </w:tc>
        <w:tc>
          <w:tcPr>
            <w:tcW w:w="175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Pr="00CD4AED" w:rsidRDefault="00CD4AED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D4AE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0.0288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Pr="00CD4AED" w:rsidRDefault="00CD4AED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D4AE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0.0288</w:t>
            </w:r>
          </w:p>
        </w:tc>
        <w:tc>
          <w:tcPr>
            <w:tcW w:w="175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vMerge w:val="restart"/>
            <w:noWrap/>
            <w:vAlign w:val="center"/>
          </w:tcPr>
          <w:p w:rsidR="00125F8B" w:rsidRDefault="00125F8B" w:rsidP="00FC29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125F8B" w:rsidTr="00FC2929">
        <w:trPr>
          <w:trHeight w:val="624"/>
        </w:trPr>
        <w:tc>
          <w:tcPr>
            <w:tcW w:w="1392" w:type="dxa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337.67</w:t>
            </w: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337.67</w:t>
            </w:r>
          </w:p>
        </w:tc>
        <w:tc>
          <w:tcPr>
            <w:tcW w:w="3118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337.67</w:t>
            </w: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337.67</w:t>
            </w:r>
          </w:p>
        </w:tc>
        <w:tc>
          <w:tcPr>
            <w:tcW w:w="3118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24"/>
        </w:trPr>
        <w:tc>
          <w:tcPr>
            <w:tcW w:w="1392" w:type="dxa"/>
            <w:noWrap/>
            <w:vAlign w:val="center"/>
          </w:tcPr>
          <w:p w:rsidR="00125F8B" w:rsidRDefault="00125F8B" w:rsidP="00FC292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567"/>
        </w:trPr>
        <w:tc>
          <w:tcPr>
            <w:tcW w:w="10237" w:type="dxa"/>
            <w:gridSpan w:val="18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125F8B" w:rsidTr="00FC2929">
        <w:trPr>
          <w:trHeight w:val="567"/>
        </w:trPr>
        <w:tc>
          <w:tcPr>
            <w:tcW w:w="1441" w:type="dxa"/>
            <w:gridSpan w:val="2"/>
            <w:vMerge w:val="restart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125F8B" w:rsidTr="00FC2929">
        <w:trPr>
          <w:trHeight w:val="1473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76" w:type="dxa"/>
            <w:gridSpan w:val="7"/>
            <w:noWrap/>
            <w:vAlign w:val="center"/>
          </w:tcPr>
          <w:p w:rsidR="00CD4AED" w:rsidRDefault="00125F8B" w:rsidP="00CD4AED">
            <w:pPr>
              <w:autoSpaceDN w:val="0"/>
              <w:spacing w:line="400" w:lineRule="exact"/>
              <w:jc w:val="left"/>
              <w:textAlignment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目标1：</w:t>
            </w:r>
            <w:r w:rsidR="00CD4AED" w:rsidRPr="00CD4AED">
              <w:rPr>
                <w:rFonts w:ascii="仿宋_GB2312" w:eastAsia="仿宋_GB2312" w:hAnsi="仿宋_GB2312" w:cs="仿宋_GB2312" w:hint="eastAsia"/>
                <w:sz w:val="24"/>
              </w:rPr>
              <w:t>完成校园水电管网改造、学员宿舍改造、报告厅屋顶补漏等校园硬件设施建设</w:t>
            </w:r>
            <w:r w:rsidR="00CD4AED">
              <w:rPr>
                <w:rFonts w:hint="eastAsia"/>
              </w:rPr>
              <w:t>。</w:t>
            </w:r>
          </w:p>
          <w:p w:rsidR="00125F8B" w:rsidRDefault="00125F8B" w:rsidP="00CD4A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目标2：</w:t>
            </w:r>
            <w:r w:rsidR="00CD4AED" w:rsidRPr="00CD4AED">
              <w:rPr>
                <w:rFonts w:ascii="仿宋_GB2312" w:eastAsia="仿宋_GB2312" w:hAnsi="仿宋_GB2312" w:cs="仿宋_GB2312" w:hint="eastAsia"/>
                <w:sz w:val="24"/>
              </w:rPr>
              <w:t>举办主体班次、党的二十届三中全会精神轮训班等培训班次23期，培训各级党员干部4800多人次</w:t>
            </w:r>
            <w:r w:rsidR="00CD4AED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  <w:p w:rsidR="00CD4AED" w:rsidRPr="00CD4AED" w:rsidRDefault="00CD4AED" w:rsidP="00CD4AED">
            <w:pPr>
              <w:autoSpaceDN w:val="0"/>
              <w:spacing w:line="400" w:lineRule="exact"/>
              <w:jc w:val="left"/>
              <w:textAlignment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目标3：</w:t>
            </w:r>
            <w:r w:rsidRPr="00CD4AED">
              <w:rPr>
                <w:rFonts w:ascii="仿宋_GB2312" w:eastAsia="仿宋_GB2312" w:hAnsi="仿宋_GB2312" w:cs="仿宋_GB2312" w:hint="eastAsia"/>
                <w:sz w:val="24"/>
              </w:rPr>
              <w:t>综合运用多种教学方法，构建了“党的理论+党性教育+专业知识+履职能力+临湘经验”的特色课程体系。</w:t>
            </w:r>
          </w:p>
        </w:tc>
        <w:tc>
          <w:tcPr>
            <w:tcW w:w="4520" w:type="dxa"/>
            <w:gridSpan w:val="9"/>
            <w:noWrap/>
            <w:vAlign w:val="center"/>
          </w:tcPr>
          <w:p w:rsidR="00CD4AED" w:rsidRDefault="00CD4AED" w:rsidP="00CD4AED">
            <w:pPr>
              <w:autoSpaceDN w:val="0"/>
              <w:spacing w:line="400" w:lineRule="exact"/>
              <w:jc w:val="left"/>
              <w:textAlignment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目标1：</w:t>
            </w:r>
            <w:r w:rsidRPr="00CD4AED">
              <w:rPr>
                <w:rFonts w:ascii="仿宋_GB2312" w:eastAsia="仿宋_GB2312" w:hAnsi="仿宋_GB2312" w:cs="仿宋_GB2312" w:hint="eastAsia"/>
                <w:sz w:val="24"/>
              </w:rPr>
              <w:t>完成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了</w:t>
            </w:r>
            <w:r w:rsidRPr="00CD4AED">
              <w:rPr>
                <w:rFonts w:ascii="仿宋_GB2312" w:eastAsia="仿宋_GB2312" w:hAnsi="仿宋_GB2312" w:cs="仿宋_GB2312" w:hint="eastAsia"/>
                <w:sz w:val="24"/>
              </w:rPr>
              <w:t>校园水电管网改造、学员宿舍改造、报告厅屋顶补漏等校园硬件设施建设</w:t>
            </w:r>
            <w:r>
              <w:rPr>
                <w:rFonts w:hint="eastAsia"/>
              </w:rPr>
              <w:t>。</w:t>
            </w:r>
          </w:p>
          <w:p w:rsidR="00CD4AED" w:rsidRDefault="00CD4AED" w:rsidP="00CD4A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目标2：</w:t>
            </w:r>
            <w:r w:rsidRPr="00CD4AED">
              <w:rPr>
                <w:rFonts w:ascii="仿宋_GB2312" w:eastAsia="仿宋_GB2312" w:hAnsi="仿宋_GB2312" w:cs="仿宋_GB2312" w:hint="eastAsia"/>
                <w:sz w:val="24"/>
              </w:rPr>
              <w:t>举办主体班次、党的二十届三中全会精神轮训班等培训班次23期，培训各级党员干部4800多人次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  <w:p w:rsidR="00125F8B" w:rsidRDefault="00CD4AED" w:rsidP="000055CA">
            <w:pPr>
              <w:autoSpaceDN w:val="0"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目标3：</w:t>
            </w:r>
            <w:r w:rsidRPr="00CD4AED">
              <w:rPr>
                <w:rFonts w:ascii="仿宋_GB2312" w:eastAsia="仿宋_GB2312" w:hAnsi="仿宋_GB2312" w:cs="仿宋_GB2312" w:hint="eastAsia"/>
                <w:sz w:val="24"/>
              </w:rPr>
              <w:t>综合运用多种教学方法，构建了“党的理论+党性教育+专业知识+履职能力+临湘经验”的特色课程体系。</w:t>
            </w:r>
          </w:p>
        </w:tc>
      </w:tr>
      <w:tr w:rsidR="00125F8B" w:rsidTr="00FC2929">
        <w:trPr>
          <w:trHeight w:val="567"/>
        </w:trPr>
        <w:tc>
          <w:tcPr>
            <w:tcW w:w="1441" w:type="dxa"/>
            <w:gridSpan w:val="2"/>
            <w:vMerge w:val="restart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</w:t>
            </w:r>
          </w:p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培训合格率</w:t>
            </w: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≥98%</w:t>
            </w: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教学测评优良率</w:t>
            </w: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≥98%</w:t>
            </w: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CD4AED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课题验收通过率</w:t>
            </w: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CD4AED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≥98%</w:t>
            </w: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主体班培训人数</w:t>
            </w: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CD4AED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4800</w:t>
            </w:r>
            <w:r w:rsidR="00125F8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人次</w:t>
            </w:r>
          </w:p>
        </w:tc>
      </w:tr>
      <w:tr w:rsidR="00125F8B" w:rsidTr="00FC2929">
        <w:trPr>
          <w:trHeight w:val="461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到训率</w:t>
            </w:r>
            <w:proofErr w:type="gramEnd"/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≥98%</w:t>
            </w:r>
          </w:p>
        </w:tc>
      </w:tr>
      <w:tr w:rsidR="00125F8B" w:rsidTr="00FC2929">
        <w:trPr>
          <w:trHeight w:val="461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CD4AED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异地教学次数</w:t>
            </w: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CD4AED" w:rsidP="00CD4A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≥5次</w:t>
            </w: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093103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完成时间</w:t>
            </w: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093103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2024年12月31日前</w:t>
            </w: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093103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完成及时率</w:t>
            </w: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093103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≥98%</w:t>
            </w: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培训人均经费</w:t>
            </w: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≤100元/天</w:t>
            </w: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093103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率</w:t>
            </w: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093103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125F8B" w:rsidP="00093103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党员干部的</w:t>
            </w:r>
            <w:r w:rsidR="0009310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党性修养</w:t>
            </w: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得到了明显提升</w:t>
            </w: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454"/>
        </w:trPr>
        <w:tc>
          <w:tcPr>
            <w:tcW w:w="1441" w:type="dxa"/>
            <w:gridSpan w:val="2"/>
            <w:vMerge/>
            <w:noWrap/>
            <w:vAlign w:val="center"/>
          </w:tcPr>
          <w:p w:rsidR="00125F8B" w:rsidRDefault="00125F8B" w:rsidP="00FC2929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学员满意度</w:t>
            </w:r>
          </w:p>
        </w:tc>
        <w:tc>
          <w:tcPr>
            <w:tcW w:w="3121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≥99%</w:t>
            </w:r>
          </w:p>
        </w:tc>
      </w:tr>
      <w:tr w:rsidR="00125F8B" w:rsidTr="00FC2929">
        <w:trPr>
          <w:trHeight w:val="567"/>
        </w:trPr>
        <w:tc>
          <w:tcPr>
            <w:tcW w:w="2990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99</w:t>
            </w:r>
          </w:p>
        </w:tc>
      </w:tr>
      <w:tr w:rsidR="00125F8B" w:rsidTr="00FC2929">
        <w:trPr>
          <w:trHeight w:val="567"/>
        </w:trPr>
        <w:tc>
          <w:tcPr>
            <w:tcW w:w="2990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80"/>
        </w:trPr>
        <w:tc>
          <w:tcPr>
            <w:tcW w:w="10237" w:type="dxa"/>
            <w:gridSpan w:val="18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125F8B" w:rsidTr="00FC2929">
        <w:trPr>
          <w:trHeight w:val="567"/>
        </w:trPr>
        <w:tc>
          <w:tcPr>
            <w:tcW w:w="191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  字</w:t>
            </w:r>
          </w:p>
        </w:tc>
      </w:tr>
      <w:tr w:rsidR="00125F8B" w:rsidTr="00FC2929">
        <w:trPr>
          <w:trHeight w:val="680"/>
        </w:trPr>
        <w:tc>
          <w:tcPr>
            <w:tcW w:w="191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陈凌</w:t>
            </w:r>
            <w:proofErr w:type="gramEnd"/>
          </w:p>
        </w:tc>
        <w:tc>
          <w:tcPr>
            <w:tcW w:w="3799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校长</w:t>
            </w:r>
          </w:p>
        </w:tc>
        <w:tc>
          <w:tcPr>
            <w:tcW w:w="279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中共临湘市委党校</w:t>
            </w:r>
          </w:p>
        </w:tc>
        <w:tc>
          <w:tcPr>
            <w:tcW w:w="172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80"/>
        </w:trPr>
        <w:tc>
          <w:tcPr>
            <w:tcW w:w="191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丁红琴</w:t>
            </w:r>
            <w:proofErr w:type="gramEnd"/>
          </w:p>
        </w:tc>
        <w:tc>
          <w:tcPr>
            <w:tcW w:w="3799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财务</w:t>
            </w:r>
          </w:p>
        </w:tc>
        <w:tc>
          <w:tcPr>
            <w:tcW w:w="279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中共临湘市委党校</w:t>
            </w:r>
          </w:p>
        </w:tc>
        <w:tc>
          <w:tcPr>
            <w:tcW w:w="172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80"/>
        </w:trPr>
        <w:tc>
          <w:tcPr>
            <w:tcW w:w="191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680"/>
        </w:trPr>
        <w:tc>
          <w:tcPr>
            <w:tcW w:w="1918" w:type="dxa"/>
            <w:gridSpan w:val="3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5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4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25F8B" w:rsidTr="00FC2929">
        <w:trPr>
          <w:trHeight w:val="2327"/>
        </w:trPr>
        <w:tc>
          <w:tcPr>
            <w:tcW w:w="10237" w:type="dxa"/>
            <w:gridSpan w:val="18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组长（签字）：</w:t>
            </w: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:rsidR="00125F8B" w:rsidTr="00FC2929">
        <w:trPr>
          <w:trHeight w:val="2484"/>
        </w:trPr>
        <w:tc>
          <w:tcPr>
            <w:tcW w:w="10237" w:type="dxa"/>
            <w:gridSpan w:val="18"/>
            <w:noWrap/>
            <w:vAlign w:val="center"/>
          </w:tcPr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:rsidR="00125F8B" w:rsidTr="00FC2929">
        <w:trPr>
          <w:trHeight w:val="2766"/>
        </w:trPr>
        <w:tc>
          <w:tcPr>
            <w:tcW w:w="10237" w:type="dxa"/>
            <w:gridSpan w:val="18"/>
            <w:noWrap/>
            <w:vAlign w:val="center"/>
          </w:tcPr>
          <w:p w:rsidR="00125F8B" w:rsidRDefault="00125F8B" w:rsidP="00FC292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财政部门归口业务科室意见：</w:t>
            </w:r>
          </w:p>
          <w:p w:rsidR="00125F8B" w:rsidRDefault="00125F8B" w:rsidP="00FC2929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25F8B" w:rsidRDefault="00125F8B" w:rsidP="00FC2929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25F8B" w:rsidRDefault="00125F8B" w:rsidP="00FC2929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25F8B" w:rsidRDefault="00125F8B" w:rsidP="00FC292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125F8B" w:rsidRDefault="00125F8B" w:rsidP="00FC292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25F8B" w:rsidRDefault="00125F8B" w:rsidP="00125F8B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proofErr w:type="gramStart"/>
      <w:r>
        <w:rPr>
          <w:rFonts w:eastAsia="仿宋_GB2312" w:cs="仿宋_GB2312" w:hint="eastAsia"/>
          <w:bCs/>
          <w:sz w:val="28"/>
          <w:szCs w:val="28"/>
        </w:rPr>
        <w:t>丁红琴</w:t>
      </w:r>
      <w:proofErr w:type="gramEnd"/>
      <w:r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15115015500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22"/>
      </w:tblGrid>
      <w:tr w:rsidR="00125F8B" w:rsidTr="00FC2929">
        <w:trPr>
          <w:trHeight w:val="12998"/>
        </w:trPr>
        <w:tc>
          <w:tcPr>
            <w:tcW w:w="10422" w:type="dxa"/>
            <w:noWrap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22"/>
            </w:tblGrid>
            <w:tr w:rsidR="00125F8B" w:rsidTr="00FC2929">
              <w:trPr>
                <w:trHeight w:val="12998"/>
              </w:trPr>
              <w:tc>
                <w:tcPr>
                  <w:tcW w:w="10422" w:type="dxa"/>
                  <w:noWrap/>
                </w:tcPr>
                <w:p w:rsidR="00125F8B" w:rsidRDefault="00125F8B" w:rsidP="00FC2929">
                  <w:pPr>
                    <w:jc w:val="center"/>
                    <w:rPr>
                      <w:rFonts w:ascii="黑体" w:eastAsia="黑体" w:hAnsi="黑体" w:cs="黑体"/>
                      <w:sz w:val="44"/>
                      <w:szCs w:val="44"/>
                    </w:rPr>
                  </w:pPr>
                  <w:r>
                    <w:rPr>
                      <w:rFonts w:ascii="黑体" w:eastAsia="黑体" w:hAnsi="黑体" w:cs="黑体" w:hint="eastAsia"/>
                      <w:sz w:val="44"/>
                      <w:szCs w:val="44"/>
                    </w:rPr>
                    <w:lastRenderedPageBreak/>
                    <w:t>临湘市委党校</w:t>
                  </w:r>
                </w:p>
                <w:p w:rsidR="00125F8B" w:rsidRDefault="00125F8B" w:rsidP="00FC2929">
                  <w:pPr>
                    <w:jc w:val="center"/>
                    <w:rPr>
                      <w:rFonts w:ascii="黑体" w:eastAsia="黑体" w:hAnsi="黑体" w:cs="黑体"/>
                      <w:sz w:val="44"/>
                      <w:szCs w:val="44"/>
                    </w:rPr>
                  </w:pPr>
                  <w:r>
                    <w:rPr>
                      <w:rFonts w:ascii="黑体" w:eastAsia="黑体" w:hAnsi="黑体" w:cs="黑体" w:hint="eastAsia"/>
                      <w:sz w:val="44"/>
                      <w:szCs w:val="44"/>
                    </w:rPr>
                    <w:t>2024年度整体支出绩效评价自评报告</w:t>
                  </w:r>
                </w:p>
                <w:p w:rsidR="00125F8B" w:rsidRDefault="00125F8B" w:rsidP="00FC2929">
                  <w:pPr>
                    <w:ind w:firstLineChars="200" w:firstLine="550"/>
                    <w:rPr>
                      <w:rFonts w:ascii="宋体" w:hAnsi="宋体" w:cs="宋体"/>
                      <w:b/>
                      <w:bCs/>
                      <w:sz w:val="28"/>
                      <w:szCs w:val="28"/>
                    </w:rPr>
                  </w:pPr>
                  <w:bookmarkStart w:id="0" w:name="YS060101"/>
                  <w:r>
                    <w:rPr>
                      <w:rFonts w:ascii="宋体" w:hAnsi="宋体" w:cs="宋体" w:hint="eastAsia"/>
                      <w:b/>
                      <w:bCs/>
                      <w:sz w:val="28"/>
                      <w:szCs w:val="28"/>
                    </w:rPr>
                    <w:t>一、单位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bCs/>
                      <w:sz w:val="28"/>
                      <w:szCs w:val="28"/>
                    </w:rPr>
                    <w:t>慨况</w:t>
                  </w:r>
                  <w:proofErr w:type="gramEnd"/>
                </w:p>
                <w:bookmarkEnd w:id="0"/>
                <w:p w:rsidR="00125F8B" w:rsidRDefault="00125F8B" w:rsidP="00FC2929">
                  <w:pPr>
                    <w:ind w:firstLineChars="200" w:firstLine="550"/>
                    <w:rPr>
                      <w:rFonts w:ascii="仿宋" w:eastAsia="仿宋" w:hAnsi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8"/>
                      <w:szCs w:val="28"/>
                    </w:rPr>
                    <w:t>（一）基本情况</w:t>
                  </w:r>
                </w:p>
                <w:p w:rsidR="00125F8B" w:rsidRDefault="00125F8B" w:rsidP="00FC2929">
                  <w:pPr>
                    <w:keepNext/>
                    <w:keepLines/>
                    <w:ind w:firstLine="640"/>
                    <w:rPr>
                      <w:rFonts w:ascii="仿宋" w:eastAsia="仿宋" w:hAnsi="仿宋" w:cs="仿宋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1．主要职能。</w:t>
                  </w:r>
                  <w:r>
                    <w:rPr>
                      <w:rFonts w:ascii="仿宋" w:eastAsia="仿宋" w:hAnsi="仿宋" w:cs="仿宋" w:hint="eastAsia"/>
                      <w:sz w:val="28"/>
                      <w:szCs w:val="28"/>
                      <w:lang w:val="zh-CN"/>
                    </w:rPr>
                    <w:t>我校是中国共产党对党员和党员干部进行培训、教育的学校。其任务是，通过有计划地培训，提高学员用马克思主义立场、观点、方法观察和处理问题的能力；结合新的形势，提高学员的政治思想观念和科学文化水平，增强党性，进一步发挥先锋模范作用。我校还承担着党的建设理论的研究，以及对党组织和党员状况的调查研究等任务。我们同时还承担对入党积极分子的培训工作，党校基本是每位党员必须经历的一个培训场所。</w:t>
                  </w:r>
                </w:p>
                <w:p w:rsidR="00125F8B" w:rsidRDefault="00125F8B" w:rsidP="00FC2929">
                  <w:pPr>
                    <w:keepNext/>
                    <w:keepLines/>
                    <w:ind w:firstLine="640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2．机构情况，包括当年变动情况及原因。现有</w:t>
                  </w:r>
                  <w:r>
                    <w:rPr>
                      <w:rFonts w:ascii="仿宋" w:eastAsia="仿宋" w:hAnsi="仿宋" w:cs="仿宋" w:hint="eastAsia"/>
                      <w:sz w:val="28"/>
                      <w:szCs w:val="28"/>
                      <w:lang w:val="zh-CN"/>
                    </w:rPr>
                    <w:t>办公室、教研室、后勤部、培训部</w:t>
                  </w: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四个部门，均按有关章程设置。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3．人员情况，包括当年变动情况及原因。现有干部职工18人，其中：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参公编制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4人、全额事业编制14人、退休人员13人。</w:t>
                  </w:r>
                </w:p>
                <w:p w:rsidR="00125F8B" w:rsidRDefault="00125F8B" w:rsidP="00FC2929">
                  <w:pPr>
                    <w:ind w:firstLineChars="200" w:firstLine="550"/>
                    <w:rPr>
                      <w:rFonts w:ascii="仿宋" w:eastAsia="仿宋" w:hAnsi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8"/>
                      <w:szCs w:val="28"/>
                    </w:rPr>
                    <w:t>（二）整体支出情况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我单位2024年总支出为480.49万元，其中：基本支出为387.01万元，项目支出为93.48万元。基本支出387.01万元，其中：工资福利支出214.68万元，公用经费172.33万元。项目支出93.48万元。</w:t>
                  </w:r>
                </w:p>
                <w:p w:rsidR="00125F8B" w:rsidRDefault="00125F8B" w:rsidP="00FC2929">
                  <w:pPr>
                    <w:ind w:firstLineChars="200" w:firstLine="550"/>
                    <w:rPr>
                      <w:rFonts w:ascii="宋体" w:hAnsi="宋体" w:cs="宋体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8"/>
                      <w:szCs w:val="28"/>
                    </w:rPr>
                    <w:t>二、单位整体支出管理及使用情况</w:t>
                  </w:r>
                </w:p>
                <w:p w:rsidR="00125F8B" w:rsidRDefault="00125F8B" w:rsidP="00FC2929">
                  <w:pPr>
                    <w:ind w:firstLineChars="200" w:firstLine="550"/>
                    <w:rPr>
                      <w:rFonts w:ascii="仿宋" w:eastAsia="仿宋" w:hAnsi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8"/>
                      <w:szCs w:val="28"/>
                    </w:rPr>
                    <w:t>（一）、2024年度预算基本支出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收入预算，年初预算数246.42万元，其中：一般公共预算拨款246.42万元。</w:t>
                  </w:r>
                </w:p>
                <w:p w:rsidR="00125F8B" w:rsidRDefault="00125F8B" w:rsidP="00FC2929">
                  <w:pPr>
                    <w:ind w:firstLineChars="200" w:firstLine="550"/>
                    <w:rPr>
                      <w:rFonts w:ascii="仿宋" w:eastAsia="仿宋" w:hAnsi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8"/>
                      <w:szCs w:val="28"/>
                    </w:rPr>
                    <w:t>（二）2024年度收支决算情况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lastRenderedPageBreak/>
                    <w:t>1、2024年度收入决算情况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2024年度总收入480.49万元，其中：一般公共预算拨款收入315.44万元，其他收入165.05万元。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2、2024年度支出结算情况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2024年度总支出为480.49万元，其中基本支出为387.01万元，项目支出为93.48万元。基本支出387.01万元，其中：人员支出214.68万元，公用经费172.33万元。项目支出93.48万元。</w:t>
                  </w:r>
                </w:p>
                <w:p w:rsidR="00125F8B" w:rsidRDefault="00125F8B" w:rsidP="00FC2929">
                  <w:pPr>
                    <w:ind w:firstLineChars="200" w:firstLine="550"/>
                    <w:rPr>
                      <w:rFonts w:ascii="仿宋" w:eastAsia="仿宋" w:hAnsi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8"/>
                      <w:szCs w:val="28"/>
                    </w:rPr>
                    <w:t>（三）、基本支出使用管理情况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基本支出是用于为保障机构正常运转，完成日常工作任务而产生的支出，包括人员经费和公用经费。2024年本单位人员经费214.68万元，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占基本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支出的55.47%，公用经费支出172.33万元，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占基本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支出的44.53%。</w:t>
                  </w:r>
                </w:p>
                <w:p w:rsidR="00125F8B" w:rsidRDefault="00125F8B" w:rsidP="00FC2929">
                  <w:pPr>
                    <w:ind w:firstLineChars="200" w:firstLine="550"/>
                    <w:rPr>
                      <w:rFonts w:ascii="仿宋" w:eastAsia="仿宋" w:hAnsi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8"/>
                      <w:szCs w:val="28"/>
                    </w:rPr>
                    <w:t>（四）、项目支出使用管理情况</w:t>
                  </w:r>
                </w:p>
                <w:p w:rsidR="00125F8B" w:rsidRDefault="00125F8B" w:rsidP="00093103">
                  <w:pPr>
                    <w:pStyle w:val="a4"/>
                    <w:widowControl/>
                    <w:spacing w:before="0" w:beforeAutospacing="0" w:after="0" w:afterAutospacing="0" w:line="33" w:lineRule="atLeast"/>
                    <w:ind w:firstLineChars="203" w:firstLine="556"/>
                    <w:jc w:val="both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项目支出93.48万元，其中：干部培训83.34万元是用于通过有计划地培训，提高学员用马克思主义立场、观点、方法观察和处理问题的能力；结合新的形势，提高学员的政治思想观念和科学文化水平，增强党性，进一步发挥先锋模范作用；培训支出10.14万元是用于对入党积极分子等的培训工作。</w:t>
                  </w:r>
                </w:p>
                <w:p w:rsidR="00125F8B" w:rsidRDefault="00125F8B" w:rsidP="00FC2929">
                  <w:pPr>
                    <w:ind w:firstLineChars="200" w:firstLine="550"/>
                    <w:rPr>
                      <w:rFonts w:ascii="仿宋" w:eastAsia="仿宋" w:hAnsi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8"/>
                      <w:szCs w:val="28"/>
                    </w:rPr>
                    <w:t>（五）、“三公”经费使用管理情况</w:t>
                  </w:r>
                </w:p>
                <w:p w:rsidR="00125F8B" w:rsidRPr="00093103" w:rsidRDefault="00125F8B" w:rsidP="00093103">
                  <w:pPr>
                    <w:ind w:firstLineChars="200" w:firstLine="548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  <w:r w:rsidRPr="00093103">
                    <w:rPr>
                      <w:rFonts w:ascii="仿宋" w:eastAsia="仿宋" w:hAnsi="仿宋" w:cs="仿宋" w:hint="eastAsia"/>
                      <w:kern w:val="0"/>
                      <w:sz w:val="28"/>
                      <w:szCs w:val="28"/>
                    </w:rPr>
                    <w:t>三公</w:t>
                  </w:r>
                  <w:proofErr w:type="gramStart"/>
                  <w:r w:rsidRPr="00093103">
                    <w:rPr>
                      <w:rFonts w:ascii="仿宋" w:eastAsia="仿宋" w:hAnsi="仿宋" w:cs="仿宋" w:hint="eastAsia"/>
                      <w:kern w:val="0"/>
                      <w:sz w:val="28"/>
                      <w:szCs w:val="28"/>
                    </w:rPr>
                    <w:t>”</w:t>
                  </w:r>
                  <w:proofErr w:type="gramEnd"/>
                  <w:r w:rsidRPr="00093103">
                    <w:rPr>
                      <w:rFonts w:ascii="仿宋" w:eastAsia="仿宋" w:hAnsi="仿宋" w:cs="仿宋" w:hint="eastAsia"/>
                      <w:kern w:val="0"/>
                      <w:sz w:val="28"/>
                      <w:szCs w:val="28"/>
                    </w:rPr>
                    <w:t>经费支出情况：主要是公务接待支出，本年度支出0.</w:t>
                  </w:r>
                  <w:r w:rsidR="00093103" w:rsidRPr="00093103">
                    <w:rPr>
                      <w:rFonts w:ascii="仿宋" w:eastAsia="仿宋" w:hAnsi="仿宋" w:cs="仿宋" w:hint="eastAsia"/>
                      <w:kern w:val="0"/>
                      <w:sz w:val="28"/>
                      <w:szCs w:val="28"/>
                    </w:rPr>
                    <w:t>0288</w:t>
                  </w:r>
                  <w:r w:rsidRPr="00093103">
                    <w:rPr>
                      <w:rFonts w:ascii="仿宋" w:eastAsia="仿宋" w:hAnsi="仿宋" w:cs="仿宋" w:hint="eastAsia"/>
                      <w:kern w:val="0"/>
                      <w:sz w:val="28"/>
                      <w:szCs w:val="28"/>
                    </w:rPr>
                    <w:t>万元，较上年度支出减少</w:t>
                  </w:r>
                  <w:r w:rsidR="00093103" w:rsidRPr="00093103">
                    <w:rPr>
                      <w:rFonts w:ascii="仿宋" w:eastAsia="仿宋" w:hAnsi="仿宋" w:cs="仿宋" w:hint="eastAsia"/>
                      <w:kern w:val="0"/>
                      <w:sz w:val="28"/>
                      <w:szCs w:val="28"/>
                    </w:rPr>
                    <w:t>0.76</w:t>
                  </w:r>
                  <w:r w:rsidRPr="00093103">
                    <w:rPr>
                      <w:rFonts w:ascii="仿宋" w:eastAsia="仿宋" w:hAnsi="仿宋" w:cs="仿宋" w:hint="eastAsia"/>
                      <w:kern w:val="0"/>
                      <w:sz w:val="28"/>
                      <w:szCs w:val="28"/>
                    </w:rPr>
                    <w:t>万元，主要是单位厉行节约，严控三公经费。</w:t>
                  </w:r>
                </w:p>
                <w:p w:rsidR="00125F8B" w:rsidRDefault="00125F8B" w:rsidP="00FC2929">
                  <w:pPr>
                    <w:ind w:firstLineChars="200" w:firstLine="550"/>
                    <w:rPr>
                      <w:rFonts w:ascii="仿宋" w:eastAsia="仿宋" w:hAnsi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8"/>
                      <w:szCs w:val="28"/>
                    </w:rPr>
                    <w:t>（六）、资产管理情况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我们修订了资产管理制度，对单位公共财产物资实行统一管理、统一调配，并按使用人</w:t>
                  </w:r>
                  <w:r w:rsidR="00093103"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建</w:t>
                  </w: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立了资产动物管理台账，实行使用、保管登记制度，对单位固定资产统一采</w:t>
                  </w: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lastRenderedPageBreak/>
                    <w:t>购、多人经办，根据各部门需求制订采购计划，实行多人经办、“货比三家”，并按政府采购程序和有关规定加强采购手续。年底对财产进行清查、盘点核对、处理。对取得的资产及时进行会计核算。2024年底资产共计337.67万元，其中非流动资产337.67万元。</w:t>
                  </w:r>
                </w:p>
                <w:p w:rsidR="00125F8B" w:rsidRDefault="00125F8B" w:rsidP="00FC2929">
                  <w:pPr>
                    <w:ind w:firstLineChars="200" w:firstLine="550"/>
                    <w:rPr>
                      <w:rFonts w:ascii="宋体" w:hAnsi="宋体" w:cs="宋体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8"/>
                      <w:szCs w:val="28"/>
                    </w:rPr>
                    <w:t>三、单位整体支出绩效情况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2024年，我单位积极履职，强化管理，较好地完成了年度工作目标。通过加强预算收支管理，不断建立健全内部管理制度，梳理内部管理流程，部门整体支出管理水平得到提升。</w:t>
                  </w:r>
                </w:p>
                <w:p w:rsidR="00125F8B" w:rsidRDefault="00125F8B" w:rsidP="00FC2929">
                  <w:pPr>
                    <w:ind w:firstLineChars="200" w:firstLine="550"/>
                    <w:rPr>
                      <w:rFonts w:ascii="宋体" w:hAnsi="宋体" w:cs="宋体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8"/>
                      <w:szCs w:val="28"/>
                    </w:rPr>
                    <w:t>四、存在的问题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1、预算编制工作有待细化。预算编制不够明确和细化，预算编制的合理性需要提高，预算执行力度还要进一步加强。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2、因单位纳入年初财政预算只有人员经费及项目支出，办公经费及其他支出等未纳入财政预算，加之公用经费控制有一定难度，基本为刚性支出，导致经费不足:日常公用经费不足、与实际支出相差较大。</w:t>
                  </w:r>
                </w:p>
                <w:p w:rsidR="00125F8B" w:rsidRDefault="00125F8B" w:rsidP="00FC2929">
                  <w:pPr>
                    <w:ind w:firstLineChars="200" w:firstLine="550"/>
                    <w:rPr>
                      <w:rFonts w:ascii="宋体" w:hAnsi="宋体" w:cs="宋体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8"/>
                      <w:szCs w:val="28"/>
                    </w:rPr>
                    <w:t>五、改进措施和有关建议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针对上述存在的问题及对外整体支出管理工作的需要，拟实施的改进措施如下: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1、细化预算编制工作，认真做好预算的编制。进一步加强单位内部预算管理意识，严格按照预算编制的相关制度和要求进行预算编制。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2、加强财务管理，严格财务审核。加强单位财务管理，健全单位财务管理制度体系，规范单位财务行为。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3、完善资产管理，抓好“三公”经费控制。严格编制政府采购年初预算和计划，规范各类资产的购置审批制度。严格控制“三公”经费的规模和比例，把关“三公”</w:t>
                  </w: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lastRenderedPageBreak/>
                    <w:t>经费支出的审核、审批，杜绝挪用和挤占其他预算资金行为;进一步细化“三公”经费的管理，合理压缩“三公”经费支出。</w:t>
                  </w:r>
                </w:p>
                <w:p w:rsidR="00125F8B" w:rsidRDefault="00125F8B" w:rsidP="00FC2929">
                  <w:pPr>
                    <w:ind w:firstLineChars="200" w:firstLine="548"/>
                    <w:rPr>
                      <w:rFonts w:ascii="宋体" w:hAnsi="宋体" w:cs="宋体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4、对相关人员加强培训，特别是针对《</w:t>
                  </w:r>
                  <w:bookmarkStart w:id="1" w:name="_GoBack"/>
                  <w:bookmarkEnd w:id="1"/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预算法》《行政事业单位会计制度》等学习培训，规范部门预算收支核算，切实提高部门预算收支管理水平。</w:t>
                  </w:r>
                </w:p>
                <w:p w:rsidR="00125F8B" w:rsidRDefault="00125F8B" w:rsidP="00FC2929">
                  <w:pPr>
                    <w:rPr>
                      <w:rFonts w:eastAsia="楷体_GB2312"/>
                      <w:bCs/>
                      <w:sz w:val="28"/>
                      <w:szCs w:val="28"/>
                    </w:rPr>
                  </w:pPr>
                </w:p>
                <w:p w:rsidR="00125F8B" w:rsidRDefault="00125F8B" w:rsidP="00FC2929">
                  <w:pPr>
                    <w:rPr>
                      <w:rFonts w:eastAsia="楷体_GB2312"/>
                      <w:bCs/>
                      <w:sz w:val="28"/>
                      <w:szCs w:val="28"/>
                    </w:rPr>
                  </w:pPr>
                </w:p>
                <w:p w:rsidR="00125F8B" w:rsidRDefault="00125F8B" w:rsidP="00FC2929">
                  <w:pPr>
                    <w:rPr>
                      <w:rFonts w:eastAsia="楷体_GB2312"/>
                      <w:bCs/>
                      <w:sz w:val="28"/>
                      <w:szCs w:val="28"/>
                    </w:rPr>
                  </w:pPr>
                </w:p>
                <w:p w:rsidR="00125F8B" w:rsidRDefault="00125F8B" w:rsidP="00125F8B">
                  <w:pPr>
                    <w:ind w:firstLineChars="2400" w:firstLine="6579"/>
                    <w:rPr>
                      <w:rFonts w:eastAsia="楷体_GB2312"/>
                      <w:bCs/>
                      <w:sz w:val="28"/>
                      <w:szCs w:val="28"/>
                    </w:rPr>
                  </w:pPr>
                  <w:r>
                    <w:rPr>
                      <w:rFonts w:eastAsia="楷体_GB2312" w:hint="eastAsia"/>
                      <w:bCs/>
                      <w:sz w:val="28"/>
                      <w:szCs w:val="28"/>
                    </w:rPr>
                    <w:t>2025</w:t>
                  </w:r>
                  <w:r>
                    <w:rPr>
                      <w:rFonts w:eastAsia="楷体_GB2312" w:hint="eastAsia"/>
                      <w:bCs/>
                      <w:sz w:val="28"/>
                      <w:szCs w:val="28"/>
                    </w:rPr>
                    <w:t>年</w:t>
                  </w:r>
                  <w:r>
                    <w:rPr>
                      <w:rFonts w:eastAsia="楷体_GB2312" w:hint="eastAsia"/>
                      <w:bCs/>
                      <w:sz w:val="28"/>
                      <w:szCs w:val="28"/>
                    </w:rPr>
                    <w:t>6</w:t>
                  </w:r>
                  <w:r>
                    <w:rPr>
                      <w:rFonts w:eastAsia="楷体_GB2312" w:hint="eastAsia"/>
                      <w:bCs/>
                      <w:sz w:val="28"/>
                      <w:szCs w:val="28"/>
                    </w:rPr>
                    <w:t>月</w:t>
                  </w:r>
                  <w:r>
                    <w:rPr>
                      <w:rFonts w:eastAsia="楷体_GB2312" w:hint="eastAsia"/>
                      <w:bCs/>
                      <w:sz w:val="28"/>
                      <w:szCs w:val="28"/>
                    </w:rPr>
                    <w:t>10</w:t>
                  </w:r>
                  <w:r>
                    <w:rPr>
                      <w:rFonts w:eastAsia="楷体_GB2312" w:hint="eastAsia"/>
                      <w:bCs/>
                      <w:sz w:val="28"/>
                      <w:szCs w:val="28"/>
                    </w:rPr>
                    <w:t>日</w:t>
                  </w:r>
                </w:p>
              </w:tc>
            </w:tr>
          </w:tbl>
          <w:p w:rsidR="00125F8B" w:rsidRDefault="00125F8B" w:rsidP="00FC2929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AC3550" w:rsidRDefault="004E7F09"/>
    <w:sectPr w:rsidR="00AC3550" w:rsidSect="008C0FDC">
      <w:footerReference w:type="default" r:id="rId7"/>
      <w:pgSz w:w="11906" w:h="16838"/>
      <w:pgMar w:top="1587" w:right="850" w:bottom="1587" w:left="850" w:header="851" w:footer="850" w:gutter="0"/>
      <w:pgNumType w:fmt="numberInDash" w:start="8"/>
      <w:cols w:space="720"/>
      <w:docGrid w:type="linesAndChars" w:linePitch="602" w:charSpace="-12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72F" w:rsidRDefault="009E272F" w:rsidP="009E272F">
      <w:r>
        <w:separator/>
      </w:r>
    </w:p>
  </w:endnote>
  <w:endnote w:type="continuationSeparator" w:id="1">
    <w:p w:rsidR="009E272F" w:rsidRDefault="009E272F" w:rsidP="009E2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DC" w:rsidRDefault="00586E93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125F8B">
      <w:rPr>
        <w:rStyle w:val="a5"/>
      </w:rPr>
      <w:instrText xml:space="preserve">PAGE  </w:instrText>
    </w:r>
    <w:r>
      <w:fldChar w:fldCharType="separate"/>
    </w:r>
    <w:r w:rsidR="00125F8B">
      <w:rPr>
        <w:rStyle w:val="a5"/>
      </w:rPr>
      <w:t>- 15 -</w:t>
    </w:r>
    <w:r>
      <w:fldChar w:fldCharType="end"/>
    </w:r>
  </w:p>
  <w:p w:rsidR="008C0FDC" w:rsidRDefault="004E7F0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DC" w:rsidRDefault="004E7F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72F" w:rsidRDefault="009E272F" w:rsidP="009E272F">
      <w:r>
        <w:separator/>
      </w:r>
    </w:p>
  </w:footnote>
  <w:footnote w:type="continuationSeparator" w:id="1">
    <w:p w:rsidR="009E272F" w:rsidRDefault="009E272F" w:rsidP="009E27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F8B"/>
    <w:rsid w:val="000055CA"/>
    <w:rsid w:val="00006496"/>
    <w:rsid w:val="00093103"/>
    <w:rsid w:val="00125F8B"/>
    <w:rsid w:val="001275E6"/>
    <w:rsid w:val="002950B2"/>
    <w:rsid w:val="00336487"/>
    <w:rsid w:val="00425071"/>
    <w:rsid w:val="004E7F09"/>
    <w:rsid w:val="0052589B"/>
    <w:rsid w:val="00586E93"/>
    <w:rsid w:val="006317AF"/>
    <w:rsid w:val="0095675E"/>
    <w:rsid w:val="009E272F"/>
    <w:rsid w:val="00A50510"/>
    <w:rsid w:val="00A6579B"/>
    <w:rsid w:val="00B033E9"/>
    <w:rsid w:val="00CB77BA"/>
    <w:rsid w:val="00CD4AED"/>
    <w:rsid w:val="00DA5DF4"/>
    <w:rsid w:val="00E16B07"/>
    <w:rsid w:val="00F46EFF"/>
    <w:rsid w:val="00F5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rsid w:val="00125F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5F8B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125F8B"/>
    <w:rPr>
      <w:rFonts w:ascii="Times New Roman" w:eastAsia="黑体" w:hAnsi="Times New Roman" w:cs="Times New Roman"/>
      <w:snapToGrid w:val="0"/>
      <w:kern w:val="0"/>
      <w:sz w:val="18"/>
      <w:szCs w:val="18"/>
    </w:rPr>
  </w:style>
  <w:style w:type="paragraph" w:styleId="a4">
    <w:name w:val="Normal (Web)"/>
    <w:basedOn w:val="a"/>
    <w:qFormat/>
    <w:rsid w:val="00125F8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page number"/>
    <w:basedOn w:val="a0"/>
    <w:qFormat/>
    <w:rsid w:val="00125F8B"/>
    <w:rPr>
      <w:rFonts w:ascii="Times New Roman" w:eastAsia="宋体" w:hAnsi="Times New Roman" w:cs="Times New Roman"/>
    </w:rPr>
  </w:style>
  <w:style w:type="paragraph" w:styleId="a6">
    <w:name w:val="Body Text Indent"/>
    <w:basedOn w:val="a"/>
    <w:link w:val="Char0"/>
    <w:uiPriority w:val="99"/>
    <w:semiHidden/>
    <w:unhideWhenUsed/>
    <w:rsid w:val="00125F8B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6"/>
    <w:uiPriority w:val="99"/>
    <w:semiHidden/>
    <w:rsid w:val="00125F8B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125F8B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125F8B"/>
  </w:style>
  <w:style w:type="paragraph" w:styleId="a7">
    <w:name w:val="header"/>
    <w:basedOn w:val="a"/>
    <w:link w:val="Char1"/>
    <w:uiPriority w:val="99"/>
    <w:semiHidden/>
    <w:unhideWhenUsed/>
    <w:rsid w:val="00CD4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CD4A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602008002</dc:creator>
  <cp:lastModifiedBy>602008002</cp:lastModifiedBy>
  <cp:revision>3</cp:revision>
  <dcterms:created xsi:type="dcterms:W3CDTF">2025-06-06T08:08:00Z</dcterms:created>
  <dcterms:modified xsi:type="dcterms:W3CDTF">2025-06-10T02:23:00Z</dcterms:modified>
</cp:coreProperties>
</file>