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DB90A">
      <w:pPr>
        <w:pageBreakBefore w:val="0"/>
        <w:kinsoku/>
        <w:wordWrap/>
        <w:overflowPunct/>
        <w:topLinePunct w:val="0"/>
        <w:bidi w:val="0"/>
        <w:snapToGrid/>
        <w:spacing w:line="560" w:lineRule="exact"/>
        <w:ind w:firstLine="5880" w:firstLineChars="2100"/>
        <w:jc w:val="both"/>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pPr>
    </w:p>
    <w:p w14:paraId="7E4E1523">
      <w:pPr>
        <w:pageBreakBefore w:val="0"/>
        <w:kinsoku/>
        <w:wordWrap/>
        <w:overflowPunct/>
        <w:topLinePunct w:val="0"/>
        <w:bidi w:val="0"/>
        <w:snapToGrid/>
        <w:spacing w:line="560" w:lineRule="exact"/>
        <w:ind w:firstLine="5880" w:firstLineChars="2100"/>
        <w:jc w:val="both"/>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pPr>
    </w:p>
    <w:p w14:paraId="4B6D7C4F">
      <w:pPr>
        <w:pageBreakBefore w:val="0"/>
        <w:kinsoku/>
        <w:wordWrap/>
        <w:overflowPunct/>
        <w:topLinePunct w:val="0"/>
        <w:bidi w:val="0"/>
        <w:snapToGrid/>
        <w:spacing w:line="560" w:lineRule="exact"/>
        <w:ind w:firstLine="5880" w:firstLineChars="2100"/>
        <w:jc w:val="both"/>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pPr>
    </w:p>
    <w:p w14:paraId="4DC7CA8D">
      <w:pPr>
        <w:pageBreakBefore w:val="0"/>
        <w:kinsoku/>
        <w:wordWrap/>
        <w:overflowPunct/>
        <w:topLinePunct w:val="0"/>
        <w:bidi w:val="0"/>
        <w:snapToGrid/>
        <w:spacing w:line="560" w:lineRule="exact"/>
        <w:ind w:firstLine="5880" w:firstLineChars="2100"/>
        <w:jc w:val="both"/>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pPr>
    </w:p>
    <w:p w14:paraId="4686299C">
      <w:pPr>
        <w:ind w:firstLine="0" w:firstLineChars="0"/>
        <w:jc w:val="right"/>
        <w:rPr>
          <w:rFonts w:hint="default" w:ascii="宋体" w:hAnsi="宋体" w:eastAsia="宋体" w:cs="宋体"/>
          <w:b/>
          <w:bCs/>
          <w:color w:val="auto"/>
          <w:kern w:val="2"/>
          <w:sz w:val="32"/>
          <w:szCs w:val="32"/>
          <w:highlight w:val="none"/>
          <w:lang w:val="en-US" w:eastAsia="zh-CN"/>
        </w:rPr>
      </w:pPr>
      <w:r>
        <w:rPr>
          <w:rFonts w:hint="default" w:ascii="宋体" w:hAnsi="宋体" w:eastAsia="宋体" w:cs="宋体"/>
          <w:b/>
          <w:bCs/>
          <w:color w:val="auto"/>
          <w:kern w:val="2"/>
          <w:sz w:val="32"/>
          <w:szCs w:val="32"/>
          <w:highlight w:val="none"/>
          <w:lang w:val="en-US" w:eastAsia="zh-CN"/>
        </w:rPr>
        <w:t>岳临环评〔2025〕</w:t>
      </w:r>
      <w:r>
        <w:rPr>
          <w:rFonts w:hint="eastAsia" w:ascii="宋体" w:hAnsi="宋体" w:eastAsia="宋体" w:cs="宋体"/>
          <w:b/>
          <w:bCs/>
          <w:color w:val="auto"/>
          <w:kern w:val="2"/>
          <w:sz w:val="32"/>
          <w:szCs w:val="32"/>
          <w:highlight w:val="none"/>
          <w:lang w:val="en-US" w:eastAsia="zh-CN"/>
        </w:rPr>
        <w:t>12</w:t>
      </w:r>
      <w:r>
        <w:rPr>
          <w:rFonts w:hint="default" w:ascii="宋体" w:hAnsi="宋体" w:eastAsia="宋体" w:cs="宋体"/>
          <w:b/>
          <w:bCs/>
          <w:color w:val="auto"/>
          <w:kern w:val="2"/>
          <w:sz w:val="32"/>
          <w:szCs w:val="32"/>
          <w:highlight w:val="none"/>
          <w:lang w:val="en-US" w:eastAsia="zh-CN"/>
        </w:rPr>
        <w:t>号</w:t>
      </w:r>
    </w:p>
    <w:p w14:paraId="3E1BA137">
      <w:pPr>
        <w:ind w:firstLine="0" w:firstLineChars="0"/>
        <w:jc w:val="center"/>
        <w:rPr>
          <w:rFonts w:hint="default" w:ascii="宋体" w:hAnsi="宋体" w:eastAsia="宋体" w:cs="宋体"/>
          <w:b/>
          <w:bCs/>
          <w:color w:val="auto"/>
          <w:kern w:val="2"/>
          <w:sz w:val="40"/>
          <w:szCs w:val="40"/>
          <w:highlight w:val="none"/>
          <w:lang w:val="en-US" w:eastAsia="zh-CN"/>
        </w:rPr>
      </w:pPr>
      <w:bookmarkStart w:id="0" w:name="_Hlk504140001"/>
      <w:r>
        <w:rPr>
          <w:rFonts w:hint="default" w:ascii="宋体" w:hAnsi="宋体" w:eastAsia="宋体" w:cs="宋体"/>
          <w:b/>
          <w:bCs/>
          <w:color w:val="auto"/>
          <w:kern w:val="2"/>
          <w:sz w:val="40"/>
          <w:szCs w:val="40"/>
          <w:highlight w:val="none"/>
          <w:lang w:val="en-US" w:eastAsia="zh-CN"/>
        </w:rPr>
        <w:t>关于</w:t>
      </w:r>
      <w:r>
        <w:rPr>
          <w:rFonts w:hint="eastAsia" w:ascii="宋体" w:hAnsi="宋体" w:eastAsia="宋体" w:cs="宋体"/>
          <w:b/>
          <w:bCs/>
          <w:color w:val="auto"/>
          <w:kern w:val="2"/>
          <w:sz w:val="40"/>
          <w:szCs w:val="40"/>
          <w:highlight w:val="none"/>
          <w:lang w:val="en-US" w:eastAsia="zh-CN"/>
        </w:rPr>
        <w:t>湖南欣荣高新材料股份有限公司年产10万吨烘干砂建设项目</w:t>
      </w:r>
      <w:r>
        <w:rPr>
          <w:rFonts w:hint="default" w:ascii="宋体" w:hAnsi="宋体" w:eastAsia="宋体" w:cs="宋体"/>
          <w:b/>
          <w:bCs/>
          <w:color w:val="auto"/>
          <w:kern w:val="2"/>
          <w:sz w:val="40"/>
          <w:szCs w:val="40"/>
          <w:highlight w:val="none"/>
          <w:lang w:val="en-US" w:eastAsia="zh-CN"/>
        </w:rPr>
        <w:t>环境影响报告表的批复</w:t>
      </w:r>
    </w:p>
    <w:p w14:paraId="3F1970D6">
      <w:pPr>
        <w:pStyle w:val="30"/>
        <w:keepNext w:val="0"/>
        <w:keepLines w:val="0"/>
        <w:pageBreakBefore w:val="0"/>
        <w:widowControl/>
        <w:kinsoku/>
        <w:wordWrap/>
        <w:overflowPunct/>
        <w:topLinePunct w:val="0"/>
        <w:autoSpaceDE/>
        <w:autoSpaceDN/>
        <w:bidi w:val="0"/>
        <w:adjustRightInd/>
        <w:snapToGrid/>
        <w:spacing w:line="560" w:lineRule="exact"/>
        <w:ind w:left="0" w:hanging="216" w:hangingChars="49"/>
        <w:jc w:val="center"/>
        <w:textAlignment w:val="top"/>
        <w:rPr>
          <w:rFonts w:hint="default" w:ascii="Times New Roman" w:hAnsi="Times New Roman" w:eastAsia="宋体" w:cs="Times New Roman"/>
          <w:b/>
          <w:color w:val="000000" w:themeColor="text1"/>
          <w:sz w:val="44"/>
          <w:szCs w:val="44"/>
          <w14:textFill>
            <w14:solidFill>
              <w14:schemeClr w14:val="tx1"/>
            </w14:solidFill>
          </w14:textFill>
        </w:rPr>
      </w:pPr>
    </w:p>
    <w:bookmarkEnd w:id="0"/>
    <w:p w14:paraId="16A8F1E6">
      <w:pPr>
        <w:pStyle w:val="30"/>
        <w:keepNext w:val="0"/>
        <w:keepLines w:val="0"/>
        <w:pageBreakBefore w:val="0"/>
        <w:kinsoku/>
        <w:wordWrap/>
        <w:overflowPunct/>
        <w:topLinePunct w:val="0"/>
        <w:autoSpaceDE/>
        <w:autoSpaceDN/>
        <w:bidi w:val="0"/>
        <w:adjustRightInd/>
        <w:snapToGrid/>
        <w:spacing w:line="600" w:lineRule="exact"/>
        <w:jc w:val="both"/>
        <w:textAlignment w:val="top"/>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eastAsia" w:eastAsia="仿宋" w:cs="Times New Roman"/>
          <w:color w:val="000000" w:themeColor="text1"/>
          <w:sz w:val="32"/>
          <w:szCs w:val="32"/>
          <w:u w:val="none"/>
          <w:lang w:eastAsia="zh-CN"/>
          <w14:textFill>
            <w14:solidFill>
              <w14:schemeClr w14:val="tx1"/>
            </w14:solidFill>
          </w14:textFill>
        </w:rPr>
        <w:t>湖南欣荣高新材料股份有限公司</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w:t>
      </w:r>
    </w:p>
    <w:p w14:paraId="549EC37E">
      <w:pPr>
        <w:pStyle w:val="39"/>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你公司报送的《</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湖南欣荣高新材料股份有限公司年产10万吨烘干砂建设项目</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环境影响报告表》（报批稿）（以下简称《报告表》）、申请批复的报告等相关材料收悉。经研究，现批复如下：</w:t>
      </w:r>
    </w:p>
    <w:p w14:paraId="276D9D7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sectPr>
          <w:headerReference r:id="rId5" w:type="default"/>
          <w:footerReference r:id="rId6" w:type="default"/>
          <w:pgSz w:w="11906" w:h="16838"/>
          <w:pgMar w:top="1440" w:right="1588" w:bottom="1440" w:left="1588" w:header="851" w:footer="850" w:gutter="0"/>
          <w:pgNumType w:fmt="decimal" w:start="2"/>
          <w:cols w:space="720" w:num="1"/>
          <w:docGrid w:type="lines" w:linePitch="273" w:charSpace="0"/>
        </w:sect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按照国家对尾矿渣综合利用行业的相关产业政策</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及</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目前市场需求，你公司</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拟</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投资</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1662.5</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万元（其中环保投资约</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66.1</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万元），在临湘市忠防镇双港村陈家组现有厂区内</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（总占地面积不变：5000㎡），</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扩建年产10万吨烘干砂（8万吨烘干砂和2万吨特种砂浆）建设项目，主要产品为烘干尾矿砂和特种砂浆，主要用于建筑主体材料和装饰装修材料的基材</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主要生产工艺包括烘干、</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筛分、搅拌</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和包装。主要建设内容为：</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新</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建</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一座</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全密闭式钢结构生产</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厂房</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厂房</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内设置一条尾矿砂烘干加工生产线）</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、成品仓库等储运工程；新增一套热风炉和烘干机；新建废气环保工程；辅助工程、公用工程以及废水、固废环保工程依</w:t>
      </w:r>
    </w:p>
    <w:p w14:paraId="38F816B4">
      <w:pPr>
        <w:keepNext w:val="0"/>
        <w:keepLines w:val="0"/>
        <w:pageBreakBefore w:val="0"/>
        <w:widowControl w:val="0"/>
        <w:numPr>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bookmarkStart w:id="1" w:name="_GoBack"/>
      <w:bookmarkEnd w:id="1"/>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托现有。</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根据</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湖南禹林环保科技有限公司</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编制的《报告表》的基本内容、结论、专家审查意见及岳阳市临湘生态环境事务中心出具的《关于</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湖南欣荣高新材料股份有限公司年产10万吨烘干</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砂建设项目</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〈建设项目环境影响报告表〉技术评估意见的报告》（临环事评估〔2025〕1</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2</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号），从环境保护角度考虑，我局原则同意你公司提交的《报告表》所列性质、地点、规模、工艺和环境保护对策措施。</w:t>
      </w:r>
    </w:p>
    <w:p w14:paraId="23277E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val="0"/>
          <w:color w:val="000000" w:themeColor="text1"/>
          <w:sz w:val="32"/>
          <w:szCs w:val="32"/>
          <w:highlight w:val="none"/>
          <w:u w:val="none" w:color="auto"/>
          <w:lang w:val="en-US" w:eastAsia="zh-CN"/>
          <w14:textFill>
            <w14:solidFill>
              <w14:schemeClr w14:val="tx1"/>
            </w14:solidFill>
          </w14:textFill>
        </w:rPr>
      </w:pPr>
      <w:r>
        <w:rPr>
          <w:rFonts w:hint="default" w:ascii="Times New Roman" w:hAnsi="Times New Roman" w:eastAsia="仿宋" w:cs="Times New Roman"/>
          <w:b w:val="0"/>
          <w:bCs w:val="0"/>
          <w:spacing w:val="0"/>
          <w:kern w:val="2"/>
          <w:sz w:val="32"/>
          <w:szCs w:val="32"/>
          <w:lang w:val="en-US" w:eastAsia="zh-CN" w:bidi="ar-SA"/>
        </w:rPr>
        <w:t>二、</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项目在建设和运营中，须全面落实《报告表》提出的各项污染防治、风险防范措施，严格执行环保“三同时”制度，确保外排污染物稳定达标排放，环境风险可控，并着重做好</w:t>
      </w:r>
      <w:r>
        <w:rPr>
          <w:rFonts w:hint="default" w:ascii="Times New Roman" w:hAnsi="Times New Roman" w:eastAsia="仿宋" w:cs="Times New Roman"/>
          <w:b w:val="0"/>
          <w:bCs w:val="0"/>
          <w:color w:val="000000" w:themeColor="text1"/>
          <w:sz w:val="32"/>
          <w:szCs w:val="32"/>
          <w:highlight w:val="none"/>
          <w:u w:val="none" w:color="auto"/>
          <w:lang w:val="en-US" w:eastAsia="zh-CN"/>
          <w14:textFill>
            <w14:solidFill>
              <w14:schemeClr w14:val="tx1"/>
            </w14:solidFill>
          </w14:textFill>
        </w:rPr>
        <w:t>以下几方面的工作：</w:t>
      </w:r>
    </w:p>
    <w:p w14:paraId="021780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eastAsia" w:eastAsia="仿宋" w:cs="Times New Roman"/>
          <w:b/>
          <w:bCs/>
          <w:color w:val="000000" w:themeColor="text1"/>
          <w:sz w:val="32"/>
          <w:szCs w:val="32"/>
          <w:highlight w:val="none"/>
          <w:u w:val="none" w:color="auto"/>
          <w:lang w:val="en-US" w:eastAsia="zh-CN"/>
          <w14:textFill>
            <w14:solidFill>
              <w14:schemeClr w14:val="tx1"/>
            </w14:solidFill>
          </w14:textFill>
        </w:rPr>
        <w:t>1.落</w:t>
      </w:r>
      <w:r>
        <w:rPr>
          <w:rFonts w:hint="eastAsia"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实施工期各项污染防治和生态保护措施。</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采用先进的施工设备，合理作业时间、施工方式，落实扬尘防治要求，加强对车辆运输、物料堆存等管理，设置车辆进出冲洗平台，合理收集回用施工废水，及时洒水降尘，防止噪声、施工废水、弃（渣）土、扬尘等污染周边环境；强化营动期污染防治和风险管控工作。</w:t>
      </w:r>
    </w:p>
    <w:p w14:paraId="1D232D76">
      <w:pPr>
        <w:pStyle w:val="6"/>
        <w:keepNext w:val="0"/>
        <w:keepLines w:val="0"/>
        <w:pageBreakBefore w:val="0"/>
        <w:kinsoku/>
        <w:wordWrap/>
        <w:overflowPunct/>
        <w:topLinePunct w:val="0"/>
        <w:autoSpaceDE/>
        <w:autoSpaceDN/>
        <w:bidi w:val="0"/>
        <w:adjustRightInd/>
        <w:snapToGrid/>
        <w:spacing w:before="0" w:after="0" w:line="600" w:lineRule="exact"/>
        <w:ind w:left="0" w:leftChars="0" w:firstLine="643" w:firstLineChars="200"/>
        <w:jc w:val="both"/>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eastAsia="仿宋" w:cs="Times New Roman"/>
          <w:b/>
          <w:bCs/>
          <w:color w:val="000000" w:themeColor="text1"/>
          <w:spacing w:val="0"/>
          <w:kern w:val="2"/>
          <w:sz w:val="32"/>
          <w:szCs w:val="32"/>
          <w:lang w:val="en-US" w:eastAsia="zh-CN" w:bidi="ar-SA"/>
          <w14:textFill>
            <w14:solidFill>
              <w14:schemeClr w14:val="tx1"/>
            </w14:solidFill>
          </w14:textFill>
        </w:rPr>
        <w:t>2</w:t>
      </w:r>
      <w:r>
        <w:rPr>
          <w:rFonts w:hint="default"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.废气污染防治。</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本项目废气为</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原料</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装卸</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粉尘、输送粉尘、烘干废气、筒仓粉尘、筛分废气、搅拌废气、包装废气。其中</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，烘干废气</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经“</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布袋除尘器</w:t>
      </w:r>
      <w:r>
        <w:rPr>
          <w:rFonts w:hint="eastAsia" w:eastAsia="仿宋" w:cs="Times New Roman"/>
          <w:color w:val="000000" w:themeColor="text1"/>
          <w:sz w:val="32"/>
          <w:szCs w:val="32"/>
          <w:lang w:val="en-US" w:eastAsia="zh-CN"/>
          <w14:textFill>
            <w14:solidFill>
              <w14:schemeClr w14:val="tx1"/>
            </w14:solidFill>
          </w14:textFill>
        </w:rPr>
        <w:t>（9</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eastAsia="仿宋" w:cs="Times New Roman"/>
          <w:color w:val="000000" w:themeColor="text1"/>
          <w:sz w:val="32"/>
          <w:szCs w:val="32"/>
          <w:lang w:val="en-US" w:eastAsia="zh-CN"/>
          <w14:textFill>
            <w14:solidFill>
              <w14:schemeClr w14:val="tx1"/>
            </w14:solidFill>
          </w14:textFill>
        </w:rPr>
        <w:t>除尘器）</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”处理后经</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m</w:t>
      </w:r>
      <w:r>
        <w:rPr>
          <w:rFonts w:hint="eastAsia" w:eastAsia="仿宋" w:cs="Times New Roman"/>
          <w:color w:val="000000" w:themeColor="text1"/>
          <w:sz w:val="32"/>
          <w:szCs w:val="32"/>
          <w:lang w:val="en-US" w:eastAsia="zh-CN"/>
          <w14:textFill>
            <w14:solidFill>
              <w14:schemeClr w14:val="tx1"/>
            </w14:solidFill>
          </w14:textFill>
        </w:rPr>
        <w:t>高4</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排气筒（DA00</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）排放；</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筛分、搅拌、包装废气采取密闭传送带输送、集气罩收集等措施后经</w:t>
      </w:r>
      <w:r>
        <w:rPr>
          <w:rFonts w:hint="eastAsia" w:eastAsia="仿宋" w:cs="Times New Roman"/>
          <w:color w:val="000000" w:themeColor="text1"/>
          <w:sz w:val="32"/>
          <w:szCs w:val="32"/>
          <w:lang w:val="en-US" w:eastAsia="zh-CN"/>
          <w14:textFill>
            <w14:solidFill>
              <w14:schemeClr w14:val="tx1"/>
            </w14:solidFill>
          </w14:textFill>
        </w:rPr>
        <w:t>10</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布袋除尘</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器</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处理后经</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米排气筒（DA00</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）排放；</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筒仓粉尘经仓顶除尘器处理后无组织排放；</w:t>
      </w:r>
      <w:r>
        <w:rPr>
          <w:rFonts w:hint="eastAsia" w:eastAsia="仿宋" w:cs="Times New Roman"/>
          <w:color w:val="000000" w:themeColor="text1"/>
          <w:sz w:val="32"/>
          <w:szCs w:val="32"/>
          <w:lang w:val="en-US" w:eastAsia="zh-CN"/>
          <w14:textFill>
            <w14:solidFill>
              <w14:schemeClr w14:val="tx1"/>
            </w14:solidFill>
          </w14:textFill>
        </w:rPr>
        <w:t>原料</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装卸、</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输送</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粉尘为无组织排放，要加强密闭钢结构厂房的修缮维护，并及时清扫厂房内积尘，减少无组织粉尘污染影响。</w:t>
      </w:r>
    </w:p>
    <w:p w14:paraId="552A51CE">
      <w:pPr>
        <w:pStyle w:val="6"/>
        <w:keepNext w:val="0"/>
        <w:keepLines w:val="0"/>
        <w:pageBreakBefore w:val="0"/>
        <w:kinsoku/>
        <w:wordWrap/>
        <w:overflowPunct/>
        <w:topLinePunct w:val="0"/>
        <w:autoSpaceDE/>
        <w:autoSpaceDN/>
        <w:bidi w:val="0"/>
        <w:adjustRightInd/>
        <w:snapToGrid/>
        <w:spacing w:before="0" w:after="0" w:line="600" w:lineRule="exact"/>
        <w:ind w:left="0" w:leftChars="0" w:firstLine="640" w:firstLineChars="200"/>
        <w:jc w:val="both"/>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有组织烘干废气中颗粒物、氮氧化物、二氧化硫执行《湖南省工业炉窑大气污染综合治理实施方案》中附件一表中的工业炉窑标准限值；烟气黑度执行《工业炉窑大气污染物排放标准》（GB9078-1996）表2标准；筛分、搅拌</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包装废气颗粒物执行《大气污染物综合排放标准》（GB16297-1996）表2二级标准；无组织颗粒物执行《大气污染物综合排放标准》（GB16297-1996）表2中无组织排放监控浓度限值。企业必须加强废气处理设施的管理，定期检修，确保废气处理设施正常运行。</w:t>
      </w:r>
    </w:p>
    <w:p w14:paraId="747CB3D0">
      <w:pPr>
        <w:pStyle w:val="6"/>
        <w:keepNext w:val="0"/>
        <w:keepLines w:val="0"/>
        <w:pageBreakBefore w:val="0"/>
        <w:kinsoku/>
        <w:wordWrap/>
        <w:overflowPunct/>
        <w:topLinePunct w:val="0"/>
        <w:autoSpaceDE/>
        <w:autoSpaceDN/>
        <w:bidi w:val="0"/>
        <w:adjustRightInd/>
        <w:snapToGrid/>
        <w:spacing w:before="0" w:after="0" w:line="600" w:lineRule="exact"/>
        <w:ind w:left="0" w:leftChars="0" w:firstLine="643" w:firstLineChars="200"/>
        <w:jc w:val="both"/>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eastAsia" w:eastAsia="仿宋" w:cs="Times New Roman"/>
          <w:b/>
          <w:bCs/>
          <w:color w:val="000000" w:themeColor="text1"/>
          <w:spacing w:val="0"/>
          <w:kern w:val="2"/>
          <w:sz w:val="32"/>
          <w:szCs w:val="32"/>
          <w:lang w:val="en-US" w:eastAsia="zh-CN" w:bidi="ar-SA"/>
          <w14:textFill>
            <w14:solidFill>
              <w14:schemeClr w14:val="tx1"/>
            </w14:solidFill>
          </w14:textFill>
        </w:rPr>
        <w:t>3</w:t>
      </w:r>
      <w:r>
        <w:rPr>
          <w:rFonts w:hint="default"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.废水污染防治。</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项目实行“雨污分流”，无生产废水产生，生活污水经</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四格</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化粪池处理后用作农肥，不外排。</w:t>
      </w:r>
    </w:p>
    <w:p w14:paraId="536E1D5B">
      <w:pPr>
        <w:pStyle w:val="6"/>
        <w:keepNext w:val="0"/>
        <w:keepLines w:val="0"/>
        <w:pageBreakBefore w:val="0"/>
        <w:kinsoku/>
        <w:wordWrap/>
        <w:overflowPunct/>
        <w:topLinePunct w:val="0"/>
        <w:autoSpaceDE/>
        <w:autoSpaceDN/>
        <w:bidi w:val="0"/>
        <w:adjustRightInd/>
        <w:snapToGrid/>
        <w:spacing w:before="0" w:after="0" w:line="600" w:lineRule="exact"/>
        <w:ind w:left="0" w:leftChars="0" w:firstLine="643" w:firstLineChars="200"/>
        <w:jc w:val="both"/>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pPr>
      <w:r>
        <w:rPr>
          <w:rFonts w:hint="eastAsia" w:eastAsia="仿宋" w:cs="Times New Roman"/>
          <w:b/>
          <w:bCs/>
          <w:color w:val="000000" w:themeColor="text1"/>
          <w:spacing w:val="0"/>
          <w:kern w:val="2"/>
          <w:sz w:val="32"/>
          <w:szCs w:val="32"/>
          <w:lang w:val="en-US" w:eastAsia="zh-CN" w:bidi="ar-SA"/>
          <w14:textFill>
            <w14:solidFill>
              <w14:schemeClr w14:val="tx1"/>
            </w14:solidFill>
          </w14:textFill>
        </w:rPr>
        <w:t>4</w:t>
      </w:r>
      <w:r>
        <w:rPr>
          <w:rFonts w:hint="default"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.噪声污染防治</w:t>
      </w:r>
      <w:r>
        <w:rPr>
          <w:rFonts w:hint="default" w:ascii="Times New Roman" w:hAnsi="Times New Roman" w:eastAsia="仿宋" w:cs="Times New Roman"/>
          <w:b/>
          <w:bCs/>
          <w:color w:val="000000" w:themeColor="text1"/>
          <w:spacing w:val="0"/>
          <w:kern w:val="2"/>
          <w:sz w:val="32"/>
          <w:szCs w:val="32"/>
          <w:lang w:val="zh-CN" w:eastAsia="zh-CN" w:bidi="ar-SA"/>
          <w14:textFill>
            <w14:solidFill>
              <w14:schemeClr w14:val="tx1"/>
            </w14:solidFill>
          </w14:textFill>
        </w:rPr>
        <w:t>。</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项目噪声源主要为搅拌机、烘干机等生产设备。</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选</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用</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低噪声</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生产</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设备，做好隔声、吸声、减震等措施；对噪声较大的生产设备</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合理布局并</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进行减振、隔音、密闭等综合治理措施；加强对作业人员的个体防护；加强</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设备维护</w:t>
      </w:r>
      <w:r>
        <w:rPr>
          <w:rFonts w:hint="eastAsia" w:eastAsia="仿宋" w:cs="Times New Roman"/>
          <w:b w:val="0"/>
          <w:bCs w:val="0"/>
          <w:color w:val="000000" w:themeColor="text1"/>
          <w:spacing w:val="0"/>
          <w:kern w:val="2"/>
          <w:sz w:val="32"/>
          <w:szCs w:val="32"/>
          <w:lang w:val="zh-CN" w:eastAsia="zh-CN" w:bidi="ar-SA"/>
          <w14:textFill>
            <w14:solidFill>
              <w14:schemeClr w14:val="tx1"/>
            </w14:solidFill>
          </w14:textFill>
        </w:rPr>
        <w:t>；</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严格控制</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工作</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时间，合理安排机械作业时间；确保</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厂界</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噪声</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满足</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《工业企业厂界环境噪声排放标准》（GB12348-2008）中</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2</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类标准要求。</w:t>
      </w:r>
    </w:p>
    <w:p w14:paraId="3B9CCB1C">
      <w:pPr>
        <w:keepNext w:val="0"/>
        <w:keepLines w:val="0"/>
        <w:pageBreakBefore w:val="0"/>
        <w:kinsoku/>
        <w:wordWrap/>
        <w:overflowPunct/>
        <w:topLinePunct w:val="0"/>
        <w:autoSpaceDN/>
        <w:bidi w:val="0"/>
        <w:adjustRightInd/>
        <w:snapToGrid/>
        <w:spacing w:line="600" w:lineRule="exact"/>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eastAsia" w:eastAsia="仿宋" w:cs="Times New Roman"/>
          <w:b/>
          <w:bCs/>
          <w:color w:val="000000" w:themeColor="text1"/>
          <w:spacing w:val="0"/>
          <w:kern w:val="2"/>
          <w:sz w:val="32"/>
          <w:szCs w:val="32"/>
          <w:lang w:val="en-US" w:eastAsia="zh-CN" w:bidi="ar-SA"/>
          <w14:textFill>
            <w14:solidFill>
              <w14:schemeClr w14:val="tx1"/>
            </w14:solidFill>
          </w14:textFill>
        </w:rPr>
        <w:t>5</w:t>
      </w:r>
      <w:r>
        <w:rPr>
          <w:rFonts w:hint="default"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.固体废物防治。</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严格按《一般工业固体废物贮存和填埋污染控制标准》（GB18599-2020）</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和</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《危险废物贮存污染控制标准》（GB18597-2023），规范建设</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一般</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固体废物暂存间</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和危废暂存间</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，建立健全固体废物</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及危险废物</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管理台账。热风炉生物质灰渣</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废弃包装袋</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破损布袋收集于一般工业固体废物暂存间贮存，外售综合利用；除尘装置收集的粉</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尘</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收集后回用于生产；尾矿砂筛分废石规范暂存后综合利用</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生活垃圾收集后由环卫部门处理；</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废机油、废机油桶暂存于危废暂存间，</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委托资质</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单位</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进行处置。</w:t>
      </w:r>
    </w:p>
    <w:p w14:paraId="74440B88">
      <w:pPr>
        <w:keepNext w:val="0"/>
        <w:keepLines w:val="0"/>
        <w:pageBreakBefore w:val="0"/>
        <w:kinsoku/>
        <w:wordWrap/>
        <w:overflowPunct/>
        <w:topLinePunct w:val="0"/>
        <w:autoSpaceDN/>
        <w:bidi w:val="0"/>
        <w:adjustRightInd/>
        <w:snapToGrid/>
        <w:spacing w:line="600" w:lineRule="exact"/>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eastAsia" w:eastAsia="仿宋" w:cs="Times New Roman"/>
          <w:b/>
          <w:bCs/>
          <w:color w:val="000000" w:themeColor="text1"/>
          <w:spacing w:val="0"/>
          <w:kern w:val="2"/>
          <w:sz w:val="32"/>
          <w:szCs w:val="32"/>
          <w:lang w:val="en-US" w:eastAsia="zh-CN" w:bidi="ar-SA"/>
          <w14:textFill>
            <w14:solidFill>
              <w14:schemeClr w14:val="tx1"/>
            </w14:solidFill>
          </w14:textFill>
        </w:rPr>
        <w:t>6</w:t>
      </w:r>
      <w:r>
        <w:rPr>
          <w:rFonts w:hint="default"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.土壤和地下水防治</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。按照“源头控制，分区防控”的原则落实土壤和地下水污染防治措施。对场区进行分区防渗，简单防渗区、一般防渗区</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、重点防渗区</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均应按相关技术规范要求落实防渗措施，确保防渗性能达到要求，防范污染源对地下水、土壤环境的垂直下渗和地面漫流污染影响，避免污染地下水和土壤环境，杜绝“跑、冒、滴、漏”等事故的发生。</w:t>
      </w:r>
    </w:p>
    <w:p w14:paraId="4B317BFD">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3" w:firstLineChars="200"/>
        <w:jc w:val="both"/>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7</w:t>
      </w:r>
      <w:r>
        <w:rPr>
          <w:rFonts w:hint="default"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.加强环境管理与环境风险防范。</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加强企业内部管理，</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修订完善</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突发环境风险应急预案并定期进行演练，严格落实环境风险防控和应急措施，定期巡检和维护各种设备设施；加强职工的安全教育和培训，增强安全防范意识，配备齐全的消防器材并严格防火管理，要有完善的安全消防措施。</w:t>
      </w:r>
    </w:p>
    <w:p w14:paraId="4153EEBD">
      <w:pPr>
        <w:keepNext w:val="0"/>
        <w:keepLines w:val="0"/>
        <w:pageBreakBefore w:val="0"/>
        <w:numPr>
          <w:ilvl w:val="0"/>
          <w:numId w:val="0"/>
        </w:numPr>
        <w:kinsoku/>
        <w:wordWrap/>
        <w:overflowPunct/>
        <w:topLinePunct w:val="0"/>
        <w:autoSpaceDN/>
        <w:bidi w:val="0"/>
        <w:adjustRightInd/>
        <w:snapToGrid/>
        <w:spacing w:line="600" w:lineRule="exact"/>
        <w:ind w:firstLine="643" w:firstLineChars="200"/>
        <w:jc w:val="both"/>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eastAsia" w:eastAsia="仿宋" w:cs="Times New Roman"/>
          <w:b/>
          <w:bCs/>
          <w:color w:val="000000" w:themeColor="text1"/>
          <w:spacing w:val="0"/>
          <w:kern w:val="2"/>
          <w:sz w:val="32"/>
          <w:szCs w:val="32"/>
          <w:lang w:val="en-US" w:eastAsia="zh-CN" w:bidi="ar-SA"/>
          <w14:textFill>
            <w14:solidFill>
              <w14:schemeClr w14:val="tx1"/>
            </w14:solidFill>
          </w14:textFill>
        </w:rPr>
        <w:t>8</w:t>
      </w:r>
      <w:r>
        <w:rPr>
          <w:rFonts w:hint="default"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.总量控制。</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本项目主要污染物总量控制指标为：二氧化硫≤</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1.88</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t/a、氮氧化物≤</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1.88</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t/a。二氧化硫、氮氧化物总量控制指标通过排污权交易获取。</w:t>
      </w:r>
    </w:p>
    <w:p w14:paraId="6D15FCDF">
      <w:pPr>
        <w:keepNext w:val="0"/>
        <w:keepLines w:val="0"/>
        <w:pageBreakBefore w:val="0"/>
        <w:numPr>
          <w:ilvl w:val="0"/>
          <w:numId w:val="0"/>
        </w:numPr>
        <w:kinsoku/>
        <w:wordWrap/>
        <w:overflowPunct/>
        <w:topLinePunct w:val="0"/>
        <w:autoSpaceDN/>
        <w:bidi w:val="0"/>
        <w:adjustRightInd/>
        <w:snapToGrid/>
        <w:spacing w:line="600" w:lineRule="exact"/>
        <w:ind w:firstLine="643" w:firstLineChars="200"/>
        <w:jc w:val="both"/>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eastAsia" w:eastAsia="仿宋" w:cs="Times New Roman"/>
          <w:b/>
          <w:bCs/>
          <w:color w:val="000000" w:themeColor="text1"/>
          <w:spacing w:val="0"/>
          <w:kern w:val="2"/>
          <w:sz w:val="32"/>
          <w:szCs w:val="32"/>
          <w:lang w:val="en-US" w:eastAsia="zh-CN" w:bidi="ar-SA"/>
          <w14:textFill>
            <w14:solidFill>
              <w14:schemeClr w14:val="tx1"/>
            </w14:solidFill>
          </w14:textFill>
        </w:rPr>
        <w:t>9</w:t>
      </w:r>
      <w:r>
        <w:rPr>
          <w:rFonts w:hint="eastAsia"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应切实解决现有项目存在的环境问题，尽快完成现有项目的竣工环境保护验收工作。</w:t>
      </w:r>
    </w:p>
    <w:p w14:paraId="2F094F15">
      <w:pPr>
        <w:keepNext w:val="0"/>
        <w:keepLines w:val="0"/>
        <w:pageBreakBefore w:val="0"/>
        <w:numPr>
          <w:ilvl w:val="0"/>
          <w:numId w:val="0"/>
        </w:numPr>
        <w:kinsoku/>
        <w:wordWrap/>
        <w:overflowPunct/>
        <w:topLinePunct w:val="0"/>
        <w:autoSpaceDN/>
        <w:bidi w:val="0"/>
        <w:adjustRightInd/>
        <w:snapToGrid/>
        <w:spacing w:line="600" w:lineRule="exact"/>
        <w:ind w:firstLine="643" w:firstLineChars="200"/>
        <w:jc w:val="both"/>
        <w:rPr>
          <w:rFonts w:hint="default"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eastAsia" w:eastAsia="仿宋" w:cs="Times New Roman"/>
          <w:b/>
          <w:bCs/>
          <w:color w:val="000000" w:themeColor="text1"/>
          <w:spacing w:val="0"/>
          <w:kern w:val="2"/>
          <w:sz w:val="32"/>
          <w:szCs w:val="32"/>
          <w:lang w:val="en-US" w:eastAsia="zh-CN" w:bidi="ar-SA"/>
          <w14:textFill>
            <w14:solidFill>
              <w14:schemeClr w14:val="tx1"/>
            </w14:solidFill>
          </w14:textFill>
        </w:rPr>
        <w:t>10.</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其它仍按岳临环评〔2021〕18号和岳临环评〔2024〕5号文件执行。</w:t>
      </w:r>
    </w:p>
    <w:p w14:paraId="7C59B4C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三、严格按规程操作，确保各种污染治理设施的正常运行。项目建成后应按规定程序实施竣工环境保护验收。由岳阳市临湘生态环境保护综合行政执法大队负责该项目的日常现场监管</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w:t>
      </w:r>
    </w:p>
    <w:p w14:paraId="45394BEE">
      <w:pPr>
        <w:pStyle w:val="30"/>
        <w:keepNext w:val="0"/>
        <w:keepLines w:val="0"/>
        <w:pageBreakBefore w:val="0"/>
        <w:widowControl/>
        <w:kinsoku/>
        <w:wordWrap/>
        <w:overflowPunct/>
        <w:topLinePunct w:val="0"/>
        <w:autoSpaceDE/>
        <w:autoSpaceDN/>
        <w:bidi w:val="0"/>
        <w:adjustRightInd/>
        <w:snapToGrid/>
        <w:spacing w:line="600" w:lineRule="exact"/>
        <w:ind w:firstLine="5920" w:firstLineChars="1850"/>
        <w:jc w:val="both"/>
        <w:textAlignment w:val="top"/>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p>
    <w:p w14:paraId="3A4868FF">
      <w:pPr>
        <w:pStyle w:val="30"/>
        <w:keepNext w:val="0"/>
        <w:keepLines w:val="0"/>
        <w:pageBreakBefore w:val="0"/>
        <w:widowControl/>
        <w:kinsoku/>
        <w:wordWrap/>
        <w:overflowPunct/>
        <w:topLinePunct w:val="0"/>
        <w:autoSpaceDE/>
        <w:autoSpaceDN/>
        <w:bidi w:val="0"/>
        <w:adjustRightInd/>
        <w:snapToGrid/>
        <w:spacing w:line="600" w:lineRule="exact"/>
        <w:ind w:firstLine="5920" w:firstLineChars="1850"/>
        <w:jc w:val="both"/>
        <w:textAlignment w:val="top"/>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p>
    <w:p w14:paraId="40C07436">
      <w:pPr>
        <w:pStyle w:val="30"/>
        <w:keepNext w:val="0"/>
        <w:keepLines w:val="0"/>
        <w:pageBreakBefore w:val="0"/>
        <w:widowControl/>
        <w:kinsoku/>
        <w:wordWrap/>
        <w:overflowPunct/>
        <w:topLinePunct w:val="0"/>
        <w:autoSpaceDE/>
        <w:autoSpaceDN/>
        <w:bidi w:val="0"/>
        <w:adjustRightInd/>
        <w:snapToGrid/>
        <w:spacing w:line="600" w:lineRule="exact"/>
        <w:ind w:firstLine="5920" w:firstLineChars="1850"/>
        <w:jc w:val="both"/>
        <w:textAlignment w:val="top"/>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岳阳市生态环境局</w:t>
      </w:r>
    </w:p>
    <w:p w14:paraId="4E193B40">
      <w:pPr>
        <w:pStyle w:val="30"/>
        <w:keepNext w:val="0"/>
        <w:keepLines w:val="0"/>
        <w:pageBreakBefore w:val="0"/>
        <w:widowControl/>
        <w:tabs>
          <w:tab w:val="left" w:pos="5580"/>
        </w:tabs>
        <w:kinsoku/>
        <w:wordWrap/>
        <w:overflowPunct/>
        <w:topLinePunct w:val="0"/>
        <w:autoSpaceDE/>
        <w:autoSpaceDN/>
        <w:bidi w:val="0"/>
        <w:adjustRightInd/>
        <w:snapToGrid/>
        <w:spacing w:line="600" w:lineRule="exact"/>
        <w:ind w:firstLine="5760" w:firstLineChars="1800"/>
        <w:jc w:val="both"/>
        <w:textAlignment w:val="top"/>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2025年</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12</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月2</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6</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日</w:t>
      </w:r>
    </w:p>
    <w:p w14:paraId="62AC31B4">
      <w:pPr>
        <w:pStyle w:val="30"/>
        <w:keepNext w:val="0"/>
        <w:keepLines w:val="0"/>
        <w:pageBreakBefore w:val="0"/>
        <w:kinsoku/>
        <w:wordWrap/>
        <w:overflowPunct/>
        <w:topLinePunct w:val="0"/>
        <w:autoSpaceDN/>
        <w:bidi w:val="0"/>
        <w:adjustRightInd/>
        <w:snapToGrid/>
        <w:spacing w:line="600" w:lineRule="exact"/>
        <w:jc w:val="both"/>
        <w:textAlignment w:val="top"/>
        <w:rPr>
          <w:rFonts w:hint="default" w:ascii="Times New Roman" w:hAnsi="Times New Roman" w:eastAsia="仿宋" w:cs="Times New Roman"/>
          <w:sz w:val="32"/>
          <w:szCs w:val="32"/>
        </w:rPr>
      </w:pPr>
    </w:p>
    <w:sectPr>
      <w:footerReference r:id="rId7" w:type="default"/>
      <w:pgSz w:w="11906" w:h="16838"/>
      <w:pgMar w:top="1440" w:right="1588" w:bottom="1440" w:left="1588" w:header="851" w:footer="850" w:gutter="0"/>
      <w:pgNumType w:fmt="decimal" w:start="2"/>
      <w:cols w:space="720" w:num="1"/>
      <w:docGrid w:type="lines" w:linePitch="27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orbel">
    <w:panose1 w:val="020B0503020204020204"/>
    <w:charset w:val="00"/>
    <w:family w:val="swiss"/>
    <w:pitch w:val="default"/>
    <w:sig w:usb0="A00002EF" w:usb1="4000A44B" w:usb2="00000000" w:usb3="00000000" w:csb0="2000019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CA0C8">
    <w:pPr>
      <w:pStyle w:val="11"/>
      <w:tabs>
        <w:tab w:val="left" w:pos="3903"/>
        <w:tab w:val="clear" w:pos="4153"/>
      </w:tabs>
      <w:ind w:firstLine="360"/>
      <w:rPr>
        <w:rFonts w:hint="eastAsia" w:eastAsia="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5F7E6">
    <w:pPr>
      <w:pStyle w:val="11"/>
      <w:tabs>
        <w:tab w:val="left" w:pos="3903"/>
        <w:tab w:val="clear" w:pos="4153"/>
      </w:tabs>
      <w:ind w:firstLine="360"/>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94BFD">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F94BFD">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B659A">
    <w:pPr>
      <w:pStyle w:val="1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A5F2C"/>
    <w:multiLevelType w:val="singleLevel"/>
    <w:tmpl w:val="B12A5F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0"/>
  <w:drawingGridVerticalSpacing w:val="273"/>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520"/>
    <w:rsid w:val="00B34EDC"/>
    <w:rsid w:val="00B734C6"/>
    <w:rsid w:val="00E97E38"/>
    <w:rsid w:val="00EC4520"/>
    <w:rsid w:val="023C53DB"/>
    <w:rsid w:val="03D177E1"/>
    <w:rsid w:val="040265F8"/>
    <w:rsid w:val="052A53FB"/>
    <w:rsid w:val="07271259"/>
    <w:rsid w:val="080109C6"/>
    <w:rsid w:val="088C3CD7"/>
    <w:rsid w:val="0BDF4656"/>
    <w:rsid w:val="0C8B7410"/>
    <w:rsid w:val="0D0F3224"/>
    <w:rsid w:val="0D9A523E"/>
    <w:rsid w:val="0DAF1467"/>
    <w:rsid w:val="0E486D6B"/>
    <w:rsid w:val="0E54021A"/>
    <w:rsid w:val="0F084C1D"/>
    <w:rsid w:val="0F0E4067"/>
    <w:rsid w:val="0F8B68A4"/>
    <w:rsid w:val="0FA45C75"/>
    <w:rsid w:val="100028AE"/>
    <w:rsid w:val="10927ABC"/>
    <w:rsid w:val="128A19B4"/>
    <w:rsid w:val="12B912C7"/>
    <w:rsid w:val="146B6E96"/>
    <w:rsid w:val="1540069F"/>
    <w:rsid w:val="159266A5"/>
    <w:rsid w:val="16247C45"/>
    <w:rsid w:val="17562080"/>
    <w:rsid w:val="176A5B2B"/>
    <w:rsid w:val="183A7126"/>
    <w:rsid w:val="18421155"/>
    <w:rsid w:val="190C78DD"/>
    <w:rsid w:val="1A460E27"/>
    <w:rsid w:val="1AD91131"/>
    <w:rsid w:val="1B100797"/>
    <w:rsid w:val="1B627E82"/>
    <w:rsid w:val="1BCA7BC9"/>
    <w:rsid w:val="1BD03EEB"/>
    <w:rsid w:val="1C72170E"/>
    <w:rsid w:val="1C7467DC"/>
    <w:rsid w:val="1E4075E6"/>
    <w:rsid w:val="1E876F10"/>
    <w:rsid w:val="1F1F6287"/>
    <w:rsid w:val="1F291F60"/>
    <w:rsid w:val="201E3957"/>
    <w:rsid w:val="212201CD"/>
    <w:rsid w:val="21726EAE"/>
    <w:rsid w:val="220B1CB9"/>
    <w:rsid w:val="22B71C0B"/>
    <w:rsid w:val="23644CDE"/>
    <w:rsid w:val="23CA65C3"/>
    <w:rsid w:val="25EC0B17"/>
    <w:rsid w:val="26236B82"/>
    <w:rsid w:val="27937E96"/>
    <w:rsid w:val="2848606D"/>
    <w:rsid w:val="28692EB0"/>
    <w:rsid w:val="290F6532"/>
    <w:rsid w:val="29311DD0"/>
    <w:rsid w:val="2AE216BA"/>
    <w:rsid w:val="2B141465"/>
    <w:rsid w:val="2CB52E8B"/>
    <w:rsid w:val="2D0A34E8"/>
    <w:rsid w:val="2D506C2A"/>
    <w:rsid w:val="311D1A84"/>
    <w:rsid w:val="32827D75"/>
    <w:rsid w:val="32942D03"/>
    <w:rsid w:val="357A1A28"/>
    <w:rsid w:val="36B12429"/>
    <w:rsid w:val="36C00E6C"/>
    <w:rsid w:val="36C8026D"/>
    <w:rsid w:val="38F35E38"/>
    <w:rsid w:val="39CC3AB9"/>
    <w:rsid w:val="42CE66BF"/>
    <w:rsid w:val="435726DF"/>
    <w:rsid w:val="435F13C2"/>
    <w:rsid w:val="437E7B29"/>
    <w:rsid w:val="43AA712C"/>
    <w:rsid w:val="43D956BC"/>
    <w:rsid w:val="44E126D9"/>
    <w:rsid w:val="45336443"/>
    <w:rsid w:val="457D5993"/>
    <w:rsid w:val="45AF3521"/>
    <w:rsid w:val="465A4129"/>
    <w:rsid w:val="48074B4D"/>
    <w:rsid w:val="48EC3D42"/>
    <w:rsid w:val="49A931C2"/>
    <w:rsid w:val="49E76610"/>
    <w:rsid w:val="4A686803"/>
    <w:rsid w:val="4BBA6677"/>
    <w:rsid w:val="4C340028"/>
    <w:rsid w:val="4C7D65CC"/>
    <w:rsid w:val="4CD75C9B"/>
    <w:rsid w:val="4CF3569F"/>
    <w:rsid w:val="4F91177A"/>
    <w:rsid w:val="4F993284"/>
    <w:rsid w:val="5087540C"/>
    <w:rsid w:val="513A1AEF"/>
    <w:rsid w:val="525F1CB4"/>
    <w:rsid w:val="53EE119D"/>
    <w:rsid w:val="55AA0755"/>
    <w:rsid w:val="55B865D0"/>
    <w:rsid w:val="55E22755"/>
    <w:rsid w:val="562C577E"/>
    <w:rsid w:val="57603931"/>
    <w:rsid w:val="58122FAA"/>
    <w:rsid w:val="5864454A"/>
    <w:rsid w:val="5910095D"/>
    <w:rsid w:val="59284923"/>
    <w:rsid w:val="5CC6285A"/>
    <w:rsid w:val="5D957ECE"/>
    <w:rsid w:val="5E693A13"/>
    <w:rsid w:val="5E6F0574"/>
    <w:rsid w:val="5F380192"/>
    <w:rsid w:val="60932FCA"/>
    <w:rsid w:val="615857B5"/>
    <w:rsid w:val="62E71472"/>
    <w:rsid w:val="63041F5D"/>
    <w:rsid w:val="64F8789F"/>
    <w:rsid w:val="65535C7B"/>
    <w:rsid w:val="66D439F4"/>
    <w:rsid w:val="66F61BAB"/>
    <w:rsid w:val="67D7106C"/>
    <w:rsid w:val="68785CC8"/>
    <w:rsid w:val="69120710"/>
    <w:rsid w:val="69B2622D"/>
    <w:rsid w:val="6A213DF7"/>
    <w:rsid w:val="6A7F011B"/>
    <w:rsid w:val="6AB95096"/>
    <w:rsid w:val="6AFB5BA3"/>
    <w:rsid w:val="6BCE2025"/>
    <w:rsid w:val="6C910E04"/>
    <w:rsid w:val="6CCF1AF5"/>
    <w:rsid w:val="6D355AF1"/>
    <w:rsid w:val="6D41164D"/>
    <w:rsid w:val="6F0532E4"/>
    <w:rsid w:val="704626FC"/>
    <w:rsid w:val="70A02A01"/>
    <w:rsid w:val="718B55F7"/>
    <w:rsid w:val="71A30B93"/>
    <w:rsid w:val="726411D5"/>
    <w:rsid w:val="72EA7263"/>
    <w:rsid w:val="730B26F6"/>
    <w:rsid w:val="73F76F74"/>
    <w:rsid w:val="74697965"/>
    <w:rsid w:val="754A358C"/>
    <w:rsid w:val="756920F3"/>
    <w:rsid w:val="76386CC0"/>
    <w:rsid w:val="767E1B72"/>
    <w:rsid w:val="76CE0316"/>
    <w:rsid w:val="7A093C1F"/>
    <w:rsid w:val="7B4A7A78"/>
    <w:rsid w:val="7CB47DAA"/>
    <w:rsid w:val="7CE409BA"/>
    <w:rsid w:val="7E9304FB"/>
    <w:rsid w:val="7F2D4191"/>
    <w:rsid w:val="7FA060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lang w:val="en-US" w:eastAsia="zh-CN" w:bidi="ar-SA"/>
    </w:rPr>
  </w:style>
  <w:style w:type="paragraph" w:styleId="2">
    <w:name w:val="heading 2"/>
    <w:basedOn w:val="1"/>
    <w:next w:val="1"/>
    <w:semiHidden/>
    <w:unhideWhenUsed/>
    <w:qFormat/>
    <w:uiPriority w:val="0"/>
    <w:pPr>
      <w:keepNext/>
      <w:spacing w:before="120" w:beforeLines="0" w:line="360" w:lineRule="auto"/>
      <w:ind w:firstLine="1285" w:firstLineChars="200"/>
      <w:outlineLvl w:val="1"/>
    </w:pPr>
    <w:rPr>
      <w:rFonts w:ascii="宋体" w:hAnsi="宋体" w:eastAsia="宋体"/>
      <w:spacing w:val="6"/>
      <w:sz w:val="28"/>
      <w:szCs w:val="20"/>
    </w:rPr>
  </w:style>
  <w:style w:type="paragraph" w:styleId="3">
    <w:name w:val="heading 3"/>
    <w:basedOn w:val="1"/>
    <w:next w:val="1"/>
    <w:qFormat/>
    <w:uiPriority w:val="0"/>
    <w:pPr>
      <w:keepNext/>
      <w:keepLines/>
      <w:spacing w:before="260" w:after="260" w:line="413" w:lineRule="auto"/>
      <w:outlineLvl w:val="2"/>
    </w:pPr>
    <w:rPr>
      <w:rFonts w:ascii="Arial" w:hAnsi="Arial" w:eastAsia="宋体" w:cs="Times New Roman"/>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unhideWhenUsed/>
    <w:qFormat/>
    <w:uiPriority w:val="0"/>
    <w:pPr>
      <w:ind w:firstLine="420"/>
    </w:p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Body Text Indent"/>
    <w:basedOn w:val="1"/>
    <w:next w:val="8"/>
    <w:qFormat/>
    <w:uiPriority w:val="0"/>
    <w:pPr>
      <w:spacing w:line="360" w:lineRule="auto"/>
      <w:ind w:firstLine="570"/>
    </w:pPr>
    <w:rPr>
      <w:rFonts w:eastAsia="仿宋_GB2312"/>
      <w:sz w:val="28"/>
      <w:szCs w:val="20"/>
    </w:rPr>
  </w:style>
  <w:style w:type="paragraph" w:customStyle="1" w:styleId="8">
    <w:name w:val="样式 正文文本缩进 + 行距: 1.5 倍行距"/>
    <w:basedOn w:val="1"/>
    <w:qFormat/>
    <w:uiPriority w:val="0"/>
    <w:pPr>
      <w:spacing w:after="120" w:line="360" w:lineRule="auto"/>
      <w:ind w:left="90" w:leftChars="32" w:firstLine="560" w:firstLineChars="200"/>
    </w:pPr>
    <w:rPr>
      <w:rFonts w:cs="宋体"/>
    </w:rPr>
  </w:style>
  <w:style w:type="paragraph" w:styleId="9">
    <w:name w:val="Date"/>
    <w:basedOn w:val="1"/>
    <w:next w:val="1"/>
    <w:qFormat/>
    <w:uiPriority w:val="0"/>
    <w:pPr>
      <w:ind w:left="100" w:leftChars="2500"/>
    </w:pPr>
  </w:style>
  <w:style w:type="paragraph" w:styleId="10">
    <w:name w:val="Balloon Text"/>
    <w:basedOn w:val="1"/>
    <w:qFormat/>
    <w:uiPriority w:val="0"/>
    <w:rPr>
      <w:sz w:val="18"/>
      <w:szCs w:val="18"/>
    </w:rPr>
  </w:style>
  <w:style w:type="paragraph" w:styleId="11">
    <w:name w:val="footer"/>
    <w:basedOn w:val="1"/>
    <w:link w:val="34"/>
    <w:qFormat/>
    <w:uiPriority w:val="99"/>
    <w:pPr>
      <w:tabs>
        <w:tab w:val="center" w:pos="4153"/>
        <w:tab w:val="right" w:pos="8306"/>
      </w:tabs>
      <w:snapToGrid w:val="0"/>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qFormat/>
    <w:uiPriority w:val="0"/>
    <w:pPr>
      <w:widowControl/>
      <w:spacing w:before="100" w:beforeAutospacing="1" w:after="100" w:afterAutospacing="1"/>
      <w:jc w:val="left"/>
    </w:pPr>
    <w:rPr>
      <w:rFonts w:ascii="Arial Unicode MS" w:hAnsi="Arial Unicode MS" w:eastAsia="Arial Unicode MS" w:cs="Arial Unicode MS"/>
      <w:kern w:val="0"/>
      <w:sz w:val="24"/>
      <w:szCs w:val="24"/>
      <w:lang w:val="en-US" w:eastAsia="zh-CN" w:bidi="ar-SA"/>
    </w:rPr>
  </w:style>
  <w:style w:type="paragraph" w:styleId="14">
    <w:name w:val="Body Text First Indent"/>
    <w:basedOn w:val="6"/>
    <w:link w:val="26"/>
    <w:qFormat/>
    <w:uiPriority w:val="0"/>
    <w:pPr>
      <w:adjustRightInd w:val="0"/>
      <w:snapToGrid w:val="0"/>
      <w:spacing w:after="0" w:line="360" w:lineRule="auto"/>
      <w:ind w:firstLine="200"/>
      <w:jc w:val="both"/>
    </w:pPr>
    <w:rPr>
      <w:kern w:val="2"/>
      <w:sz w:val="24"/>
    </w:rPr>
  </w:style>
  <w:style w:type="paragraph" w:styleId="15">
    <w:name w:val="Body Text First Indent 2"/>
    <w:basedOn w:val="7"/>
    <w:next w:val="1"/>
    <w:qFormat/>
    <w:uiPriority w:val="0"/>
    <w:pPr>
      <w:spacing w:after="120" w:line="240" w:lineRule="auto"/>
      <w:ind w:left="420" w:leftChars="200" w:firstLine="420" w:firstLineChars="200"/>
    </w:pPr>
    <w:rPr>
      <w:rFonts w:ascii="Corbel" w:hAnsi="Corbel"/>
      <w:sz w:val="21"/>
    </w:rPr>
  </w:style>
  <w:style w:type="table" w:styleId="17">
    <w:name w:val="Table Grid"/>
    <w:basedOn w:val="16"/>
    <w:qFormat/>
    <w:uiPriority w:val="59"/>
    <w:pPr>
      <w:widowControl w:val="0"/>
      <w:ind w:firstLine="21"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annotation reference"/>
    <w:qFormat/>
    <w:uiPriority w:val="0"/>
    <w:rPr>
      <w:sz w:val="21"/>
      <w:szCs w:val="21"/>
    </w:rPr>
  </w:style>
  <w:style w:type="paragraph" w:customStyle="1" w:styleId="21">
    <w:name w:val="列出段落1"/>
    <w:basedOn w:val="1"/>
    <w:qFormat/>
    <w:uiPriority w:val="34"/>
    <w:pPr>
      <w:ind w:firstLine="420"/>
    </w:pPr>
  </w:style>
  <w:style w:type="paragraph" w:customStyle="1" w:styleId="22">
    <w:name w:val="Default"/>
    <w:basedOn w:val="23"/>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纯文本1"/>
    <w:basedOn w:val="1"/>
    <w:qFormat/>
    <w:uiPriority w:val="0"/>
    <w:pPr>
      <w:adjustRightInd w:val="0"/>
    </w:pPr>
    <w:rPr>
      <w:rFonts w:ascii="宋体" w:hAnsi="Courier New"/>
      <w:szCs w:val="20"/>
    </w:rPr>
  </w:style>
  <w:style w:type="character" w:customStyle="1" w:styleId="24">
    <w:name w:val="p0 Char"/>
    <w:basedOn w:val="18"/>
    <w:link w:val="25"/>
    <w:qFormat/>
    <w:uiPriority w:val="0"/>
    <w:rPr>
      <w:rFonts w:eastAsia="宋体"/>
      <w:sz w:val="32"/>
      <w:szCs w:val="32"/>
      <w:lang w:val="en-US" w:eastAsia="zh-CN" w:bidi="ar-SA"/>
    </w:rPr>
  </w:style>
  <w:style w:type="paragraph" w:customStyle="1" w:styleId="25">
    <w:name w:val="p0"/>
    <w:basedOn w:val="1"/>
    <w:link w:val="24"/>
    <w:qFormat/>
    <w:uiPriority w:val="0"/>
    <w:pPr>
      <w:widowControl/>
      <w:ind w:firstLine="0" w:firstLineChars="0"/>
      <w:jc w:val="both"/>
    </w:pPr>
    <w:rPr>
      <w:sz w:val="32"/>
      <w:szCs w:val="32"/>
    </w:rPr>
  </w:style>
  <w:style w:type="character" w:customStyle="1" w:styleId="26">
    <w:name w:val="正文首行缩进 Char"/>
    <w:basedOn w:val="18"/>
    <w:link w:val="14"/>
    <w:qFormat/>
    <w:uiPriority w:val="0"/>
    <w:rPr>
      <w:rFonts w:eastAsia="宋体"/>
      <w:kern w:val="2"/>
      <w:sz w:val="24"/>
      <w:lang w:val="en-US" w:eastAsia="zh-CN" w:bidi="ar-SA"/>
    </w:rPr>
  </w:style>
  <w:style w:type="character" w:customStyle="1" w:styleId="27">
    <w:name w:val="表格文字 Char"/>
    <w:link w:val="28"/>
    <w:qFormat/>
    <w:uiPriority w:val="0"/>
    <w:rPr>
      <w:rFonts w:eastAsia="宋体"/>
      <w:kern w:val="2"/>
      <w:sz w:val="21"/>
      <w:szCs w:val="21"/>
      <w:lang w:val="en-US" w:eastAsia="zh-CN" w:bidi="ar-SA"/>
    </w:rPr>
  </w:style>
  <w:style w:type="paragraph" w:customStyle="1" w:styleId="28">
    <w:name w:val="表格文字"/>
    <w:basedOn w:val="1"/>
    <w:link w:val="27"/>
    <w:qFormat/>
    <w:uiPriority w:val="0"/>
    <w:pPr>
      <w:widowControl/>
      <w:adjustRightInd w:val="0"/>
      <w:snapToGrid w:val="0"/>
      <w:ind w:firstLine="0" w:firstLineChars="0"/>
      <w:jc w:val="center"/>
    </w:pPr>
    <w:rPr>
      <w:kern w:val="2"/>
      <w:sz w:val="21"/>
      <w:szCs w:val="21"/>
    </w:rPr>
  </w:style>
  <w:style w:type="paragraph" w:customStyle="1" w:styleId="29">
    <w:name w:val="Char Char Char Char Char Char Char Char Char Char"/>
    <w:basedOn w:val="1"/>
    <w:qFormat/>
    <w:uiPriority w:val="0"/>
    <w:pPr>
      <w:widowControl/>
      <w:spacing w:after="160" w:line="240" w:lineRule="exact"/>
      <w:ind w:firstLine="0" w:firstLineChars="0"/>
    </w:pPr>
    <w:rPr>
      <w:rFonts w:ascii="Verdana" w:hAnsi="Verdana"/>
      <w:lang w:eastAsia="en-US"/>
    </w:rPr>
  </w:style>
  <w:style w:type="paragraph" w:customStyle="1" w:styleId="30">
    <w:name w:val="WPS Plain"/>
    <w:qFormat/>
    <w:uiPriority w:val="0"/>
    <w:rPr>
      <w:rFonts w:ascii="Times New Roman" w:hAnsi="Times New Roman" w:eastAsia="宋体" w:cs="Times New Roman"/>
      <w:lang w:val="en-US" w:eastAsia="zh-CN" w:bidi="ar-SA"/>
    </w:rPr>
  </w:style>
  <w:style w:type="paragraph" w:customStyle="1" w:styleId="31">
    <w:name w:val="特殊标题３"/>
    <w:basedOn w:val="1"/>
    <w:qFormat/>
    <w:uiPriority w:val="0"/>
    <w:pPr>
      <w:overflowPunct w:val="0"/>
      <w:autoSpaceDE w:val="0"/>
      <w:autoSpaceDN w:val="0"/>
      <w:adjustRightInd w:val="0"/>
      <w:spacing w:line="360" w:lineRule="auto"/>
      <w:textAlignment w:val="baseline"/>
    </w:pPr>
    <w:rPr>
      <w:rFonts w:eastAsia="仿宋_GB2312"/>
      <w:sz w:val="28"/>
    </w:rPr>
  </w:style>
  <w:style w:type="paragraph" w:customStyle="1" w:styleId="32">
    <w:name w:val="样式 首行缩进:  2 字符"/>
    <w:qFormat/>
    <w:uiPriority w:val="0"/>
    <w:pPr>
      <w:adjustRightInd w:val="0"/>
      <w:spacing w:line="360" w:lineRule="auto"/>
      <w:ind w:firstLine="560" w:firstLineChars="200"/>
    </w:pPr>
    <w:rPr>
      <w:rFonts w:ascii="Times New Roman" w:hAnsi="Times New Roman" w:eastAsia="宋体" w:cs="宋体"/>
      <w:sz w:val="24"/>
      <w:lang w:val="en-US" w:eastAsia="zh-CN" w:bidi="ar-SA"/>
    </w:rPr>
  </w:style>
  <w:style w:type="paragraph" w:customStyle="1" w:styleId="33">
    <w:name w:val="样式1"/>
    <w:next w:val="14"/>
    <w:qFormat/>
    <w:uiPriority w:val="0"/>
    <w:pPr>
      <w:widowControl w:val="0"/>
      <w:adjustRightInd w:val="0"/>
      <w:spacing w:line="312" w:lineRule="atLeast"/>
      <w:jc w:val="center"/>
      <w:textAlignment w:val="baseline"/>
    </w:pPr>
    <w:rPr>
      <w:rFonts w:ascii="Times New Roman" w:hAnsi="Times New Roman" w:eastAsia="宋体" w:cs="Times New Roman"/>
      <w:kern w:val="2"/>
      <w:sz w:val="28"/>
      <w:szCs w:val="24"/>
      <w:lang w:val="en-US" w:eastAsia="zh-CN" w:bidi="ar-SA"/>
    </w:rPr>
  </w:style>
  <w:style w:type="character" w:customStyle="1" w:styleId="34">
    <w:name w:val="页脚 Char"/>
    <w:basedOn w:val="18"/>
    <w:link w:val="11"/>
    <w:qFormat/>
    <w:uiPriority w:val="99"/>
    <w:rPr>
      <w:sz w:val="18"/>
      <w:szCs w:val="18"/>
    </w:rPr>
  </w:style>
  <w:style w:type="paragraph" w:customStyle="1" w:styleId="35">
    <w:name w:val="0"/>
    <w:basedOn w:val="1"/>
    <w:qFormat/>
    <w:uiPriority w:val="0"/>
    <w:pPr>
      <w:widowControl/>
      <w:snapToGrid w:val="0"/>
      <w:spacing w:line="365" w:lineRule="atLeast"/>
      <w:ind w:left="1" w:firstLine="0" w:firstLineChars="0"/>
      <w:jc w:val="both"/>
      <w:textAlignment w:val="bottom"/>
    </w:pPr>
  </w:style>
  <w:style w:type="paragraph" w:customStyle="1" w:styleId="36">
    <w:name w:val="表格"/>
    <w:basedOn w:val="1"/>
    <w:qFormat/>
    <w:uiPriority w:val="0"/>
    <w:pPr>
      <w:spacing w:line="300" w:lineRule="auto"/>
      <w:ind w:firstLine="0" w:firstLineChars="0"/>
      <w:jc w:val="center"/>
    </w:pPr>
    <w:rPr>
      <w:rFonts w:cs="宋体"/>
      <w:sz w:val="21"/>
      <w:szCs w:val="24"/>
      <w:lang w:eastAsia="en-US"/>
    </w:rPr>
  </w:style>
  <w:style w:type="paragraph" w:styleId="37">
    <w:name w:val="List Paragraph"/>
    <w:basedOn w:val="1"/>
    <w:qFormat/>
    <w:uiPriority w:val="99"/>
    <w:pPr>
      <w:ind w:firstLine="420"/>
    </w:pPr>
  </w:style>
  <w:style w:type="character" w:customStyle="1" w:styleId="38">
    <w:name w:val="正文内容 Char Char"/>
    <w:qFormat/>
    <w:uiPriority w:val="0"/>
    <w:rPr>
      <w:kern w:val="2"/>
      <w:sz w:val="24"/>
      <w:szCs w:val="24"/>
      <w:lang w:val="en-US" w:eastAsia="zh-CN" w:bidi="ar-SA"/>
    </w:rPr>
  </w:style>
  <w:style w:type="paragraph" w:customStyle="1" w:styleId="3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d0ab0fbd-2fad-4ae9-9a66-63a97e7d58ce</errorID>
      <errorWord>，</errorWord>
      <group>L1_Word</group>
      <groupName>字词问题</groupName>
      <ability>L2_Typo</ability>
      <abilityName>字词错误</abilityName>
      <candidateList>
        <item>，必</item>
      </candidateList>
      <explain/>
      <paraID>16F1B0A0</paraID>
      <start>11</start>
      <end>12</end>
      <status>ignored</status>
      <modifiedWord/>
      <trackRevisions>false</trackRevisions>
    </reviewItem>
    <reviewItem>
      <errorID>b08a7fe3-c317-4bc0-8135-db8f303fd076</errorID>
      <errorWord>(</errorWord>
      <group>L1_AI</group>
      <groupName>深度校对</groupName>
      <ability>L2_AI_Punc</ability>
      <abilityName>标点纠错</abilityName>
      <candidateList>
        <item>（</item>
      </candidateList>
      <explain/>
      <paraID>1D232D76</paraID>
      <start>66</start>
      <end>67</end>
      <status>modified</status>
      <modifiedWord>（</modifiedWord>
      <trackRevisions>false</trackRevisions>
    </reviewItem>
    <reviewItem>
      <errorID>f63da435-5071-4add-92af-f3bd9bc6fdfd</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552A51CE</paraID>
      <start>145</start>
      <end>146</end>
      <status>ignored</status>
      <modifiedWord/>
      <trackRevisions>false</trackRevisions>
    </reviewItem>
    <reviewItem>
      <errorID>0b71def4-8dfe-49b8-971a-1a98beb74953</errorID>
      <errorWord>漫流</errorWord>
      <group>L1_Word</group>
      <groupName>字词问题</groupName>
      <ability>L2_Typo</ability>
      <abilityName>字词错误</abilityName>
      <candidateList>
        <item>径流</item>
      </candidateList>
      <explain>〈名〉降水除蒸发的、被土地吸收的和被拦堵的以外，沿着地面流走的水叫径流。渗入地下的也可以形成地下径流。</explain>
      <paraID>74440B88</paraID>
      <start>120</start>
      <end>122</end>
      <status>ignored</status>
      <modifiedWord/>
      <trackRevisions>false</trackRevisions>
    </reviewItem>
    <reviewItem>
      <errorID>a24bc9de-57ee-47e6-bdf2-73f950b5b6ff</errorID>
      <errorWord>强</errorWord>
      <group>L1_Word</group>
      <groupName>字词问题</groupName>
      <ability>L2_Typo</ability>
      <abilityName>字词错误</abilityName>
      <candidateList>
        <item>强对</item>
      </candidateList>
      <explain/>
      <paraID>4B317BFD</paraID>
      <start>78</start>
      <end>79</end>
      <status>ignored</status>
      <modifiedWord/>
      <trackRevisions>false</trackRevisions>
    </reviewItem>
    <reviewItem>
      <errorID>34b3a354-17ba-4c24-9808-eaad91b3b1b4</errorID>
      <errorWord>其它</errorWord>
      <group>L1_Word</group>
      <groupName>字词问题</groupName>
      <ability>L2_Alias</ability>
      <abilityName>也作/曾用词</abilityName>
      <candidateList>
        <item>其他</item>
      </candidateList>
      <explain>词汇[其它]为不规范表述或旧称，其规范书面表述为[其他]。</explain>
      <paraID>2F094F15</paraID>
      <start>2</start>
      <end>4</end>
      <status>ignored</status>
      <modifiedWord/>
      <trackRevisions>false</trackRevisions>
    </reviewItem>
    <reviewItem>
      <errorID>95720427-b08a-427c-af88-6f23f5bb5e47</errorID>
      <errorWord>[2021]18号</errorWord>
      <group>L1_Knowledge</group>
      <groupName>知识性问题</groupName>
      <ability>L2_Knowledge</ability>
      <abilityName>其他知识</abilityName>
      <candidateList>
        <item>〔2021〕18号</item>
      </candidateList>
      <explain>发文字号格式错误。</explain>
      <paraID>2F094F15</paraID>
      <start>10</start>
      <end>19</end>
      <status>modified</status>
      <modifiedWord>〔2021〕18号</modifiedWord>
      <trackRevisions>false</trackRevisions>
    </reviewItem>
    <reviewItem>
      <errorID>53255c37-e8d3-4b55-9bba-0e6b38c62503</errorID>
      <errorWord>[2024]5号</errorWord>
      <group>L1_Knowledge</group>
      <groupName>知识性问题</groupName>
      <ability>L2_Knowledge</ability>
      <abilityName>其他知识</abilityName>
      <candidateList>
        <item>〔2024〕5号</item>
      </candidateList>
      <explain>发文字号格式错误。</explain>
      <paraID>2F094F15</paraID>
      <start>24</start>
      <end>32</end>
      <status>modified</status>
      <modifiedWord>〔2024〕5号</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f7e1e-8f4f-4bc6-b905-a85b651c7d6b}">
  <ds:schemaRefs/>
</ds:datastoreItem>
</file>

<file path=customXml/itemProps3.xml><?xml version="1.0" encoding="utf-8"?>
<ds:datastoreItem xmlns:ds="http://schemas.openxmlformats.org/officeDocument/2006/customXml" ds:itemID="{EBF80C2E-1E84-49DD-8C16-E9B161C8BD7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2154</Words>
  <Characters>2291</Characters>
  <Lines>2</Lines>
  <Paragraphs>4</Paragraphs>
  <TotalTime>12</TotalTime>
  <ScaleCrop>false</ScaleCrop>
  <LinksUpToDate>false</LinksUpToDate>
  <CharactersWithSpaces>2291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2019-05-11T05:51:00Z</dcterms:created>
  <dc:creator>微软用户</dc:creator>
  <cp:lastModifiedBy>呱呱</cp:lastModifiedBy>
  <cp:lastPrinted>2025-12-25T08:15:44Z</cp:lastPrinted>
  <dcterms:modified xsi:type="dcterms:W3CDTF">2025-12-25T08:23:02Z</dcterms:modified>
  <dc:title>1、省道1825线湘阴至长沙公路岳阳段改建工程总投资12300万元</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eyJoZGlkIjoiYzFlM2FmOGFmNDQ1ODkzMTAzZTU0MmJkMTljNzRjZDQiLCJ1c2VySWQiOiIxMTQxODUzNzMwIn0=</vt:lpwstr>
  </property>
  <property fmtid="{D5CDD505-2E9C-101B-9397-08002B2CF9AE}" pid="4" name="ICV">
    <vt:lpwstr>F764C3A1460E4707A3BB3FBCA3DE0B71_13</vt:lpwstr>
  </property>
</Properties>
</file>