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64024">
      <w:pPr>
        <w:jc w:val="center"/>
        <w:rPr>
          <w:rFonts w:hint="eastAsia" w:ascii="宋体" w:hAnsi="宋体" w:eastAsia="宋体" w:cs="宋体"/>
          <w:b/>
          <w:bCs/>
          <w:sz w:val="36"/>
          <w:szCs w:val="36"/>
        </w:rPr>
      </w:pPr>
      <w:r>
        <w:rPr>
          <w:rFonts w:hint="eastAsia" w:ascii="宋体" w:hAnsi="宋体" w:eastAsia="宋体" w:cs="宋体"/>
          <w:b/>
          <w:bCs/>
          <w:sz w:val="36"/>
          <w:szCs w:val="36"/>
        </w:rPr>
        <w:t>临湘市人民政府禁火令</w:t>
      </w:r>
    </w:p>
    <w:p w14:paraId="6589451D">
      <w:pPr>
        <w:jc w:val="center"/>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送审稿</w:t>
      </w:r>
      <w:r>
        <w:rPr>
          <w:rFonts w:hint="eastAsia" w:ascii="楷体" w:hAnsi="楷体" w:eastAsia="楷体" w:cs="楷体"/>
          <w:sz w:val="32"/>
          <w:szCs w:val="32"/>
          <w:lang w:eastAsia="zh-CN"/>
        </w:rPr>
        <w:t>）</w:t>
      </w:r>
    </w:p>
    <w:p w14:paraId="06C1C905">
      <w:pPr>
        <w:keepNext w:val="0"/>
        <w:keepLines w:val="0"/>
        <w:pageBreakBefore w:val="0"/>
        <w:widowControl/>
        <w:kinsoku/>
        <w:wordWrap/>
        <w:overflowPunct/>
        <w:topLinePunct w:val="0"/>
        <w:autoSpaceDE w:val="0"/>
        <w:autoSpaceDN w:val="0"/>
        <w:bidi w:val="0"/>
        <w:adjustRightInd w:val="0"/>
        <w:snapToGrid w:val="0"/>
        <w:spacing w:line="440" w:lineRule="exact"/>
        <w:ind w:firstLine="600" w:firstLineChars="200"/>
        <w:textAlignment w:val="baseline"/>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为切实做好我市森林防火工作，有效预防和遏制森林火灾的 发生，保障人民群众生命财产和森林资源安全，根据《森林</w:t>
      </w:r>
      <w:r>
        <w:rPr>
          <w:rFonts w:hint="eastAsia" w:ascii="方正仿宋_GB2312" w:hAnsi="方正仿宋_GB2312" w:eastAsia="方正仿宋_GB2312" w:cs="方正仿宋_GB2312"/>
          <w:sz w:val="30"/>
          <w:szCs w:val="30"/>
          <w:lang w:val="en-US" w:eastAsia="zh-CN"/>
        </w:rPr>
        <w:t>草原</w:t>
      </w:r>
      <w:r>
        <w:rPr>
          <w:rFonts w:hint="eastAsia" w:ascii="方正仿宋_GB2312" w:hAnsi="方正仿宋_GB2312" w:eastAsia="方正仿宋_GB2312" w:cs="方正仿宋_GB2312"/>
          <w:sz w:val="30"/>
          <w:szCs w:val="30"/>
        </w:rPr>
        <w:t>防</w:t>
      </w:r>
      <w:r>
        <w:rPr>
          <w:rFonts w:hint="eastAsia" w:ascii="方正仿宋_GB2312" w:hAnsi="方正仿宋_GB2312" w:eastAsia="方正仿宋_GB2312" w:cs="方正仿宋_GB2312"/>
          <w:sz w:val="30"/>
          <w:szCs w:val="30"/>
          <w:lang w:eastAsia="zh-CN"/>
        </w:rPr>
        <w:t>灭</w:t>
      </w:r>
      <w:r>
        <w:rPr>
          <w:rFonts w:hint="eastAsia" w:ascii="方正仿宋_GB2312" w:hAnsi="方正仿宋_GB2312" w:eastAsia="方正仿宋_GB2312" w:cs="方正仿宋_GB2312"/>
          <w:sz w:val="30"/>
          <w:szCs w:val="30"/>
        </w:rPr>
        <w:t>火条例》第二十</w:t>
      </w:r>
      <w:r>
        <w:rPr>
          <w:rFonts w:hint="eastAsia" w:ascii="方正仿宋_GB2312" w:hAnsi="方正仿宋_GB2312" w:eastAsia="方正仿宋_GB2312" w:cs="方正仿宋_GB2312"/>
          <w:sz w:val="30"/>
          <w:szCs w:val="30"/>
          <w:lang w:val="en-US" w:eastAsia="zh-CN"/>
        </w:rPr>
        <w:t>七</w:t>
      </w:r>
      <w:r>
        <w:rPr>
          <w:rFonts w:hint="eastAsia" w:ascii="方正仿宋_GB2312" w:hAnsi="方正仿宋_GB2312" w:eastAsia="方正仿宋_GB2312" w:cs="方正仿宋_GB2312"/>
          <w:sz w:val="30"/>
          <w:szCs w:val="30"/>
        </w:rPr>
        <w:t>条</w:t>
      </w:r>
      <w:r>
        <w:rPr>
          <w:rFonts w:hint="eastAsia" w:ascii="方正仿宋_GB2312" w:hAnsi="方正仿宋_GB2312" w:eastAsia="方正仿宋_GB2312" w:cs="方正仿宋_GB2312"/>
          <w:sz w:val="30"/>
          <w:szCs w:val="30"/>
          <w:lang w:eastAsia="zh-CN"/>
        </w:rPr>
        <w:t>、</w:t>
      </w:r>
      <w:r>
        <w:rPr>
          <w:rFonts w:hint="eastAsia" w:ascii="方正仿宋_GB2312" w:hAnsi="方正仿宋_GB2312" w:eastAsia="方正仿宋_GB2312" w:cs="方正仿宋_GB2312"/>
          <w:sz w:val="30"/>
          <w:szCs w:val="30"/>
        </w:rPr>
        <w:t>第</w:t>
      </w:r>
      <w:r>
        <w:rPr>
          <w:rFonts w:hint="eastAsia" w:ascii="方正仿宋_GB2312" w:hAnsi="方正仿宋_GB2312" w:eastAsia="方正仿宋_GB2312" w:cs="方正仿宋_GB2312"/>
          <w:sz w:val="30"/>
          <w:szCs w:val="30"/>
          <w:lang w:val="en-US" w:eastAsia="zh-CN"/>
        </w:rPr>
        <w:t>三十</w:t>
      </w:r>
      <w:r>
        <w:rPr>
          <w:rFonts w:hint="eastAsia" w:ascii="方正仿宋_GB2312" w:hAnsi="方正仿宋_GB2312" w:eastAsia="方正仿宋_GB2312" w:cs="方正仿宋_GB2312"/>
          <w:sz w:val="30"/>
          <w:szCs w:val="30"/>
        </w:rPr>
        <w:t>条及《湖南省森林防火若干规定》第十四条的规定，结合我市实际，特发布以下命令：</w:t>
      </w:r>
    </w:p>
    <w:p w14:paraId="266E9EED">
      <w:pPr>
        <w:keepNext w:val="0"/>
        <w:keepLines w:val="0"/>
        <w:pageBreakBefore w:val="0"/>
        <w:widowControl/>
        <w:kinsoku/>
        <w:wordWrap/>
        <w:overflowPunct/>
        <w:topLinePunct w:val="0"/>
        <w:autoSpaceDE w:val="0"/>
        <w:autoSpaceDN w:val="0"/>
        <w:bidi w:val="0"/>
        <w:adjustRightInd w:val="0"/>
        <w:snapToGrid w:val="0"/>
        <w:spacing w:line="440" w:lineRule="exact"/>
        <w:ind w:firstLine="602" w:firstLineChars="200"/>
        <w:textAlignment w:val="baseline"/>
        <w:rPr>
          <w:rFonts w:hint="eastAsia" w:ascii="方正仿宋_GB2312" w:hAnsi="方正仿宋_GB2312" w:eastAsia="方正仿宋_GB2312" w:cs="方正仿宋_GB2312"/>
          <w:sz w:val="30"/>
          <w:szCs w:val="30"/>
        </w:rPr>
      </w:pPr>
      <w:r>
        <w:rPr>
          <w:rFonts w:hint="eastAsia" w:ascii="黑体" w:hAnsi="黑体" w:eastAsia="黑体" w:cs="黑体"/>
          <w:b/>
          <w:bCs/>
          <w:sz w:val="30"/>
          <w:szCs w:val="30"/>
        </w:rPr>
        <w:t>一、禁火期</w:t>
      </w:r>
      <w:r>
        <w:rPr>
          <w:rFonts w:hint="eastAsia" w:ascii="方正仿宋_GB2312" w:hAnsi="方正仿宋_GB2312" w:eastAsia="方正仿宋_GB2312" w:cs="方正仿宋_GB2312"/>
          <w:sz w:val="30"/>
          <w:szCs w:val="30"/>
        </w:rPr>
        <w:t>：每年10月1日至次年4月30日。</w:t>
      </w:r>
    </w:p>
    <w:p w14:paraId="0A67958A">
      <w:pPr>
        <w:keepNext w:val="0"/>
        <w:keepLines w:val="0"/>
        <w:pageBreakBefore w:val="0"/>
        <w:widowControl/>
        <w:kinsoku/>
        <w:wordWrap/>
        <w:overflowPunct/>
        <w:topLinePunct w:val="0"/>
        <w:autoSpaceDE w:val="0"/>
        <w:autoSpaceDN w:val="0"/>
        <w:bidi w:val="0"/>
        <w:adjustRightInd w:val="0"/>
        <w:snapToGrid w:val="0"/>
        <w:spacing w:line="440" w:lineRule="exact"/>
        <w:ind w:firstLine="602" w:firstLineChars="200"/>
        <w:textAlignment w:val="baseline"/>
        <w:rPr>
          <w:rFonts w:hint="eastAsia" w:ascii="方正仿宋_GB2312" w:hAnsi="方正仿宋_GB2312" w:eastAsia="方正仿宋_GB2312" w:cs="方正仿宋_GB2312"/>
          <w:sz w:val="30"/>
          <w:szCs w:val="30"/>
        </w:rPr>
      </w:pPr>
      <w:r>
        <w:rPr>
          <w:rFonts w:hint="eastAsia" w:ascii="黑体" w:hAnsi="黑体" w:eastAsia="黑体" w:cs="黑体"/>
          <w:b/>
          <w:bCs/>
          <w:sz w:val="30"/>
          <w:szCs w:val="30"/>
        </w:rPr>
        <w:t>二、禁火区域</w:t>
      </w:r>
      <w:r>
        <w:rPr>
          <w:rFonts w:hint="eastAsia" w:ascii="方正仿宋_GB2312" w:hAnsi="方正仿宋_GB2312" w:eastAsia="方正仿宋_GB2312" w:cs="方正仿宋_GB2312"/>
          <w:sz w:val="30"/>
          <w:szCs w:val="30"/>
        </w:rPr>
        <w:t>：全市区域内所有林地、城市园林绿化带及森林边缘50米范围内的林缘地。</w:t>
      </w:r>
    </w:p>
    <w:p w14:paraId="119D9E7F">
      <w:pPr>
        <w:keepNext w:val="0"/>
        <w:keepLines w:val="0"/>
        <w:pageBreakBefore w:val="0"/>
        <w:widowControl/>
        <w:kinsoku/>
        <w:wordWrap/>
        <w:overflowPunct/>
        <w:topLinePunct w:val="0"/>
        <w:autoSpaceDE w:val="0"/>
        <w:autoSpaceDN w:val="0"/>
        <w:bidi w:val="0"/>
        <w:adjustRightInd w:val="0"/>
        <w:snapToGrid w:val="0"/>
        <w:spacing w:line="440" w:lineRule="exact"/>
        <w:ind w:firstLine="602" w:firstLineChars="200"/>
        <w:textAlignment w:val="baseline"/>
        <w:rPr>
          <w:rFonts w:hint="eastAsia" w:ascii="方正仿宋_GB2312" w:hAnsi="方正仿宋_GB2312" w:eastAsia="方正仿宋_GB2312" w:cs="方正仿宋_GB2312"/>
          <w:sz w:val="30"/>
          <w:szCs w:val="30"/>
        </w:rPr>
      </w:pPr>
      <w:r>
        <w:rPr>
          <w:rFonts w:hint="eastAsia" w:ascii="黑体" w:hAnsi="黑体" w:eastAsia="黑体" w:cs="黑体"/>
          <w:b/>
          <w:bCs/>
          <w:sz w:val="30"/>
          <w:szCs w:val="30"/>
        </w:rPr>
        <w:t>三、</w:t>
      </w:r>
      <w:r>
        <w:rPr>
          <w:rFonts w:hint="eastAsia" w:ascii="黑体" w:hAnsi="黑体" w:eastAsia="黑体" w:cs="黑体"/>
          <w:b/>
          <w:bCs/>
          <w:sz w:val="30"/>
          <w:szCs w:val="30"/>
          <w:lang w:val="en-US" w:eastAsia="zh-CN"/>
        </w:rPr>
        <w:t>禁火行为</w:t>
      </w:r>
      <w:r>
        <w:rPr>
          <w:rFonts w:hint="eastAsia" w:ascii="方正仿宋_GB2312" w:hAnsi="方正仿宋_GB2312" w:eastAsia="方正仿宋_GB2312" w:cs="方正仿宋_GB2312"/>
          <w:sz w:val="30"/>
          <w:szCs w:val="30"/>
          <w:lang w:val="en-US" w:eastAsia="zh-CN"/>
        </w:rPr>
        <w:t>：禁火期间内在森林防火区野外禁止下列行为</w:t>
      </w:r>
      <w:r>
        <w:rPr>
          <w:rFonts w:hint="eastAsia" w:ascii="方正仿宋_GB2312" w:hAnsi="方正仿宋_GB2312" w:eastAsia="方正仿宋_GB2312" w:cs="方正仿宋_GB2312"/>
          <w:sz w:val="30"/>
          <w:szCs w:val="30"/>
        </w:rPr>
        <w:t>：</w:t>
      </w:r>
    </w:p>
    <w:p w14:paraId="41A08BE5">
      <w:pPr>
        <w:keepNext w:val="0"/>
        <w:keepLines w:val="0"/>
        <w:pageBreakBefore w:val="0"/>
        <w:widowControl/>
        <w:kinsoku/>
        <w:wordWrap/>
        <w:overflowPunct/>
        <w:topLinePunct w:val="0"/>
        <w:autoSpaceDE w:val="0"/>
        <w:autoSpaceDN w:val="0"/>
        <w:bidi w:val="0"/>
        <w:adjustRightInd w:val="0"/>
        <w:snapToGrid w:val="0"/>
        <w:spacing w:line="440" w:lineRule="exact"/>
        <w:ind w:firstLine="600" w:firstLineChars="200"/>
        <w:textAlignment w:val="baseline"/>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(一)严禁任何单位和个人未经批准携带火种和易燃易爆物品进入森林禁火区;</w:t>
      </w:r>
    </w:p>
    <w:p w14:paraId="1D9AD817">
      <w:pPr>
        <w:keepNext w:val="0"/>
        <w:keepLines w:val="0"/>
        <w:pageBreakBefore w:val="0"/>
        <w:widowControl/>
        <w:kinsoku/>
        <w:wordWrap/>
        <w:overflowPunct/>
        <w:topLinePunct w:val="0"/>
        <w:autoSpaceDE w:val="0"/>
        <w:autoSpaceDN w:val="0"/>
        <w:bidi w:val="0"/>
        <w:adjustRightInd w:val="0"/>
        <w:snapToGrid w:val="0"/>
        <w:spacing w:line="440" w:lineRule="exact"/>
        <w:ind w:firstLine="600" w:firstLineChars="200"/>
        <w:textAlignment w:val="baseline"/>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(二)严禁违规烧山、烧杂、烧火积肥或者烧田基草、农作物秸秆、果园杂草以及其他生产用火;</w:t>
      </w:r>
    </w:p>
    <w:p w14:paraId="796B214E">
      <w:pPr>
        <w:keepNext w:val="0"/>
        <w:keepLines w:val="0"/>
        <w:pageBreakBefore w:val="0"/>
        <w:widowControl/>
        <w:kinsoku/>
        <w:wordWrap/>
        <w:overflowPunct/>
        <w:topLinePunct w:val="0"/>
        <w:autoSpaceDE w:val="0"/>
        <w:autoSpaceDN w:val="0"/>
        <w:bidi w:val="0"/>
        <w:adjustRightInd w:val="0"/>
        <w:snapToGrid w:val="0"/>
        <w:spacing w:line="440" w:lineRule="exact"/>
        <w:ind w:firstLine="600" w:firstLineChars="200"/>
        <w:textAlignment w:val="baseline"/>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(三)严禁吸烟、烧火取暖、野炊、烧木炭、烧马蜂窝、放孔明灯和使用火把等用火行为;</w:t>
      </w:r>
    </w:p>
    <w:p w14:paraId="45C07828">
      <w:pPr>
        <w:keepNext w:val="0"/>
        <w:keepLines w:val="0"/>
        <w:pageBreakBefore w:val="0"/>
        <w:widowControl/>
        <w:kinsoku/>
        <w:wordWrap/>
        <w:overflowPunct/>
        <w:topLinePunct w:val="0"/>
        <w:autoSpaceDE w:val="0"/>
        <w:autoSpaceDN w:val="0"/>
        <w:bidi w:val="0"/>
        <w:adjustRightInd w:val="0"/>
        <w:snapToGrid w:val="0"/>
        <w:spacing w:line="440" w:lineRule="exact"/>
        <w:ind w:firstLine="600" w:firstLineChars="200"/>
        <w:textAlignment w:val="baseline"/>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(四)严禁烧纸钱、香烛和燃放烟花鞭炮及进行其他祭祀用火;</w:t>
      </w:r>
    </w:p>
    <w:p w14:paraId="55AA8898">
      <w:pPr>
        <w:keepNext w:val="0"/>
        <w:keepLines w:val="0"/>
        <w:pageBreakBefore w:val="0"/>
        <w:widowControl/>
        <w:kinsoku/>
        <w:wordWrap/>
        <w:overflowPunct/>
        <w:topLinePunct w:val="0"/>
        <w:autoSpaceDE w:val="0"/>
        <w:autoSpaceDN w:val="0"/>
        <w:bidi w:val="0"/>
        <w:adjustRightInd w:val="0"/>
        <w:snapToGrid w:val="0"/>
        <w:spacing w:line="440" w:lineRule="exact"/>
        <w:ind w:firstLine="600" w:firstLineChars="200"/>
        <w:textAlignment w:val="baseline"/>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(五)严禁烧山驱兽、驱虫和使用其他一切容易引发森林火灾的方法捕猎、狩猎;</w:t>
      </w:r>
    </w:p>
    <w:p w14:paraId="2EFC2FEA">
      <w:pPr>
        <w:keepNext w:val="0"/>
        <w:keepLines w:val="0"/>
        <w:pageBreakBefore w:val="0"/>
        <w:widowControl/>
        <w:kinsoku/>
        <w:wordWrap/>
        <w:overflowPunct/>
        <w:topLinePunct w:val="0"/>
        <w:autoSpaceDE w:val="0"/>
        <w:autoSpaceDN w:val="0"/>
        <w:bidi w:val="0"/>
        <w:adjustRightInd w:val="0"/>
        <w:snapToGrid w:val="0"/>
        <w:spacing w:line="440" w:lineRule="exact"/>
        <w:ind w:firstLine="600" w:firstLineChars="200"/>
        <w:textAlignment w:val="baseline"/>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(六)其他容易引起森林火灾的行为。</w:t>
      </w:r>
    </w:p>
    <w:p w14:paraId="5AB89DD4">
      <w:pPr>
        <w:keepNext w:val="0"/>
        <w:keepLines w:val="0"/>
        <w:pageBreakBefore w:val="0"/>
        <w:widowControl/>
        <w:kinsoku/>
        <w:wordWrap/>
        <w:overflowPunct/>
        <w:topLinePunct w:val="0"/>
        <w:autoSpaceDE w:val="0"/>
        <w:autoSpaceDN w:val="0"/>
        <w:bidi w:val="0"/>
        <w:adjustRightInd w:val="0"/>
        <w:snapToGrid w:val="0"/>
        <w:spacing w:line="440" w:lineRule="exact"/>
        <w:ind w:firstLine="600" w:firstLineChars="200"/>
        <w:textAlignment w:val="baseline"/>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因防治病虫害、冻害、造林抚育、工程建设等特殊情况确需野外用火的，按照野外用火程序向市林业局申请办理。</w:t>
      </w:r>
    </w:p>
    <w:p w14:paraId="726A4DC7">
      <w:pPr>
        <w:keepNext w:val="0"/>
        <w:keepLines w:val="0"/>
        <w:pageBreakBefore w:val="0"/>
        <w:widowControl/>
        <w:kinsoku/>
        <w:wordWrap/>
        <w:overflowPunct/>
        <w:topLinePunct w:val="0"/>
        <w:autoSpaceDE w:val="0"/>
        <w:autoSpaceDN w:val="0"/>
        <w:bidi w:val="0"/>
        <w:adjustRightInd w:val="0"/>
        <w:snapToGrid w:val="0"/>
        <w:spacing w:line="440" w:lineRule="exact"/>
        <w:ind w:firstLine="602" w:firstLineChars="200"/>
        <w:textAlignment w:val="baseline"/>
        <w:rPr>
          <w:rFonts w:hint="eastAsia" w:ascii="方正仿宋_GB2312" w:hAnsi="方正仿宋_GB2312" w:eastAsia="方正仿宋_GB2312" w:cs="方正仿宋_GB2312"/>
          <w:sz w:val="30"/>
          <w:szCs w:val="30"/>
        </w:rPr>
      </w:pPr>
      <w:r>
        <w:rPr>
          <w:rFonts w:hint="eastAsia" w:ascii="黑体" w:hAnsi="黑体" w:eastAsia="黑体" w:cs="黑体"/>
          <w:b/>
          <w:bCs/>
          <w:sz w:val="30"/>
          <w:szCs w:val="30"/>
        </w:rPr>
        <w:t>四、处罚措施</w:t>
      </w:r>
      <w:r>
        <w:rPr>
          <w:rFonts w:hint="eastAsia" w:ascii="方正仿宋_GB2312" w:hAnsi="方正仿宋_GB2312" w:eastAsia="方正仿宋_GB2312" w:cs="方正仿宋_GB2312"/>
          <w:sz w:val="30"/>
          <w:szCs w:val="30"/>
        </w:rPr>
        <w:t>：凡</w:t>
      </w:r>
      <w:bookmarkStart w:id="0" w:name="_GoBack"/>
      <w:bookmarkEnd w:id="0"/>
      <w:r>
        <w:rPr>
          <w:rFonts w:hint="eastAsia" w:ascii="方正仿宋_GB2312" w:hAnsi="方正仿宋_GB2312" w:eastAsia="方正仿宋_GB2312" w:cs="方正仿宋_GB2312"/>
          <w:sz w:val="30"/>
          <w:szCs w:val="30"/>
        </w:rPr>
        <w:t>违反本令规定的，由相关职能部门依照《森林</w:t>
      </w:r>
      <w:r>
        <w:rPr>
          <w:rFonts w:hint="eastAsia" w:ascii="方正仿宋_GB2312" w:hAnsi="方正仿宋_GB2312" w:eastAsia="方正仿宋_GB2312" w:cs="方正仿宋_GB2312"/>
          <w:sz w:val="30"/>
          <w:szCs w:val="30"/>
          <w:lang w:val="en-US" w:eastAsia="zh-CN"/>
        </w:rPr>
        <w:t>草原</w:t>
      </w:r>
      <w:r>
        <w:rPr>
          <w:rFonts w:hint="eastAsia" w:ascii="方正仿宋_GB2312" w:hAnsi="方正仿宋_GB2312" w:eastAsia="方正仿宋_GB2312" w:cs="方正仿宋_GB2312"/>
          <w:sz w:val="30"/>
          <w:szCs w:val="30"/>
        </w:rPr>
        <w:t>防</w:t>
      </w:r>
      <w:r>
        <w:rPr>
          <w:rFonts w:hint="eastAsia" w:ascii="方正仿宋_GB2312" w:hAnsi="方正仿宋_GB2312" w:eastAsia="方正仿宋_GB2312" w:cs="方正仿宋_GB2312"/>
          <w:sz w:val="30"/>
          <w:szCs w:val="30"/>
          <w:lang w:eastAsia="zh-CN"/>
        </w:rPr>
        <w:t>灭</w:t>
      </w:r>
      <w:r>
        <w:rPr>
          <w:rFonts w:hint="eastAsia" w:ascii="方正仿宋_GB2312" w:hAnsi="方正仿宋_GB2312" w:eastAsia="方正仿宋_GB2312" w:cs="方正仿宋_GB2312"/>
          <w:sz w:val="30"/>
          <w:szCs w:val="30"/>
        </w:rPr>
        <w:t>火条例》和《湖南省森林防火若干规定》有关规定进行处罚；情节较重的，由公安机关依照《中华人民共和国治安管理</w:t>
      </w:r>
      <w:r>
        <w:rPr>
          <w:rFonts w:hint="eastAsia" w:ascii="方正仿宋_GB2312" w:hAnsi="方正仿宋_GB2312" w:eastAsia="方正仿宋_GB2312" w:cs="方正仿宋_GB2312"/>
          <w:sz w:val="30"/>
          <w:szCs w:val="30"/>
          <w:lang w:val="en-US" w:eastAsia="zh-CN"/>
        </w:rPr>
        <w:t>处</w:t>
      </w:r>
      <w:r>
        <w:rPr>
          <w:rFonts w:hint="eastAsia" w:ascii="方正仿宋_GB2312" w:hAnsi="方正仿宋_GB2312" w:eastAsia="方正仿宋_GB2312" w:cs="方正仿宋_GB2312"/>
          <w:sz w:val="30"/>
          <w:szCs w:val="30"/>
        </w:rPr>
        <w:t>罚法》有关规定予以治安管理处罚；构成犯罪的，依法追究刑事责任。</w:t>
      </w:r>
    </w:p>
    <w:p w14:paraId="30AD8B2F">
      <w:pPr>
        <w:keepNext w:val="0"/>
        <w:keepLines w:val="0"/>
        <w:pageBreakBefore w:val="0"/>
        <w:widowControl/>
        <w:kinsoku/>
        <w:wordWrap/>
        <w:overflowPunct/>
        <w:topLinePunct w:val="0"/>
        <w:autoSpaceDE w:val="0"/>
        <w:autoSpaceDN w:val="0"/>
        <w:bidi w:val="0"/>
        <w:adjustRightInd w:val="0"/>
        <w:snapToGrid w:val="0"/>
        <w:spacing w:line="440" w:lineRule="exact"/>
        <w:ind w:firstLine="602" w:firstLineChars="200"/>
        <w:textAlignment w:val="baseline"/>
        <w:rPr>
          <w:rFonts w:hint="eastAsia" w:ascii="黑体" w:hAnsi="黑体" w:eastAsia="黑体" w:cs="黑体"/>
          <w:b/>
          <w:bCs/>
          <w:sz w:val="30"/>
          <w:szCs w:val="30"/>
          <w:lang w:eastAsia="zh-CN"/>
        </w:rPr>
      </w:pPr>
      <w:r>
        <w:rPr>
          <w:rFonts w:hint="eastAsia" w:ascii="黑体" w:hAnsi="黑体" w:eastAsia="黑体" w:cs="黑体"/>
          <w:b/>
          <w:bCs/>
          <w:sz w:val="30"/>
          <w:szCs w:val="30"/>
          <w:lang w:val="en-US" w:eastAsia="zh-CN"/>
        </w:rPr>
        <w:t>五</w:t>
      </w:r>
      <w:r>
        <w:rPr>
          <w:rFonts w:hint="eastAsia" w:ascii="黑体" w:hAnsi="黑体" w:eastAsia="黑体" w:cs="黑体"/>
          <w:b/>
          <w:bCs/>
          <w:sz w:val="30"/>
          <w:szCs w:val="30"/>
          <w:lang w:eastAsia="zh-CN"/>
        </w:rPr>
        <w:t>、本令自公布之日起施行，有效期</w:t>
      </w:r>
      <w:r>
        <w:rPr>
          <w:rFonts w:hint="eastAsia" w:ascii="黑体" w:hAnsi="黑体" w:eastAsia="黑体" w:cs="黑体"/>
          <w:b/>
          <w:bCs/>
          <w:sz w:val="30"/>
          <w:szCs w:val="30"/>
          <w:lang w:val="en-US" w:eastAsia="zh-CN"/>
        </w:rPr>
        <w:t>两</w:t>
      </w:r>
      <w:r>
        <w:rPr>
          <w:rFonts w:hint="eastAsia" w:ascii="黑体" w:hAnsi="黑体" w:eastAsia="黑体" w:cs="黑体"/>
          <w:b/>
          <w:bCs/>
          <w:sz w:val="30"/>
          <w:szCs w:val="30"/>
          <w:lang w:eastAsia="zh-CN"/>
        </w:rPr>
        <w:t>年。</w:t>
      </w:r>
    </w:p>
    <w:p w14:paraId="1C0B2DB3">
      <w:pPr>
        <w:keepNext w:val="0"/>
        <w:keepLines w:val="0"/>
        <w:pageBreakBefore w:val="0"/>
        <w:widowControl w:val="0"/>
        <w:kinsoku/>
        <w:wordWrap/>
        <w:overflowPunct/>
        <w:topLinePunct w:val="0"/>
        <w:autoSpaceDE w:val="0"/>
        <w:autoSpaceDN w:val="0"/>
        <w:bidi w:val="0"/>
        <w:adjustRightInd w:val="0"/>
        <w:snapToGrid w:val="0"/>
        <w:spacing w:line="440" w:lineRule="exact"/>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rPr>
        <w:t>全市广大干部群众积极参与森林防火，自觉遵守森林防火规定，发现违规用火和森林火情，应立即拨打森林火灾报警电话：</w:t>
      </w:r>
      <w:r>
        <w:rPr>
          <w:rFonts w:hint="eastAsia" w:ascii="方正仿宋_GB2312" w:hAnsi="方正仿宋_GB2312" w:eastAsia="方正仿宋_GB2312" w:cs="方正仿宋_GB2312"/>
          <w:b/>
          <w:bCs/>
          <w:sz w:val="30"/>
          <w:szCs w:val="30"/>
        </w:rPr>
        <w:t>119</w:t>
      </w:r>
      <w:r>
        <w:rPr>
          <w:rFonts w:hint="eastAsia" w:ascii="方正仿宋_GB2312" w:hAnsi="方正仿宋_GB2312" w:eastAsia="方正仿宋_GB2312" w:cs="方正仿宋_GB2312"/>
          <w:sz w:val="30"/>
          <w:szCs w:val="30"/>
        </w:rPr>
        <w:t>。</w:t>
      </w:r>
    </w:p>
    <w:p w14:paraId="62CF8166">
      <w:pPr>
        <w:pStyle w:val="2"/>
        <w:keepNext w:val="0"/>
        <w:keepLines w:val="0"/>
        <w:pageBreakBefore w:val="0"/>
        <w:widowControl/>
        <w:wordWrap/>
        <w:overflowPunct/>
        <w:topLinePunct w:val="0"/>
        <w:autoSpaceDE w:val="0"/>
        <w:autoSpaceDN w:val="0"/>
        <w:bidi w:val="0"/>
        <w:adjustRightInd w:val="0"/>
        <w:snapToGrid w:val="0"/>
        <w:spacing w:line="440" w:lineRule="exact"/>
        <w:ind w:firstLine="6300" w:firstLineChars="2100"/>
        <w:textAlignment w:val="baseline"/>
        <w:rPr>
          <w:rFonts w:hint="eastAsia" w:ascii="方正仿宋_GB2312" w:hAnsi="方正仿宋_GB2312" w:eastAsia="方正仿宋_GB2312" w:cs="方正仿宋_GB2312"/>
          <w:snapToGrid w:val="0"/>
          <w:color w:val="000000"/>
          <w:kern w:val="0"/>
          <w:sz w:val="30"/>
          <w:szCs w:val="30"/>
          <w:lang w:val="en-US" w:eastAsia="zh-CN" w:bidi="ar-SA"/>
        </w:rPr>
      </w:pPr>
    </w:p>
    <w:p w14:paraId="6AB9A882">
      <w:pPr>
        <w:pStyle w:val="2"/>
        <w:keepNext w:val="0"/>
        <w:keepLines w:val="0"/>
        <w:pageBreakBefore w:val="0"/>
        <w:widowControl/>
        <w:wordWrap/>
        <w:overflowPunct/>
        <w:topLinePunct w:val="0"/>
        <w:autoSpaceDE w:val="0"/>
        <w:autoSpaceDN w:val="0"/>
        <w:bidi w:val="0"/>
        <w:adjustRightInd w:val="0"/>
        <w:snapToGrid w:val="0"/>
        <w:spacing w:line="440" w:lineRule="exact"/>
        <w:ind w:firstLine="6300" w:firstLineChars="2100"/>
        <w:textAlignment w:val="baseline"/>
        <w:rPr>
          <w:rFonts w:hint="eastAsia"/>
          <w:sz w:val="30"/>
          <w:szCs w:val="30"/>
          <w:lang w:val="en-US" w:eastAsia="zh-CN"/>
        </w:rPr>
      </w:pPr>
      <w:r>
        <w:rPr>
          <w:rFonts w:hint="eastAsia" w:ascii="方正仿宋_GB2312" w:hAnsi="方正仿宋_GB2312" w:eastAsia="方正仿宋_GB2312" w:cs="方正仿宋_GB2312"/>
          <w:snapToGrid w:val="0"/>
          <w:color w:val="000000"/>
          <w:kern w:val="0"/>
          <w:sz w:val="30"/>
          <w:szCs w:val="30"/>
          <w:lang w:val="en-US" w:eastAsia="zh-CN" w:bidi="ar-SA"/>
        </w:rPr>
        <w:t>2026年9月1日</w:t>
      </w:r>
    </w:p>
    <w:sectPr>
      <w:headerReference r:id="rId5" w:type="default"/>
      <w:pgSz w:w="11906" w:h="16838"/>
      <w:pgMar w:top="1361" w:right="1474" w:bottom="1361"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0B72EF3-8424-493E-BC24-6CA453FF0A08}"/>
  </w:font>
  <w:font w:name="黑体">
    <w:panose1 w:val="02010609060101010101"/>
    <w:charset w:val="86"/>
    <w:family w:val="auto"/>
    <w:pitch w:val="default"/>
    <w:sig w:usb0="800002BF" w:usb1="38CF7CFA" w:usb2="00000016" w:usb3="00000000" w:csb0="00040001" w:csb1="00000000"/>
    <w:embedRegular r:id="rId2" w:fontKey="{68F3BD2E-9185-4E22-9084-E108E916BA7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EC331A24-D340-45CF-8002-323E887072F6}"/>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4" w:fontKey="{7D17F0B3-064D-4910-85B8-DFEAD11369A7}"/>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大标宋简体">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embedRegular r:id="rId5" w:fontKey="{7B959770-26CB-488C-8563-94CFF0CEC054}"/>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8F56C">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EA4406"/>
    <w:rsid w:val="1A292634"/>
    <w:rsid w:val="1BF84732"/>
    <w:rsid w:val="1EB91676"/>
    <w:rsid w:val="2267669D"/>
    <w:rsid w:val="24311EAA"/>
    <w:rsid w:val="29D12512"/>
    <w:rsid w:val="2F851C2F"/>
    <w:rsid w:val="33D47957"/>
    <w:rsid w:val="3AA72914"/>
    <w:rsid w:val="41ED7D32"/>
    <w:rsid w:val="502D40E6"/>
    <w:rsid w:val="530750C6"/>
    <w:rsid w:val="56CE6E2B"/>
    <w:rsid w:val="6DFE1359"/>
    <w:rsid w:val="7C776EA4"/>
    <w:rsid w:val="7E631D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仿宋" w:hAnsi="仿宋" w:eastAsia="仿宋" w:cs="仿宋"/>
      <w:sz w:val="33"/>
      <w:szCs w:val="33"/>
      <w:lang w:val="en-US" w:eastAsia="en-US" w:bidi="ar-SA"/>
    </w:rPr>
  </w:style>
  <w:style w:type="paragraph" w:styleId="3">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644</Words>
  <Characters>657</Characters>
  <Lines>0</Lines>
  <Paragraphs>0</Paragraphs>
  <TotalTime>29</TotalTime>
  <ScaleCrop>false</ScaleCrop>
  <LinksUpToDate>false</LinksUpToDate>
  <CharactersWithSpaces>660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2026-08-24T07:11:00Z</dcterms:created>
  <dc:creator>Administrator</dc:creator>
  <cp:lastModifiedBy>Administrator</cp:lastModifiedBy>
  <cp:lastPrinted>2026-09-01T09:43:00Z</cp:lastPrinted>
  <dcterms:modified xsi:type="dcterms:W3CDTF">2026-09-02T00:14:17Z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eyJoZGlkIjoiYjYxMDU5NjA2Mzk5ZTI3NWI2ZDA5ZDQ3YjI1NDA2N2QiLCJ1c2VySWQiOiIyNDExNjQxNjAifQ==</vt:lpwstr>
  </property>
  <property fmtid="{D5CDD505-2E9C-101B-9397-08002B2CF9AE}" pid="4" name="ICV">
    <vt:lpwstr>83B521206CB94271BC05787B4595FCB1_13</vt:lpwstr>
  </property>
</Properties>
</file>