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ED2EFB">
      <w:pPr>
        <w:keepNext w:val="0"/>
        <w:keepLines w:val="0"/>
        <w:pageBreakBefore w:val="0"/>
        <w:widowControl w:val="0"/>
        <w:kinsoku/>
        <w:wordWrap/>
        <w:overflowPunct/>
        <w:topLinePunct w:val="0"/>
        <w:autoSpaceDE/>
        <w:autoSpaceDN/>
        <w:bidi w:val="0"/>
        <w:adjustRightInd/>
        <w:snapToGrid/>
        <w:spacing w:line="600" w:lineRule="exact"/>
        <w:ind w:firstLine="5880" w:firstLineChars="2100"/>
        <w:jc w:val="both"/>
        <w:textAlignment w:val="auto"/>
        <w:rPr>
          <w:rFonts w:hint="default" w:ascii="Times New Roman" w:hAnsi="Times New Roman" w:cs="Times New Roman"/>
          <w:color w:val="000000" w:themeColor="text1"/>
          <w:sz w:val="28"/>
          <w:szCs w:val="28"/>
          <w14:textFill>
            <w14:solidFill>
              <w14:schemeClr w14:val="tx1"/>
            </w14:solidFill>
          </w14:textFill>
        </w:rPr>
      </w:pPr>
      <w:bookmarkStart w:id="1" w:name="_GoBack"/>
    </w:p>
    <w:p w14:paraId="1398E63C">
      <w:pPr>
        <w:keepNext w:val="0"/>
        <w:keepLines w:val="0"/>
        <w:pageBreakBefore w:val="0"/>
        <w:widowControl w:val="0"/>
        <w:kinsoku/>
        <w:wordWrap/>
        <w:overflowPunct/>
        <w:topLinePunct w:val="0"/>
        <w:autoSpaceDE/>
        <w:autoSpaceDN/>
        <w:bidi w:val="0"/>
        <w:adjustRightInd/>
        <w:snapToGrid/>
        <w:spacing w:line="600" w:lineRule="exact"/>
        <w:ind w:firstLine="5880" w:firstLineChars="2100"/>
        <w:jc w:val="both"/>
        <w:textAlignment w:val="auto"/>
        <w:rPr>
          <w:rFonts w:hint="default" w:ascii="Times New Roman" w:hAnsi="Times New Roman" w:cs="Times New Roman"/>
          <w:color w:val="000000" w:themeColor="text1"/>
          <w:sz w:val="28"/>
          <w:szCs w:val="28"/>
          <w14:textFill>
            <w14:solidFill>
              <w14:schemeClr w14:val="tx1"/>
            </w14:solidFill>
          </w14:textFill>
        </w:rPr>
      </w:pPr>
    </w:p>
    <w:p w14:paraId="668A4648">
      <w:pPr>
        <w:keepNext w:val="0"/>
        <w:keepLines w:val="0"/>
        <w:pageBreakBefore w:val="0"/>
        <w:widowControl w:val="0"/>
        <w:kinsoku/>
        <w:wordWrap/>
        <w:overflowPunct/>
        <w:topLinePunct w:val="0"/>
        <w:autoSpaceDE/>
        <w:autoSpaceDN/>
        <w:bidi w:val="0"/>
        <w:adjustRightInd/>
        <w:snapToGrid/>
        <w:spacing w:line="600" w:lineRule="exact"/>
        <w:ind w:firstLine="5880" w:firstLineChars="2100"/>
        <w:jc w:val="both"/>
        <w:textAlignment w:val="auto"/>
        <w:rPr>
          <w:rFonts w:hint="default" w:ascii="Times New Roman" w:hAnsi="Times New Roman" w:cs="Times New Roman"/>
          <w:color w:val="000000" w:themeColor="text1"/>
          <w:sz w:val="28"/>
          <w:szCs w:val="28"/>
          <w14:textFill>
            <w14:solidFill>
              <w14:schemeClr w14:val="tx1"/>
            </w14:solidFill>
          </w14:textFill>
        </w:rPr>
      </w:pPr>
    </w:p>
    <w:bookmarkEnd w:id="1"/>
    <w:p w14:paraId="408EB70A">
      <w:pPr>
        <w:keepNext w:val="0"/>
        <w:keepLines w:val="0"/>
        <w:pageBreakBefore w:val="0"/>
        <w:kinsoku/>
        <w:wordWrap/>
        <w:overflowPunct/>
        <w:topLinePunct w:val="0"/>
        <w:autoSpaceDN/>
        <w:bidi w:val="0"/>
        <w:adjustRightInd/>
        <w:snapToGrid/>
        <w:spacing w:line="560" w:lineRule="exact"/>
        <w:ind w:firstLine="5880" w:firstLineChars="2100"/>
        <w:jc w:val="both"/>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岳临环评〔202</w:t>
      </w:r>
      <w:r>
        <w:rPr>
          <w:rFonts w:hint="default" w:ascii="Times New Roman" w:hAnsi="Times New Roman" w:cs="Times New Roman"/>
          <w:color w:val="000000" w:themeColor="text1"/>
          <w:sz w:val="28"/>
          <w:szCs w:val="28"/>
          <w14:textFill>
            <w14:solidFill>
              <w14:schemeClr w14:val="tx1"/>
            </w14:solidFill>
          </w14:textFill>
        </w:rPr>
        <w:t>6</w:t>
      </w:r>
      <w:r>
        <w:rPr>
          <w:rFonts w:hint="default" w:ascii="Times New Roman" w:hAnsi="Times New Roman" w:cs="Times New Roman"/>
          <w:color w:val="000000" w:themeColor="text1"/>
          <w:sz w:val="28"/>
          <w:szCs w:val="28"/>
          <w14:textFill>
            <w14:solidFill>
              <w14:schemeClr w14:val="tx1"/>
            </w14:solidFill>
          </w14:textFill>
        </w:rPr>
        <w:t>〕</w:t>
      </w:r>
      <w:r>
        <w:rPr>
          <w:rFonts w:hint="default" w:ascii="Times New Roman" w:hAnsi="Times New Roman" w:cs="Times New Roman"/>
          <w:color w:val="000000" w:themeColor="text1"/>
          <w:sz w:val="28"/>
          <w:szCs w:val="28"/>
          <w:lang w:val="en-US" w:eastAsia="zh-CN"/>
          <w14:textFill>
            <w14:solidFill>
              <w14:schemeClr w14:val="tx1"/>
            </w14:solidFill>
          </w14:textFill>
        </w:rPr>
        <w:t>9</w:t>
      </w:r>
      <w:r>
        <w:rPr>
          <w:rFonts w:hint="default" w:ascii="Times New Roman" w:hAnsi="Times New Roman" w:cs="Times New Roman"/>
          <w:color w:val="000000" w:themeColor="text1"/>
          <w:sz w:val="28"/>
          <w:szCs w:val="28"/>
          <w14:textFill>
            <w14:solidFill>
              <w14:schemeClr w14:val="tx1"/>
            </w14:solidFill>
          </w14:textFill>
        </w:rPr>
        <w:t>号</w:t>
      </w:r>
    </w:p>
    <w:p w14:paraId="1B911924">
      <w:pPr>
        <w:pStyle w:val="33"/>
        <w:keepNext w:val="0"/>
        <w:keepLines w:val="0"/>
        <w:pageBreakBefore w:val="0"/>
        <w:kinsoku/>
        <w:wordWrap/>
        <w:overflowPunct/>
        <w:topLinePunct w:val="0"/>
        <w:autoSpaceDN/>
        <w:bidi w:val="0"/>
        <w:adjustRightInd/>
        <w:snapToGrid/>
        <w:spacing w:line="560" w:lineRule="exact"/>
        <w:ind w:left="216" w:hanging="216" w:hangingChars="49"/>
        <w:jc w:val="center"/>
        <w:textAlignment w:val="top"/>
        <w:rPr>
          <w:rFonts w:hint="default" w:ascii="Times New Roman" w:hAnsi="Times New Roman" w:cs="Times New Roman"/>
          <w:b/>
          <w:color w:val="000000" w:themeColor="text1"/>
          <w:sz w:val="44"/>
          <w:szCs w:val="44"/>
          <w14:textFill>
            <w14:solidFill>
              <w14:schemeClr w14:val="tx1"/>
            </w14:solidFill>
          </w14:textFill>
        </w:rPr>
      </w:pPr>
      <w:bookmarkStart w:id="0" w:name="_Hlk504140001"/>
      <w:r>
        <w:rPr>
          <w:rFonts w:hint="default" w:ascii="Times New Roman" w:hAnsi="Times New Roman" w:cs="Times New Roman"/>
          <w:b/>
          <w:color w:val="000000" w:themeColor="text1"/>
          <w:sz w:val="44"/>
          <w:szCs w:val="44"/>
          <w14:textFill>
            <w14:solidFill>
              <w14:schemeClr w14:val="tx1"/>
            </w14:solidFill>
          </w14:textFill>
        </w:rPr>
        <w:t>关于</w:t>
      </w:r>
      <w:r>
        <w:rPr>
          <w:rFonts w:hint="default" w:ascii="Times New Roman" w:hAnsi="Times New Roman" w:cs="Times New Roman"/>
          <w:b/>
          <w:color w:val="000000" w:themeColor="text1"/>
          <w:sz w:val="44"/>
          <w:szCs w:val="44"/>
          <w14:textFill>
            <w14:solidFill>
              <w14:schemeClr w14:val="tx1"/>
            </w14:solidFill>
          </w14:textFill>
        </w:rPr>
        <w:t>湖南临科新材料科技有限公司甲类危化品仓储建设项目</w:t>
      </w:r>
      <w:r>
        <w:rPr>
          <w:rFonts w:hint="default" w:ascii="Times New Roman" w:hAnsi="Times New Roman" w:cs="Times New Roman"/>
          <w:b/>
          <w:color w:val="000000" w:themeColor="text1"/>
          <w:sz w:val="44"/>
          <w:szCs w:val="44"/>
          <w:lang w:val="en-US" w:eastAsia="zh-CN"/>
          <w14:textFill>
            <w14:solidFill>
              <w14:schemeClr w14:val="tx1"/>
            </w14:solidFill>
          </w14:textFill>
        </w:rPr>
        <w:t>生态</w:t>
      </w:r>
      <w:r>
        <w:rPr>
          <w:rFonts w:hint="default" w:ascii="Times New Roman" w:hAnsi="Times New Roman" w:cs="Times New Roman"/>
          <w:b/>
          <w:color w:val="000000" w:themeColor="text1"/>
          <w:sz w:val="44"/>
          <w:szCs w:val="44"/>
          <w14:textFill>
            <w14:solidFill>
              <w14:schemeClr w14:val="tx1"/>
            </w14:solidFill>
          </w14:textFill>
        </w:rPr>
        <w:t>环境影响报告表的批复</w:t>
      </w:r>
    </w:p>
    <w:bookmarkEnd w:id="0"/>
    <w:p w14:paraId="3518F21B">
      <w:pPr>
        <w:pStyle w:val="33"/>
        <w:keepNext w:val="0"/>
        <w:keepLines w:val="0"/>
        <w:pageBreakBefore w:val="0"/>
        <w:kinsoku/>
        <w:wordWrap/>
        <w:overflowPunct/>
        <w:topLinePunct w:val="0"/>
        <w:autoSpaceDN/>
        <w:bidi w:val="0"/>
        <w:adjustRightInd/>
        <w:snapToGrid/>
        <w:spacing w:line="560" w:lineRule="exact"/>
        <w:jc w:val="both"/>
        <w:textAlignment w:val="top"/>
        <w:rPr>
          <w:rFonts w:hint="default" w:ascii="Times New Roman" w:hAnsi="Times New Roman" w:eastAsia="仿宋" w:cs="Times New Roman"/>
          <w:color w:val="000000" w:themeColor="text1"/>
          <w:sz w:val="24"/>
          <w:szCs w:val="24"/>
          <w14:textFill>
            <w14:solidFill>
              <w14:schemeClr w14:val="tx1"/>
            </w14:solidFill>
          </w14:textFill>
        </w:rPr>
      </w:pPr>
    </w:p>
    <w:p w14:paraId="1762A531">
      <w:pPr>
        <w:pStyle w:val="33"/>
        <w:keepNext w:val="0"/>
        <w:keepLines w:val="0"/>
        <w:pageBreakBefore w:val="0"/>
        <w:kinsoku/>
        <w:wordWrap/>
        <w:overflowPunct/>
        <w:topLinePunct w:val="0"/>
        <w:autoSpaceDN/>
        <w:bidi w:val="0"/>
        <w:adjustRightInd/>
        <w:snapToGrid/>
        <w:spacing w:line="560" w:lineRule="exact"/>
        <w:jc w:val="both"/>
        <w:textAlignment w:val="top"/>
        <w:rPr>
          <w:rFonts w:hint="default" w:ascii="Times New Roman" w:hAnsi="Times New Roman" w:eastAsia="仿宋" w:cs="Times New Roman"/>
          <w:color w:val="000000" w:themeColor="text1"/>
          <w:kern w:val="2"/>
          <w:sz w:val="32"/>
          <w:szCs w:val="32"/>
          <w14:textFill>
            <w14:solidFill>
              <w14:schemeClr w14:val="tx1"/>
            </w14:solidFill>
          </w14:textFill>
        </w:rPr>
      </w:pPr>
      <w:r>
        <w:rPr>
          <w:rFonts w:hint="default" w:ascii="Times New Roman" w:hAnsi="Times New Roman" w:eastAsia="仿宋" w:cs="Times New Roman"/>
          <w:color w:val="000000" w:themeColor="text1"/>
          <w:kern w:val="2"/>
          <w:sz w:val="32"/>
          <w:szCs w:val="32"/>
          <w14:textFill>
            <w14:solidFill>
              <w14:schemeClr w14:val="tx1"/>
            </w14:solidFill>
          </w14:textFill>
        </w:rPr>
        <w:t>湖南临科新材料科技有限公司</w:t>
      </w:r>
      <w:r>
        <w:rPr>
          <w:rFonts w:hint="default" w:ascii="Times New Roman" w:hAnsi="Times New Roman" w:eastAsia="仿宋" w:cs="Times New Roman"/>
          <w:color w:val="000000" w:themeColor="text1"/>
          <w:kern w:val="2"/>
          <w:sz w:val="32"/>
          <w:szCs w:val="32"/>
          <w14:textFill>
            <w14:solidFill>
              <w14:schemeClr w14:val="tx1"/>
            </w14:solidFill>
          </w14:textFill>
        </w:rPr>
        <w:t>：</w:t>
      </w:r>
    </w:p>
    <w:p w14:paraId="0E10D8C4">
      <w:pPr>
        <w:pStyle w:val="42"/>
        <w:keepNext w:val="0"/>
        <w:keepLines w:val="0"/>
        <w:pageBreakBefore w:val="0"/>
        <w:kinsoku/>
        <w:wordWrap/>
        <w:overflowPunct/>
        <w:topLinePunct w:val="0"/>
        <w:autoSpaceDN/>
        <w:bidi w:val="0"/>
        <w:adjustRightInd/>
        <w:snapToGrid/>
        <w:spacing w:line="560" w:lineRule="exact"/>
        <w:ind w:firstLine="640" w:firstLineChars="200"/>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你公司报送的《</w:t>
      </w:r>
      <w:r>
        <w:rPr>
          <w:rFonts w:hint="default" w:ascii="Times New Roman" w:hAnsi="Times New Roman" w:eastAsia="仿宋" w:cs="Times New Roman"/>
          <w:color w:val="000000" w:themeColor="text1"/>
          <w:sz w:val="32"/>
          <w:szCs w:val="32"/>
          <w14:textFill>
            <w14:solidFill>
              <w14:schemeClr w14:val="tx1"/>
            </w14:solidFill>
          </w14:textFill>
        </w:rPr>
        <w:t>湖南临科新材料科技有限公司甲类危化品仓储建设项目</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生态</w:t>
      </w:r>
      <w:r>
        <w:rPr>
          <w:rFonts w:hint="default" w:ascii="Times New Roman" w:hAnsi="Times New Roman" w:eastAsia="仿宋" w:cs="Times New Roman"/>
          <w:color w:val="000000" w:themeColor="text1"/>
          <w:sz w:val="32"/>
          <w:szCs w:val="32"/>
          <w14:textFill>
            <w14:solidFill>
              <w14:schemeClr w14:val="tx1"/>
            </w14:solidFill>
          </w14:textFill>
        </w:rPr>
        <w:t>环境影响报告表》（报批稿）（以下简称《报告表》）、申请批复的报告等相关材料收悉。经研究，现批复如下：</w:t>
      </w:r>
    </w:p>
    <w:p w14:paraId="30CB664F">
      <w:pPr>
        <w:pStyle w:val="5"/>
        <w:keepNext w:val="0"/>
        <w:keepLines w:val="0"/>
        <w:pageBreakBefore w:val="0"/>
        <w:kinsoku/>
        <w:wordWrap/>
        <w:overflowPunct/>
        <w:topLinePunct w:val="0"/>
        <w:autoSpaceDN/>
        <w:bidi w:val="0"/>
        <w:adjustRightInd/>
        <w:snapToGrid/>
        <w:spacing w:line="560" w:lineRule="exact"/>
        <w:ind w:left="0" w:leftChars="0" w:firstLine="640" w:firstLineChars="200"/>
        <w:rPr>
          <w:rFonts w:hint="default" w:ascii="Times New Roman" w:hAnsi="Times New Roman" w:eastAsia="仿宋"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 w:cs="Times New Roman"/>
          <w:color w:val="000000" w:themeColor="text1"/>
          <w:kern w:val="2"/>
          <w:sz w:val="32"/>
          <w:szCs w:val="32"/>
          <w:lang w:val="en-US" w:eastAsia="zh-CN" w:bidi="ar-SA"/>
          <w14:textFill>
            <w14:solidFill>
              <w14:schemeClr w14:val="tx1"/>
            </w14:solidFill>
          </w14:textFill>
        </w:rPr>
        <w:t>为解决你公司一期等项目建成投产后，盐酸等危险化学品储存量不能持续满足正常生产需求，你公司拟投资</w:t>
      </w:r>
      <w:r>
        <w:rPr>
          <w:rFonts w:hint="default" w:ascii="Times New Roman" w:hAnsi="Times New Roman" w:eastAsia="仿宋" w:cs="Times New Roman"/>
          <w:color w:val="000000" w:themeColor="text1"/>
          <w:kern w:val="2"/>
          <w:sz w:val="32"/>
          <w:szCs w:val="32"/>
          <w:lang w:val="en-US" w:eastAsia="zh-CN" w:bidi="ar-SA"/>
          <w14:textFill>
            <w14:solidFill>
              <w14:schemeClr w14:val="tx1"/>
            </w14:solidFill>
          </w14:textFill>
        </w:rPr>
        <w:t>2</w:t>
      </w:r>
      <w:r>
        <w:rPr>
          <w:rFonts w:hint="default" w:ascii="Times New Roman" w:hAnsi="Times New Roman" w:eastAsia="仿宋" w:cs="Times New Roman"/>
          <w:color w:val="000000" w:themeColor="text1"/>
          <w:kern w:val="2"/>
          <w:sz w:val="32"/>
          <w:szCs w:val="32"/>
          <w:lang w:val="en-US" w:eastAsia="zh-CN" w:bidi="ar-SA"/>
          <w14:textFill>
            <w14:solidFill>
              <w14:schemeClr w14:val="tx1"/>
            </w14:solidFill>
          </w14:textFill>
        </w:rPr>
        <w:t>000万元（其中环保投资约</w:t>
      </w:r>
      <w:r>
        <w:rPr>
          <w:rFonts w:hint="default" w:ascii="Times New Roman" w:hAnsi="Times New Roman" w:eastAsia="仿宋" w:cs="Times New Roman"/>
          <w:color w:val="000000" w:themeColor="text1"/>
          <w:kern w:val="2"/>
          <w:sz w:val="32"/>
          <w:szCs w:val="32"/>
          <w:lang w:val="en-US" w:eastAsia="zh-CN" w:bidi="ar-SA"/>
          <w14:textFill>
            <w14:solidFill>
              <w14:schemeClr w14:val="tx1"/>
            </w14:solidFill>
          </w14:textFill>
        </w:rPr>
        <w:t>86</w:t>
      </w:r>
      <w:r>
        <w:rPr>
          <w:rFonts w:hint="default" w:ascii="Times New Roman" w:hAnsi="Times New Roman" w:eastAsia="仿宋" w:cs="Times New Roman"/>
          <w:color w:val="000000" w:themeColor="text1"/>
          <w:kern w:val="2"/>
          <w:sz w:val="32"/>
          <w:szCs w:val="32"/>
          <w:lang w:val="en-US" w:eastAsia="zh-CN" w:bidi="ar-SA"/>
          <w14:textFill>
            <w14:solidFill>
              <w14:schemeClr w14:val="tx1"/>
            </w14:solidFill>
          </w14:textFill>
        </w:rPr>
        <w:t>万元），在临湘高新技术产业开发区</w:t>
      </w:r>
      <w:r>
        <w:rPr>
          <w:rFonts w:hint="default" w:ascii="Times New Roman" w:hAnsi="Times New Roman" w:eastAsia="仿宋" w:cs="Times New Roman"/>
          <w:color w:val="000000" w:themeColor="text1"/>
          <w:kern w:val="2"/>
          <w:sz w:val="32"/>
          <w:szCs w:val="32"/>
          <w:lang w:val="en-US" w:eastAsia="zh-CN" w:bidi="ar-SA"/>
          <w14:textFill>
            <w14:solidFill>
              <w14:schemeClr w14:val="tx1"/>
            </w14:solidFill>
          </w14:textFill>
        </w:rPr>
        <w:t>杨桥片区</w:t>
      </w:r>
      <w:r>
        <w:rPr>
          <w:rFonts w:hint="default" w:ascii="Times New Roman" w:hAnsi="Times New Roman" w:eastAsia="仿宋" w:cs="Times New Roman"/>
          <w:color w:val="000000" w:themeColor="text1"/>
          <w:kern w:val="2"/>
          <w:sz w:val="32"/>
          <w:szCs w:val="32"/>
          <w:lang w:val="en-US" w:eastAsia="zh-CN" w:bidi="ar-SA"/>
          <w14:textFill>
            <w14:solidFill>
              <w14:schemeClr w14:val="tx1"/>
            </w14:solidFill>
          </w14:textFill>
        </w:rPr>
        <w:t>富强路3号</w:t>
      </w:r>
      <w:r>
        <w:rPr>
          <w:rFonts w:hint="default" w:ascii="Times New Roman" w:hAnsi="Times New Roman" w:eastAsia="仿宋" w:cs="Times New Roman"/>
          <w:color w:val="000000" w:themeColor="text1"/>
          <w:kern w:val="2"/>
          <w:sz w:val="32"/>
          <w:szCs w:val="32"/>
          <w:lang w:val="en-US" w:eastAsia="zh-CN" w:bidi="ar-SA"/>
          <w14:textFill>
            <w14:solidFill>
              <w14:schemeClr w14:val="tx1"/>
            </w14:solidFill>
          </w14:textFill>
        </w:rPr>
        <w:t>（现有厂区北侧二期预留地）</w:t>
      </w:r>
      <w:r>
        <w:rPr>
          <w:rFonts w:hint="default" w:ascii="Times New Roman" w:hAnsi="Times New Roman" w:eastAsia="仿宋" w:cs="Times New Roman"/>
          <w:color w:val="000000" w:themeColor="text1"/>
          <w:kern w:val="2"/>
          <w:sz w:val="32"/>
          <w:szCs w:val="32"/>
          <w:lang w:val="en-US" w:eastAsia="zh-CN" w:bidi="ar-SA"/>
          <w14:textFill>
            <w14:solidFill>
              <w14:schemeClr w14:val="tx1"/>
            </w14:solidFill>
          </w14:textFill>
        </w:rPr>
        <w:t>，</w:t>
      </w:r>
      <w:r>
        <w:rPr>
          <w:rFonts w:hint="default" w:ascii="Times New Roman" w:hAnsi="Times New Roman" w:eastAsia="仿宋" w:cs="Times New Roman"/>
          <w:color w:val="000000" w:themeColor="text1"/>
          <w:kern w:val="2"/>
          <w:sz w:val="32"/>
          <w:szCs w:val="32"/>
          <w:lang w:val="en-US" w:eastAsia="zh-CN" w:bidi="ar-SA"/>
          <w14:textFill>
            <w14:solidFill>
              <w14:schemeClr w14:val="tx1"/>
            </w14:solidFill>
          </w14:textFill>
        </w:rPr>
        <w:t>建设年储存2.6万吨危化品仓储</w:t>
      </w:r>
      <w:r>
        <w:rPr>
          <w:rFonts w:hint="default" w:ascii="Times New Roman" w:hAnsi="Times New Roman" w:eastAsia="仿宋" w:cs="Times New Roman"/>
          <w:color w:val="000000" w:themeColor="text1"/>
          <w:kern w:val="2"/>
          <w:sz w:val="32"/>
          <w:szCs w:val="32"/>
          <w:lang w:val="en-US" w:eastAsia="zh-CN" w:bidi="ar-SA"/>
          <w14:textFill>
            <w14:solidFill>
              <w14:schemeClr w14:val="tx1"/>
            </w14:solidFill>
          </w14:textFill>
        </w:rPr>
        <w:t>项目。主要建设内容：新建储罐区</w:t>
      </w:r>
      <w:r>
        <w:rPr>
          <w:rFonts w:hint="eastAsia" w:ascii="Times New Roman" w:hAnsi="Times New Roman" w:eastAsia="仿宋" w:cs="Times New Roman"/>
          <w:color w:val="000000" w:themeColor="text1"/>
          <w:kern w:val="2"/>
          <w:sz w:val="32"/>
          <w:szCs w:val="32"/>
          <w:lang w:val="en-US" w:eastAsia="zh-CN" w:bidi="ar-SA"/>
          <w14:textFill>
            <w14:solidFill>
              <w14:schemeClr w14:val="tx1"/>
            </w14:solidFill>
          </w14:textFill>
        </w:rPr>
        <w:t>两个</w:t>
      </w:r>
      <w:r>
        <w:rPr>
          <w:rFonts w:hint="default" w:ascii="Times New Roman" w:hAnsi="Times New Roman" w:eastAsia="仿宋" w:cs="Times New Roman"/>
          <w:color w:val="000000" w:themeColor="text1"/>
          <w:kern w:val="2"/>
          <w:sz w:val="32"/>
          <w:szCs w:val="32"/>
          <w:lang w:val="en-US" w:eastAsia="zh-CN" w:bidi="ar-SA"/>
          <w14:textFill>
            <w14:solidFill>
              <w14:schemeClr w14:val="tx1"/>
            </w14:solidFill>
          </w14:textFill>
        </w:rPr>
        <w:t>，灌装间一栋，甲类、丙类仓库各一栋；新建废气处理设施、初期雨水池、危废暂存间；公用工程依托现有。</w:t>
      </w:r>
    </w:p>
    <w:p w14:paraId="1197D268">
      <w:pPr>
        <w:keepNext w:val="0"/>
        <w:keepLines w:val="0"/>
        <w:pageBreakBefore w:val="0"/>
        <w:numPr>
          <w:ilvl w:val="0"/>
          <w:numId w:val="1"/>
        </w:numPr>
        <w:kinsoku/>
        <w:wordWrap/>
        <w:overflowPunct/>
        <w:topLinePunct w:val="0"/>
        <w:autoSpaceDN/>
        <w:bidi w:val="0"/>
        <w:adjustRightInd/>
        <w:snapToGrid/>
        <w:spacing w:line="560" w:lineRule="exact"/>
        <w:ind w:firstLine="640"/>
        <w:jc w:val="both"/>
        <w:rPr>
          <w:rFonts w:hint="default" w:ascii="Times New Roman" w:hAnsi="Times New Roman" w:eastAsia="仿宋" w:cs="Times New Roman"/>
          <w:color w:val="000000" w:themeColor="text1"/>
          <w:kern w:val="2"/>
          <w:sz w:val="32"/>
          <w:szCs w:val="32"/>
          <w14:textFill>
            <w14:solidFill>
              <w14:schemeClr w14:val="tx1"/>
            </w14:solidFill>
          </w14:textFill>
        </w:rPr>
        <w:sectPr>
          <w:headerReference r:id="rId5" w:type="default"/>
          <w:footerReference r:id="rId6" w:type="default"/>
          <w:pgSz w:w="11906" w:h="16838"/>
          <w:pgMar w:top="1440" w:right="1588" w:bottom="1440" w:left="1588" w:header="851" w:footer="850" w:gutter="0"/>
          <w:pgNumType w:fmt="decimal" w:start="2"/>
          <w:cols w:space="720" w:num="1"/>
          <w:docGrid w:type="lines" w:linePitch="273" w:charSpace="0"/>
        </w:sectPr>
      </w:pPr>
      <w:r>
        <w:rPr>
          <w:rFonts w:hint="default" w:ascii="Times New Roman" w:hAnsi="Times New Roman" w:eastAsia="仿宋" w:cs="Times New Roman"/>
          <w:color w:val="000000" w:themeColor="text1"/>
          <w:kern w:val="2"/>
          <w:sz w:val="32"/>
          <w:szCs w:val="32"/>
          <w14:textFill>
            <w14:solidFill>
              <w14:schemeClr w14:val="tx1"/>
            </w14:solidFill>
          </w14:textFill>
        </w:rPr>
        <w:t>根据</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湖南佳蓝检测技术</w:t>
      </w:r>
      <w:r>
        <w:rPr>
          <w:rFonts w:hint="default" w:ascii="Times New Roman" w:hAnsi="Times New Roman" w:eastAsia="仿宋" w:cs="Times New Roman"/>
          <w:color w:val="000000" w:themeColor="text1"/>
          <w:kern w:val="2"/>
          <w:sz w:val="32"/>
          <w:szCs w:val="32"/>
          <w14:textFill>
            <w14:solidFill>
              <w14:schemeClr w14:val="tx1"/>
            </w14:solidFill>
          </w14:textFill>
        </w:rPr>
        <w:t>有限公司</w:t>
      </w:r>
      <w:r>
        <w:rPr>
          <w:rFonts w:hint="default" w:ascii="Times New Roman" w:hAnsi="Times New Roman" w:eastAsia="仿宋" w:cs="Times New Roman"/>
          <w:color w:val="000000" w:themeColor="text1"/>
          <w:kern w:val="2"/>
          <w:sz w:val="32"/>
          <w:szCs w:val="32"/>
          <w14:textFill>
            <w14:solidFill>
              <w14:schemeClr w14:val="tx1"/>
            </w14:solidFill>
          </w14:textFill>
        </w:rPr>
        <w:t>编制的《报告表》基本内容、结论、专家审查意见及岳阳市临湘生态环境事务中心出具的</w:t>
      </w:r>
      <w:r>
        <w:rPr>
          <w:rFonts w:hint="default" w:ascii="Times New Roman" w:hAnsi="Times New Roman" w:eastAsia="仿宋" w:cs="Times New Roman"/>
          <w:color w:val="000000" w:themeColor="text1"/>
          <w:kern w:val="2"/>
          <w:sz w:val="32"/>
          <w:szCs w:val="32"/>
          <w:lang w:eastAsia="zh-CN"/>
          <w14:textFill>
            <w14:solidFill>
              <w14:schemeClr w14:val="tx1"/>
            </w14:solidFill>
          </w14:textFill>
        </w:rPr>
        <w:t>《关于〈湖南临科新材料科技有限公司甲类危化品仓储建设项目生态</w:t>
      </w:r>
      <w:r>
        <w:rPr>
          <w:rFonts w:hint="default" w:ascii="Times New Roman" w:hAnsi="Times New Roman" w:eastAsia="仿宋" w:cs="Times New Roman"/>
          <w:color w:val="000000" w:themeColor="text1"/>
          <w:kern w:val="2"/>
          <w:sz w:val="32"/>
          <w:szCs w:val="32"/>
          <w14:textFill>
            <w14:solidFill>
              <w14:schemeClr w14:val="tx1"/>
            </w14:solidFill>
          </w14:textFill>
        </w:rPr>
        <w:t>环境影响报告表</w:t>
      </w:r>
      <w:r>
        <w:rPr>
          <w:rFonts w:hint="default" w:ascii="Times New Roman" w:hAnsi="Times New Roman" w:eastAsia="仿宋" w:cs="Times New Roman"/>
          <w:color w:val="000000" w:themeColor="text1"/>
          <w:kern w:val="2"/>
          <w:sz w:val="32"/>
          <w:szCs w:val="32"/>
          <w:lang w:eastAsia="zh-CN"/>
          <w14:textFill>
            <w14:solidFill>
              <w14:schemeClr w14:val="tx1"/>
            </w14:solidFill>
          </w14:textFill>
        </w:rPr>
        <w:t>〉</w:t>
      </w:r>
      <w:r>
        <w:rPr>
          <w:rFonts w:hint="default" w:ascii="Times New Roman" w:hAnsi="Times New Roman" w:eastAsia="仿宋" w:cs="Times New Roman"/>
          <w:color w:val="000000" w:themeColor="text1"/>
          <w:kern w:val="2"/>
          <w:sz w:val="32"/>
          <w:szCs w:val="32"/>
          <w14:textFill>
            <w14:solidFill>
              <w14:schemeClr w14:val="tx1"/>
            </w14:solidFill>
          </w14:textFill>
        </w:rPr>
        <w:t>技术评估</w:t>
      </w:r>
      <w:r>
        <w:rPr>
          <w:rFonts w:hint="default" w:ascii="Times New Roman" w:hAnsi="Times New Roman" w:eastAsia="仿宋" w:cs="Times New Roman"/>
          <w:color w:val="000000" w:themeColor="text1"/>
          <w:kern w:val="2"/>
          <w:sz w:val="32"/>
          <w:szCs w:val="32"/>
          <w:lang w:eastAsia="zh-CN"/>
          <w14:textFill>
            <w14:solidFill>
              <w14:schemeClr w14:val="tx1"/>
            </w14:solidFill>
          </w14:textFill>
        </w:rPr>
        <w:t>意见的</w:t>
      </w:r>
      <w:r>
        <w:rPr>
          <w:rFonts w:hint="default" w:ascii="Times New Roman" w:hAnsi="Times New Roman" w:eastAsia="仿宋" w:cs="Times New Roman"/>
          <w:color w:val="000000" w:themeColor="text1"/>
          <w:kern w:val="2"/>
          <w:sz w:val="32"/>
          <w:szCs w:val="32"/>
          <w14:textFill>
            <w14:solidFill>
              <w14:schemeClr w14:val="tx1"/>
            </w14:solidFill>
          </w14:textFill>
        </w:rPr>
        <w:t>报告</w:t>
      </w:r>
      <w:r>
        <w:rPr>
          <w:rFonts w:hint="default" w:ascii="Times New Roman" w:hAnsi="Times New Roman" w:eastAsia="仿宋" w:cs="Times New Roman"/>
          <w:color w:val="000000" w:themeColor="text1"/>
          <w:kern w:val="2"/>
          <w:sz w:val="32"/>
          <w:szCs w:val="32"/>
          <w:lang w:eastAsia="zh-CN"/>
          <w14:textFill>
            <w14:solidFill>
              <w14:schemeClr w14:val="tx1"/>
            </w14:solidFill>
          </w14:textFill>
        </w:rPr>
        <w:t>》</w:t>
      </w:r>
      <w:r>
        <w:rPr>
          <w:rFonts w:hint="default" w:ascii="Times New Roman" w:hAnsi="Times New Roman" w:eastAsia="仿宋" w:cs="Times New Roman"/>
          <w:color w:val="000000" w:themeColor="text1"/>
          <w:kern w:val="2"/>
          <w:sz w:val="32"/>
          <w:szCs w:val="32"/>
          <w14:textFill>
            <w14:solidFill>
              <w14:schemeClr w14:val="tx1"/>
            </w14:solidFill>
          </w14:textFill>
        </w:rPr>
        <w:t>（</w:t>
      </w:r>
      <w:r>
        <w:rPr>
          <w:rFonts w:hint="default" w:ascii="Times New Roman" w:hAnsi="Times New Roman" w:eastAsia="仿宋" w:cs="Times New Roman"/>
          <w:color w:val="000000" w:themeColor="text1"/>
          <w:sz w:val="32"/>
          <w:szCs w:val="32"/>
          <w14:textFill>
            <w14:solidFill>
              <w14:schemeClr w14:val="tx1"/>
            </w14:solidFill>
          </w14:textFill>
        </w:rPr>
        <w:t>临环事评估</w:t>
      </w:r>
      <w:r>
        <w:rPr>
          <w:rFonts w:hint="default" w:ascii="Times New Roman" w:hAnsi="Times New Roman" w:eastAsia="仿宋" w:cs="Times New Roman"/>
          <w:color w:val="000000" w:themeColor="text1"/>
          <w:kern w:val="2"/>
          <w:sz w:val="32"/>
          <w:szCs w:val="32"/>
          <w14:textFill>
            <w14:solidFill>
              <w14:schemeClr w14:val="tx1"/>
            </w14:solidFill>
          </w14:textFill>
        </w:rPr>
        <w:t>〔202</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6</w:t>
      </w:r>
      <w:r>
        <w:rPr>
          <w:rFonts w:hint="default" w:ascii="Times New Roman" w:hAnsi="Times New Roman" w:eastAsia="仿宋" w:cs="Times New Roman"/>
          <w:color w:val="000000" w:themeColor="text1"/>
          <w:kern w:val="2"/>
          <w:sz w:val="32"/>
          <w:szCs w:val="32"/>
          <w14:textFill>
            <w14:solidFill>
              <w14:schemeClr w14:val="tx1"/>
            </w14:solidFill>
          </w14:textFill>
        </w:rPr>
        <w:t>〕</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10</w:t>
      </w:r>
      <w:r>
        <w:rPr>
          <w:rFonts w:hint="default" w:ascii="Times New Roman" w:hAnsi="Times New Roman" w:eastAsia="仿宋" w:cs="Times New Roman"/>
          <w:color w:val="000000" w:themeColor="text1"/>
          <w:kern w:val="2"/>
          <w:sz w:val="32"/>
          <w:szCs w:val="32"/>
          <w14:textFill>
            <w14:solidFill>
              <w14:schemeClr w14:val="tx1"/>
            </w14:solidFill>
          </w14:textFill>
        </w:rPr>
        <w:t>号），从</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生态</w:t>
      </w:r>
      <w:r>
        <w:rPr>
          <w:rFonts w:hint="default" w:ascii="Times New Roman" w:hAnsi="Times New Roman" w:eastAsia="仿宋" w:cs="Times New Roman"/>
          <w:color w:val="000000" w:themeColor="text1"/>
          <w:kern w:val="2"/>
          <w:sz w:val="32"/>
          <w:szCs w:val="32"/>
          <w14:textFill>
            <w14:solidFill>
              <w14:schemeClr w14:val="tx1"/>
            </w14:solidFill>
          </w14:textFill>
        </w:rPr>
        <w:t>环境保护角度考虑，我局原则同意</w:t>
      </w:r>
    </w:p>
    <w:p w14:paraId="637DF77A">
      <w:pPr>
        <w:keepNext w:val="0"/>
        <w:keepLines w:val="0"/>
        <w:pageBreakBefore w:val="0"/>
        <w:numPr>
          <w:numId w:val="0"/>
        </w:numPr>
        <w:kinsoku/>
        <w:wordWrap/>
        <w:overflowPunct/>
        <w:topLinePunct w:val="0"/>
        <w:autoSpaceDN/>
        <w:bidi w:val="0"/>
        <w:adjustRightInd/>
        <w:snapToGrid/>
        <w:spacing w:line="560" w:lineRule="exact"/>
        <w:jc w:val="both"/>
        <w:rPr>
          <w:rFonts w:hint="default" w:ascii="Times New Roman" w:hAnsi="Times New Roman" w:eastAsia="仿宋" w:cs="Times New Roman"/>
          <w:color w:val="000000" w:themeColor="text1"/>
          <w:kern w:val="2"/>
          <w:sz w:val="32"/>
          <w:szCs w:val="32"/>
          <w14:textFill>
            <w14:solidFill>
              <w14:schemeClr w14:val="tx1"/>
            </w14:solidFill>
          </w14:textFill>
        </w:rPr>
      </w:pPr>
      <w:r>
        <w:rPr>
          <w:rFonts w:hint="default" w:ascii="Times New Roman" w:hAnsi="Times New Roman" w:eastAsia="仿宋" w:cs="Times New Roman"/>
          <w:color w:val="000000" w:themeColor="text1"/>
          <w:kern w:val="2"/>
          <w:sz w:val="32"/>
          <w:szCs w:val="32"/>
          <w14:textFill>
            <w14:solidFill>
              <w14:schemeClr w14:val="tx1"/>
            </w14:solidFill>
          </w14:textFill>
        </w:rPr>
        <w:t>你公司提交的《报告表》所列性质、地点、规模、工艺和</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生态</w:t>
      </w:r>
      <w:r>
        <w:rPr>
          <w:rFonts w:hint="default" w:ascii="Times New Roman" w:hAnsi="Times New Roman" w:eastAsia="仿宋" w:cs="Times New Roman"/>
          <w:color w:val="000000" w:themeColor="text1"/>
          <w:kern w:val="2"/>
          <w:sz w:val="32"/>
          <w:szCs w:val="32"/>
          <w14:textFill>
            <w14:solidFill>
              <w14:schemeClr w14:val="tx1"/>
            </w14:solidFill>
          </w14:textFill>
        </w:rPr>
        <w:t>环境保护对策措施。</w:t>
      </w:r>
    </w:p>
    <w:p w14:paraId="01F3CD3B">
      <w:pPr>
        <w:keepNext w:val="0"/>
        <w:keepLines w:val="0"/>
        <w:pageBreakBefore w:val="0"/>
        <w:numPr>
          <w:ilvl w:val="0"/>
          <w:numId w:val="1"/>
        </w:numPr>
        <w:kinsoku/>
        <w:wordWrap/>
        <w:overflowPunct/>
        <w:topLinePunct w:val="0"/>
        <w:autoSpaceDN/>
        <w:bidi w:val="0"/>
        <w:adjustRightInd/>
        <w:snapToGrid/>
        <w:spacing w:line="560" w:lineRule="exact"/>
        <w:ind w:firstLine="640"/>
        <w:jc w:val="both"/>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pPr>
      <w:r>
        <w:rPr>
          <w:rFonts w:hint="default" w:ascii="Times New Roman" w:hAnsi="Times New Roman" w:eastAsia="仿宋" w:cs="Times New Roman"/>
          <w:color w:val="000000" w:themeColor="text1"/>
          <w:kern w:val="2"/>
          <w:sz w:val="32"/>
          <w:szCs w:val="32"/>
          <w:lang w:eastAsia="zh-CN"/>
          <w14:textFill>
            <w14:solidFill>
              <w14:schemeClr w14:val="tx1"/>
            </w14:solidFill>
          </w14:textFill>
        </w:rPr>
        <w:t>项目在建设和运营中，须全面落实《报告表》提出的各项污染防治、风险防范措施，严格执行环保“三同时”制度，确保外排污染物稳定达标排放，</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生态</w:t>
      </w:r>
      <w:r>
        <w:rPr>
          <w:rFonts w:hint="default" w:ascii="Times New Roman" w:hAnsi="Times New Roman" w:eastAsia="仿宋" w:cs="Times New Roman"/>
          <w:color w:val="000000" w:themeColor="text1"/>
          <w:kern w:val="2"/>
          <w:sz w:val="32"/>
          <w:szCs w:val="32"/>
          <w:lang w:eastAsia="zh-CN"/>
          <w14:textFill>
            <w14:solidFill>
              <w14:schemeClr w14:val="tx1"/>
            </w14:solidFill>
          </w14:textFill>
        </w:rPr>
        <w:t>环境风险可控，并着重做好以下几方面的工作：</w:t>
      </w:r>
    </w:p>
    <w:p w14:paraId="1810E269">
      <w:pPr>
        <w:keepNext w:val="0"/>
        <w:keepLines w:val="0"/>
        <w:pageBreakBefore w:val="0"/>
        <w:numPr>
          <w:ilvl w:val="0"/>
          <w:numId w:val="0"/>
        </w:numPr>
        <w:kinsoku/>
        <w:wordWrap/>
        <w:overflowPunct/>
        <w:topLinePunct w:val="0"/>
        <w:autoSpaceDN/>
        <w:bidi w:val="0"/>
        <w:adjustRightInd/>
        <w:snapToGrid/>
        <w:spacing w:line="560" w:lineRule="exact"/>
        <w:ind w:firstLine="643" w:firstLineChars="200"/>
        <w:jc w:val="both"/>
        <w:rPr>
          <w:rFonts w:hint="default" w:ascii="Times New Roman" w:hAnsi="Times New Roman" w:eastAsia="仿宋" w:cs="Times New Roman"/>
          <w:b w:val="0"/>
          <w:bCs w:val="0"/>
          <w:color w:val="000000" w:themeColor="text1"/>
          <w:sz w:val="32"/>
          <w:szCs w:val="32"/>
          <w:highlight w:val="none"/>
          <w:u w:val="none" w:color="auto"/>
          <w:lang w:val="en-US" w:eastAsia="zh-CN"/>
          <w14:textFill>
            <w14:solidFill>
              <w14:schemeClr w14:val="tx1"/>
            </w14:solidFill>
          </w14:textFill>
        </w:rPr>
      </w:pPr>
      <w:r>
        <w:rPr>
          <w:rFonts w:hint="default" w:ascii="Times New Roman" w:hAnsi="Times New Roman" w:eastAsia="仿宋" w:cs="Times New Roman"/>
          <w:b/>
          <w:bCs/>
          <w:color w:val="000000" w:themeColor="text1"/>
          <w:sz w:val="32"/>
          <w:szCs w:val="32"/>
          <w:highlight w:val="none"/>
          <w:u w:val="none" w:color="auto"/>
          <w:lang w:val="en-US" w:eastAsia="zh-CN"/>
          <w14:textFill>
            <w14:solidFill>
              <w14:schemeClr w14:val="tx1"/>
            </w14:solidFill>
          </w14:textFill>
        </w:rPr>
        <w:t>1.</w:t>
      </w:r>
      <w:r>
        <w:rPr>
          <w:rFonts w:hint="default" w:ascii="Times New Roman" w:hAnsi="Times New Roman" w:eastAsia="仿宋" w:cs="Times New Roman"/>
          <w:b/>
          <w:bCs/>
          <w:color w:val="000000" w:themeColor="text1"/>
          <w:kern w:val="2"/>
          <w:sz w:val="32"/>
          <w:szCs w:val="32"/>
          <w:lang w:val="en-US" w:eastAsia="zh-CN"/>
          <w14:textFill>
            <w14:solidFill>
              <w14:schemeClr w14:val="tx1"/>
            </w14:solidFill>
          </w14:textFill>
        </w:rPr>
        <w:t>落实施工期各项污染防治和生态保护措施</w:t>
      </w:r>
      <w:r>
        <w:rPr>
          <w:rFonts w:hint="default" w:ascii="Times New Roman" w:hAnsi="Times New Roman" w:eastAsia="仿宋" w:cs="Times New Roman"/>
          <w:b/>
          <w:bCs/>
          <w:color w:val="000000" w:themeColor="text1"/>
          <w:sz w:val="32"/>
          <w:szCs w:val="32"/>
          <w:highlight w:val="none"/>
          <w:u w:val="none" w:color="auto"/>
          <w:lang w:val="en-US" w:eastAsia="zh-CN"/>
          <w14:textFill>
            <w14:solidFill>
              <w14:schemeClr w14:val="tx1"/>
            </w14:solidFill>
          </w14:textFill>
        </w:rPr>
        <w:t>。</w:t>
      </w:r>
      <w:r>
        <w:rPr>
          <w:rFonts w:hint="default" w:ascii="Times New Roman" w:hAnsi="Times New Roman" w:eastAsia="仿宋" w:cs="Times New Roman"/>
          <w:b w:val="0"/>
          <w:bCs w:val="0"/>
          <w:color w:val="000000" w:themeColor="text1"/>
          <w:sz w:val="32"/>
          <w:szCs w:val="32"/>
          <w:highlight w:val="none"/>
          <w:u w:val="none" w:color="auto"/>
          <w:lang w:val="en-US" w:eastAsia="zh-CN"/>
          <w14:textFill>
            <w14:solidFill>
              <w14:schemeClr w14:val="tx1"/>
            </w14:solidFill>
          </w14:textFill>
        </w:rPr>
        <w:t>建设施工严格落实“六个100%”防尘措施；建设进</w:t>
      </w:r>
      <w:r>
        <w:rPr>
          <w:rFonts w:hint="default" w:ascii="Times New Roman" w:hAnsi="Times New Roman" w:eastAsia="仿宋" w:cs="Times New Roman"/>
          <w:b w:val="0"/>
          <w:bCs w:val="0"/>
          <w:color w:val="000000" w:themeColor="text1"/>
          <w:sz w:val="32"/>
          <w:szCs w:val="32"/>
          <w:highlight w:val="none"/>
          <w:u w:val="none" w:color="auto"/>
          <w:lang w:val="en-US" w:eastAsia="zh-CN"/>
          <w14:textFill>
            <w14:solidFill>
              <w14:schemeClr w14:val="tx1"/>
            </w14:solidFill>
          </w14:textFill>
        </w:rPr>
        <w:t>出</w:t>
      </w:r>
      <w:r>
        <w:rPr>
          <w:rFonts w:hint="default" w:ascii="Times New Roman" w:hAnsi="Times New Roman" w:eastAsia="仿宋" w:cs="Times New Roman"/>
          <w:b w:val="0"/>
          <w:bCs w:val="0"/>
          <w:color w:val="000000" w:themeColor="text1"/>
          <w:sz w:val="32"/>
          <w:szCs w:val="32"/>
          <w:highlight w:val="none"/>
          <w:u w:val="none" w:color="auto"/>
          <w:lang w:val="en-US" w:eastAsia="zh-CN"/>
          <w14:textFill>
            <w14:solidFill>
              <w14:schemeClr w14:val="tx1"/>
            </w14:solidFill>
          </w14:textFill>
        </w:rPr>
        <w:t>车辆冲洗平台；裸露地面绿化或者覆盖密闭式防尘网（布）；合理收集回用施工废水，及时洒水降尘；合理选择施工时间</w:t>
      </w:r>
      <w:r>
        <w:rPr>
          <w:rFonts w:hint="default" w:ascii="Times New Roman" w:hAnsi="Times New Roman" w:eastAsia="仿宋" w:cs="Times New Roman"/>
          <w:b w:val="0"/>
          <w:bCs w:val="0"/>
          <w:color w:val="000000" w:themeColor="text1"/>
          <w:sz w:val="32"/>
          <w:szCs w:val="32"/>
          <w:highlight w:val="none"/>
          <w:u w:val="none" w:color="auto"/>
          <w:lang w:val="en-US" w:eastAsia="zh-CN"/>
          <w14:textFill>
            <w14:solidFill>
              <w14:schemeClr w14:val="tx1"/>
            </w14:solidFill>
          </w14:textFill>
        </w:rPr>
        <w:t>，选用低噪声施工设备，对动力机械设备进行定期维修、养护；</w:t>
      </w:r>
      <w:r>
        <w:rPr>
          <w:rFonts w:hint="default" w:ascii="Times New Roman" w:hAnsi="Times New Roman" w:eastAsia="仿宋" w:cs="Times New Roman"/>
          <w:b w:val="0"/>
          <w:bCs w:val="0"/>
          <w:color w:val="000000" w:themeColor="text1"/>
          <w:sz w:val="32"/>
          <w:szCs w:val="32"/>
          <w:highlight w:val="none"/>
          <w:u w:val="none" w:color="auto"/>
          <w:lang w:val="en-US" w:eastAsia="zh-CN"/>
          <w14:textFill>
            <w14:solidFill>
              <w14:schemeClr w14:val="tx1"/>
            </w14:solidFill>
          </w14:textFill>
        </w:rPr>
        <w:t>防止噪声、施工废水、弃（渣）土、扬尘等污染周边环境；落实水土保持措施</w:t>
      </w:r>
      <w:r>
        <w:rPr>
          <w:rFonts w:hint="default" w:ascii="Times New Roman" w:hAnsi="Times New Roman" w:eastAsia="仿宋" w:cs="Times New Roman"/>
          <w:b w:val="0"/>
          <w:bCs w:val="0"/>
          <w:color w:val="000000" w:themeColor="text1"/>
          <w:sz w:val="32"/>
          <w:szCs w:val="32"/>
          <w:highlight w:val="none"/>
          <w:u w:val="none" w:color="auto"/>
          <w:lang w:val="en-US" w:eastAsia="zh-CN"/>
          <w14:textFill>
            <w14:solidFill>
              <w14:schemeClr w14:val="tx1"/>
            </w14:solidFill>
          </w14:textFill>
        </w:rPr>
        <w:t>，裸露地及时恢复植被。</w:t>
      </w:r>
    </w:p>
    <w:p w14:paraId="5DC34CEE">
      <w:pPr>
        <w:keepNext w:val="0"/>
        <w:keepLines w:val="0"/>
        <w:pageBreakBefore w:val="0"/>
        <w:numPr>
          <w:ilvl w:val="0"/>
          <w:numId w:val="0"/>
        </w:numPr>
        <w:kinsoku/>
        <w:wordWrap/>
        <w:overflowPunct/>
        <w:topLinePunct w:val="0"/>
        <w:autoSpaceDN/>
        <w:bidi w:val="0"/>
        <w:adjustRightInd/>
        <w:snapToGrid/>
        <w:spacing w:line="560" w:lineRule="exact"/>
        <w:ind w:firstLine="643" w:firstLineChars="200"/>
        <w:jc w:val="both"/>
        <w:rPr>
          <w:rFonts w:hint="default" w:ascii="Times New Roman" w:hAnsi="Times New Roman" w:eastAsia="仿宋" w:cs="Times New Roman"/>
          <w:b w:val="0"/>
          <w:bCs w:val="0"/>
          <w:color w:val="000000" w:themeColor="text1"/>
          <w:sz w:val="32"/>
          <w:szCs w:val="32"/>
          <w:highlight w:val="none"/>
          <w:u w:val="none" w:color="auto"/>
          <w:lang w:val="en-US" w:eastAsia="zh-CN"/>
          <w14:textFill>
            <w14:solidFill>
              <w14:schemeClr w14:val="tx1"/>
            </w14:solidFill>
          </w14:textFill>
        </w:rPr>
      </w:pPr>
      <w:r>
        <w:rPr>
          <w:rFonts w:hint="default" w:ascii="Times New Roman" w:hAnsi="Times New Roman" w:eastAsia="仿宋" w:cs="Times New Roman"/>
          <w:b/>
          <w:bCs/>
          <w:color w:val="000000" w:themeColor="text1"/>
          <w:kern w:val="2"/>
          <w:sz w:val="32"/>
          <w:szCs w:val="32"/>
          <w:lang w:val="en-US" w:eastAsia="zh-CN"/>
          <w14:textFill>
            <w14:solidFill>
              <w14:schemeClr w14:val="tx1"/>
            </w14:solidFill>
          </w14:textFill>
        </w:rPr>
        <w:t>2</w:t>
      </w:r>
      <w:r>
        <w:rPr>
          <w:rFonts w:hint="default" w:ascii="Times New Roman" w:hAnsi="Times New Roman" w:eastAsia="仿宋" w:cs="Times New Roman"/>
          <w:b/>
          <w:bCs/>
          <w:color w:val="000000" w:themeColor="text1"/>
          <w:kern w:val="2"/>
          <w:sz w:val="32"/>
          <w:szCs w:val="32"/>
          <w14:textFill>
            <w14:solidFill>
              <w14:schemeClr w14:val="tx1"/>
            </w14:solidFill>
          </w14:textFill>
        </w:rPr>
        <w:t>.废气污染防治。</w:t>
      </w:r>
      <w:r>
        <w:rPr>
          <w:rFonts w:hint="default" w:ascii="Times New Roman" w:hAnsi="Times New Roman" w:eastAsia="仿宋" w:cs="Times New Roman"/>
          <w:b w:val="0"/>
          <w:bCs w:val="0"/>
          <w:color w:val="000000" w:themeColor="text1"/>
          <w:sz w:val="32"/>
          <w:szCs w:val="32"/>
          <w:highlight w:val="none"/>
          <w:u w:val="none" w:color="auto"/>
          <w:lang w:val="en-US" w:eastAsia="zh-CN"/>
          <w14:textFill>
            <w14:solidFill>
              <w14:schemeClr w14:val="tx1"/>
            </w14:solidFill>
          </w14:textFill>
        </w:rPr>
        <w:t>营运期废气污染源主要为：储罐大小呼吸废气，装卸废气，甲类、丙类仓库废气，检修、倒罐废气等。其中，立式储罐V0601~V0603按规范要求设置氮封，各储罐废气、装卸废气、甲类仓库废气通过管道引至两级活性炭吸附装置+15米排气筒DA004排放；丙类仓库废气通过源头密闭储存、规范操作减少厂界非甲烷总烃无组织排放；检修、倒罐废气通过加强管理、通风换气后呈无组织排放。</w:t>
      </w:r>
    </w:p>
    <w:p w14:paraId="61F595FC">
      <w:pPr>
        <w:keepNext w:val="0"/>
        <w:keepLines w:val="0"/>
        <w:pageBreakBefore w:val="0"/>
        <w:numPr>
          <w:ilvl w:val="0"/>
          <w:numId w:val="0"/>
        </w:numPr>
        <w:kinsoku/>
        <w:wordWrap/>
        <w:overflowPunct/>
        <w:topLinePunct w:val="0"/>
        <w:autoSpaceDN/>
        <w:bidi w:val="0"/>
        <w:adjustRightInd/>
        <w:snapToGrid/>
        <w:spacing w:line="560" w:lineRule="exact"/>
        <w:ind w:firstLine="640" w:firstLineChars="200"/>
        <w:jc w:val="both"/>
        <w:rPr>
          <w:rFonts w:hint="default" w:ascii="Times New Roman" w:hAnsi="Times New Roman" w:eastAsia="仿宋" w:cs="Times New Roman"/>
          <w:b w:val="0"/>
          <w:bCs w:val="0"/>
          <w:color w:val="000000" w:themeColor="text1"/>
          <w:sz w:val="32"/>
          <w:szCs w:val="32"/>
          <w:highlight w:val="none"/>
          <w:u w:val="none" w:color="auto"/>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32"/>
          <w:szCs w:val="32"/>
          <w:highlight w:val="none"/>
          <w:u w:val="none" w:color="auto"/>
          <w:lang w:val="en-US" w:eastAsia="zh-CN"/>
          <w14:textFill>
            <w14:solidFill>
              <w14:schemeClr w14:val="tx1"/>
            </w14:solidFill>
          </w14:textFill>
        </w:rPr>
        <w:t>有组织排放废气</w:t>
      </w:r>
      <w:r>
        <w:rPr>
          <w:rFonts w:hint="default" w:ascii="Times New Roman" w:hAnsi="Times New Roman" w:eastAsia="仿宋" w:cs="Times New Roman"/>
          <w:b w:val="0"/>
          <w:bCs w:val="0"/>
          <w:color w:val="000000" w:themeColor="text1"/>
          <w:sz w:val="32"/>
          <w:szCs w:val="32"/>
          <w:highlight w:val="none"/>
          <w:u w:val="none" w:color="auto"/>
          <w:lang w:val="en-US" w:eastAsia="zh-CN"/>
          <w14:textFill>
            <w14:solidFill>
              <w14:schemeClr w14:val="tx1"/>
            </w14:solidFill>
          </w14:textFill>
        </w:rPr>
        <w:t>甲苯</w:t>
      </w:r>
      <w:r>
        <w:rPr>
          <w:rFonts w:hint="default" w:ascii="Times New Roman" w:hAnsi="Times New Roman" w:eastAsia="仿宋" w:cs="Times New Roman"/>
          <w:b w:val="0"/>
          <w:bCs w:val="0"/>
          <w:color w:val="000000" w:themeColor="text1"/>
          <w:sz w:val="32"/>
          <w:szCs w:val="32"/>
          <w:highlight w:val="none"/>
          <w:u w:val="none" w:color="auto"/>
          <w:lang w:val="en-US" w:eastAsia="zh-CN"/>
          <w14:textFill>
            <w14:solidFill>
              <w14:schemeClr w14:val="tx1"/>
            </w14:solidFill>
          </w14:textFill>
        </w:rPr>
        <w:t>执行《大气污染物综合排放标准》（GB16297-1996）表2二级标准限值要求；非甲烷总烃、苯系物执行《工业企业挥发性有机物排放标准》（DB43/3550-2026）表1其他行业限值要求；臭气浓度执行《恶臭污染物排放标准》（GB14554-93）表2标准值。厂界无组织排放废气中非甲烷总烃、甲苯执行《大气污染物综合排放标准》（GB16297-1996）表2无组织排放监控浓度限值；臭气浓度执行《恶臭污染物排放标准》（GB14554-1993）中表1二级新扩改建标准值；厂区内无组织排放废气中非甲烷总烃执行《工业企业挥发性有机物排放标准》（DB43/3550-2026）表2限值。</w:t>
      </w:r>
    </w:p>
    <w:p w14:paraId="7C1410D8">
      <w:pPr>
        <w:pStyle w:val="6"/>
        <w:keepNext w:val="0"/>
        <w:keepLines w:val="0"/>
        <w:pageBreakBefore w:val="0"/>
        <w:kinsoku/>
        <w:wordWrap/>
        <w:overflowPunct/>
        <w:topLinePunct w:val="0"/>
        <w:autoSpaceDN/>
        <w:bidi w:val="0"/>
        <w:adjustRightInd/>
        <w:snapToGrid/>
        <w:spacing w:after="0" w:line="560" w:lineRule="exact"/>
        <w:ind w:firstLine="643"/>
        <w:jc w:val="both"/>
        <w:rPr>
          <w:rFonts w:hint="default" w:ascii="Times New Roman" w:hAnsi="Times New Roman" w:eastAsia="仿宋" w:cs="Times New Roman"/>
          <w:b w:val="0"/>
          <w:bCs w:val="0"/>
          <w:color w:val="000000" w:themeColor="text1"/>
          <w:kern w:val="2"/>
          <w:sz w:val="32"/>
          <w:szCs w:val="32"/>
          <w:lang w:val="en-US" w:eastAsia="zh-CN"/>
          <w14:textFill>
            <w14:solidFill>
              <w14:schemeClr w14:val="tx1"/>
            </w14:solidFill>
          </w14:textFill>
        </w:rPr>
      </w:pPr>
      <w:r>
        <w:rPr>
          <w:rFonts w:hint="default" w:ascii="Times New Roman" w:hAnsi="Times New Roman" w:eastAsia="仿宋" w:cs="Times New Roman"/>
          <w:b/>
          <w:bCs/>
          <w:color w:val="000000" w:themeColor="text1"/>
          <w:kern w:val="2"/>
          <w:sz w:val="32"/>
          <w:szCs w:val="32"/>
          <w:lang w:val="en-US" w:eastAsia="zh-CN"/>
          <w14:textFill>
            <w14:solidFill>
              <w14:schemeClr w14:val="tx1"/>
            </w14:solidFill>
          </w14:textFill>
        </w:rPr>
        <w:t>3</w:t>
      </w:r>
      <w:r>
        <w:rPr>
          <w:rFonts w:hint="default" w:ascii="Times New Roman" w:hAnsi="Times New Roman" w:eastAsia="仿宋" w:cs="Times New Roman"/>
          <w:b/>
          <w:bCs/>
          <w:color w:val="000000" w:themeColor="text1"/>
          <w:kern w:val="2"/>
          <w:sz w:val="32"/>
          <w:szCs w:val="32"/>
          <w14:textFill>
            <w14:solidFill>
              <w14:schemeClr w14:val="tx1"/>
            </w14:solidFill>
          </w14:textFill>
        </w:rPr>
        <w:t>.废水污染防治。</w:t>
      </w:r>
      <w:r>
        <w:rPr>
          <w:rFonts w:hint="default" w:ascii="Times New Roman" w:hAnsi="Times New Roman" w:eastAsia="仿宋" w:cs="Times New Roman"/>
          <w:b w:val="0"/>
          <w:bCs w:val="0"/>
          <w:color w:val="000000" w:themeColor="text1"/>
          <w:kern w:val="2"/>
          <w:sz w:val="32"/>
          <w:szCs w:val="32"/>
          <w14:textFill>
            <w14:solidFill>
              <w14:schemeClr w14:val="tx1"/>
            </w14:solidFill>
          </w14:textFill>
        </w:rPr>
        <w:t>本项目</w:t>
      </w:r>
      <w:r>
        <w:rPr>
          <w:rFonts w:hint="default" w:ascii="Times New Roman" w:hAnsi="Times New Roman" w:eastAsia="仿宋" w:cs="Times New Roman"/>
          <w:b w:val="0"/>
          <w:bCs w:val="0"/>
          <w:color w:val="000000" w:themeColor="text1"/>
          <w:kern w:val="2"/>
          <w:sz w:val="32"/>
          <w:szCs w:val="32"/>
          <w:lang w:val="en-US" w:eastAsia="zh-CN"/>
          <w14:textFill>
            <w14:solidFill>
              <w14:schemeClr w14:val="tx1"/>
            </w14:solidFill>
          </w14:textFill>
        </w:rPr>
        <w:t>无生产</w:t>
      </w:r>
      <w:r>
        <w:rPr>
          <w:rFonts w:hint="default" w:ascii="Times New Roman" w:hAnsi="Times New Roman" w:eastAsia="仿宋" w:cs="Times New Roman"/>
          <w:b w:val="0"/>
          <w:bCs w:val="0"/>
          <w:color w:val="000000" w:themeColor="text1"/>
          <w:kern w:val="2"/>
          <w:sz w:val="32"/>
          <w:szCs w:val="32"/>
          <w14:textFill>
            <w14:solidFill>
              <w14:schemeClr w14:val="tx1"/>
            </w14:solidFill>
          </w14:textFill>
        </w:rPr>
        <w:t>废水</w:t>
      </w:r>
      <w:r>
        <w:rPr>
          <w:rFonts w:hint="default" w:ascii="Times New Roman" w:hAnsi="Times New Roman" w:eastAsia="仿宋" w:cs="Times New Roman"/>
          <w:b w:val="0"/>
          <w:bCs w:val="0"/>
          <w:color w:val="000000" w:themeColor="text1"/>
          <w:kern w:val="2"/>
          <w:sz w:val="32"/>
          <w:szCs w:val="32"/>
          <w:lang w:val="en-US" w:eastAsia="zh-CN"/>
          <w14:textFill>
            <w14:solidFill>
              <w14:schemeClr w14:val="tx1"/>
            </w14:solidFill>
          </w14:textFill>
        </w:rPr>
        <w:t>外排</w:t>
      </w:r>
      <w:r>
        <w:rPr>
          <w:rFonts w:hint="default" w:ascii="Times New Roman" w:hAnsi="Times New Roman" w:eastAsia="仿宋" w:cs="Times New Roman"/>
          <w:b w:val="0"/>
          <w:bCs w:val="0"/>
          <w:color w:val="000000" w:themeColor="text1"/>
          <w:kern w:val="2"/>
          <w:sz w:val="32"/>
          <w:szCs w:val="32"/>
          <w:lang w:eastAsia="zh-CN"/>
          <w14:textFill>
            <w14:solidFill>
              <w14:schemeClr w14:val="tx1"/>
            </w14:solidFill>
          </w14:textFill>
        </w:rPr>
        <w:t>；生</w:t>
      </w:r>
      <w:r>
        <w:rPr>
          <w:rFonts w:hint="default" w:ascii="Times New Roman" w:hAnsi="Times New Roman" w:eastAsia="仿宋" w:cs="Times New Roman"/>
          <w:b w:val="0"/>
          <w:bCs w:val="0"/>
          <w:color w:val="000000" w:themeColor="text1"/>
          <w:kern w:val="2"/>
          <w:sz w:val="32"/>
          <w:szCs w:val="32"/>
          <w:lang w:val="en-US" w:eastAsia="zh-CN"/>
          <w14:textFill>
            <w14:solidFill>
              <w14:schemeClr w14:val="tx1"/>
            </w14:solidFill>
          </w14:textFill>
        </w:rPr>
        <w:t>活污水依托厂区化粪池预处理达标后和初期雨水通过园区污水管网排至园区污水处理厂处理，废水排放满足《污水综合排放标准》（GB8978-1996）表4三级标准及园区污水处理厂进水水质标准取较严值。</w:t>
      </w:r>
    </w:p>
    <w:p w14:paraId="703724E7">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color w:val="000000" w:themeColor="text1"/>
          <w:kern w:val="2"/>
          <w:sz w:val="32"/>
          <w:szCs w:val="32"/>
          <w:lang w:val="zh-CN" w:eastAsia="zh-CN"/>
          <w14:textFill>
            <w14:solidFill>
              <w14:schemeClr w14:val="tx1"/>
            </w14:solidFill>
          </w14:textFill>
        </w:rPr>
      </w:pPr>
      <w:r>
        <w:rPr>
          <w:rFonts w:hint="default" w:ascii="Times New Roman" w:hAnsi="Times New Roman" w:eastAsia="仿宋" w:cs="Times New Roman"/>
          <w:b/>
          <w:bCs/>
          <w:color w:val="000000" w:themeColor="text1"/>
          <w:kern w:val="2"/>
          <w:sz w:val="32"/>
          <w:szCs w:val="32"/>
          <w:lang w:val="en-US" w:eastAsia="zh-CN"/>
          <w14:textFill>
            <w14:solidFill>
              <w14:schemeClr w14:val="tx1"/>
            </w14:solidFill>
          </w14:textFill>
        </w:rPr>
        <w:t>4</w:t>
      </w:r>
      <w:r>
        <w:rPr>
          <w:rFonts w:hint="default" w:ascii="Times New Roman" w:hAnsi="Times New Roman" w:eastAsia="仿宋" w:cs="Times New Roman"/>
          <w:b/>
          <w:bCs/>
          <w:color w:val="000000" w:themeColor="text1"/>
          <w:kern w:val="2"/>
          <w:sz w:val="32"/>
          <w:szCs w:val="32"/>
          <w14:textFill>
            <w14:solidFill>
              <w14:schemeClr w14:val="tx1"/>
            </w14:solidFill>
          </w14:textFill>
        </w:rPr>
        <w:t>.噪声污染防治</w:t>
      </w:r>
      <w:r>
        <w:rPr>
          <w:rFonts w:hint="default" w:ascii="Times New Roman" w:hAnsi="Times New Roman" w:eastAsia="仿宋" w:cs="Times New Roman"/>
          <w:b/>
          <w:bCs/>
          <w:color w:val="000000" w:themeColor="text1"/>
          <w:kern w:val="2"/>
          <w:sz w:val="32"/>
          <w:szCs w:val="32"/>
          <w:lang w:val="zh-CN"/>
          <w14:textFill>
            <w14:solidFill>
              <w14:schemeClr w14:val="tx1"/>
            </w14:solidFill>
          </w14:textFill>
        </w:rPr>
        <w:t>。</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运营</w:t>
      </w:r>
      <w:r>
        <w:rPr>
          <w:rFonts w:hint="default" w:ascii="Times New Roman" w:hAnsi="Times New Roman" w:eastAsia="仿宋" w:cs="Times New Roman"/>
          <w:color w:val="000000" w:themeColor="text1"/>
          <w:kern w:val="2"/>
          <w:sz w:val="32"/>
          <w:szCs w:val="32"/>
          <w:lang w:val="zh-CN"/>
          <w14:textFill>
            <w14:solidFill>
              <w14:schemeClr w14:val="tx1"/>
            </w14:solidFill>
          </w14:textFill>
        </w:rPr>
        <w:t>期噪声源</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主要为卸料泵及液体定量灌装系统运行时产生的噪声</w:t>
      </w:r>
      <w:r>
        <w:rPr>
          <w:rFonts w:hint="default" w:ascii="Times New Roman" w:hAnsi="Times New Roman" w:eastAsia="仿宋" w:cs="Times New Roman"/>
          <w:color w:val="000000" w:themeColor="text1"/>
          <w:kern w:val="2"/>
          <w:sz w:val="32"/>
          <w:szCs w:val="32"/>
          <w:lang w:val="zh-CN"/>
          <w14:textFill>
            <w14:solidFill>
              <w14:schemeClr w14:val="tx1"/>
            </w14:solidFill>
          </w14:textFill>
        </w:rPr>
        <w:t>，选用低噪声且符合国家标准的生产设备；</w:t>
      </w:r>
      <w:r>
        <w:rPr>
          <w:rFonts w:hint="default" w:ascii="Times New Roman" w:hAnsi="Times New Roman" w:eastAsia="仿宋" w:cs="Times New Roman"/>
          <w:color w:val="000000" w:themeColor="text1"/>
          <w:kern w:val="2"/>
          <w:sz w:val="32"/>
          <w:szCs w:val="32"/>
          <w:lang w:val="zh-CN"/>
          <w14:textFill>
            <w14:solidFill>
              <w14:schemeClr w14:val="tx1"/>
            </w14:solidFill>
          </w14:textFill>
        </w:rPr>
        <w:t>对噪声较大的生产设备进行合理布局</w:t>
      </w:r>
      <w:r>
        <w:rPr>
          <w:rFonts w:hint="default" w:ascii="Times New Roman" w:hAnsi="Times New Roman" w:eastAsia="仿宋" w:cs="Times New Roman"/>
          <w:color w:val="000000" w:themeColor="text1"/>
          <w:kern w:val="2"/>
          <w:sz w:val="32"/>
          <w:szCs w:val="32"/>
          <w:lang w:val="zh-CN"/>
          <w14:textFill>
            <w14:solidFill>
              <w14:schemeClr w14:val="tx1"/>
            </w14:solidFill>
          </w14:textFill>
        </w:rPr>
        <w:t>；</w:t>
      </w:r>
      <w:r>
        <w:rPr>
          <w:rFonts w:hint="default" w:ascii="Times New Roman" w:hAnsi="Times New Roman" w:eastAsia="仿宋" w:cs="Times New Roman"/>
          <w:color w:val="000000" w:themeColor="text1"/>
          <w:kern w:val="2"/>
          <w:sz w:val="32"/>
          <w:szCs w:val="32"/>
          <w:lang w:val="zh-CN"/>
          <w14:textFill>
            <w14:solidFill>
              <w14:schemeClr w14:val="tx1"/>
            </w14:solidFill>
          </w14:textFill>
        </w:rPr>
        <w:t>采取隔声、吸声、减振等措施；</w:t>
      </w:r>
      <w:r>
        <w:rPr>
          <w:rFonts w:hint="default" w:ascii="Times New Roman" w:hAnsi="Times New Roman" w:eastAsia="仿宋" w:cs="Times New Roman"/>
          <w:color w:val="000000" w:themeColor="text1"/>
          <w:kern w:val="2"/>
          <w:sz w:val="32"/>
          <w:szCs w:val="32"/>
          <w:lang w:val="zh-CN"/>
          <w14:textFill>
            <w14:solidFill>
              <w14:schemeClr w14:val="tx1"/>
            </w14:solidFill>
          </w14:textFill>
        </w:rPr>
        <w:t>加强对运输车辆的管理，禁止超速超载；</w:t>
      </w:r>
      <w:r>
        <w:rPr>
          <w:rFonts w:hint="default" w:ascii="Times New Roman" w:hAnsi="Times New Roman" w:eastAsia="仿宋" w:cs="Times New Roman"/>
          <w:color w:val="000000" w:themeColor="text1"/>
          <w:kern w:val="2"/>
          <w:sz w:val="32"/>
          <w:szCs w:val="32"/>
          <w:lang w:val="zh-CN"/>
          <w14:textFill>
            <w14:solidFill>
              <w14:schemeClr w14:val="tx1"/>
            </w14:solidFill>
          </w14:textFill>
        </w:rPr>
        <w:t>加强厂区绿化、</w:t>
      </w:r>
      <w:r>
        <w:rPr>
          <w:rFonts w:hint="default" w:ascii="Times New Roman" w:hAnsi="Times New Roman" w:eastAsia="仿宋" w:cs="Times New Roman"/>
          <w:color w:val="000000" w:themeColor="text1"/>
          <w:kern w:val="2"/>
          <w:sz w:val="32"/>
          <w:szCs w:val="32"/>
          <w:lang w:val="zh-CN"/>
          <w14:textFill>
            <w14:solidFill>
              <w14:schemeClr w14:val="tx1"/>
            </w14:solidFill>
          </w14:textFill>
        </w:rPr>
        <w:t>个体防护</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和</w:t>
      </w:r>
      <w:r>
        <w:rPr>
          <w:rFonts w:hint="default" w:ascii="Times New Roman" w:hAnsi="Times New Roman" w:eastAsia="仿宋" w:cs="Times New Roman"/>
          <w:color w:val="000000" w:themeColor="text1"/>
          <w:kern w:val="2"/>
          <w:sz w:val="32"/>
          <w:szCs w:val="32"/>
          <w:lang w:val="zh-CN"/>
          <w14:textFill>
            <w14:solidFill>
              <w14:schemeClr w14:val="tx1"/>
            </w14:solidFill>
          </w14:textFill>
        </w:rPr>
        <w:t>设备维护；</w:t>
      </w:r>
      <w:r>
        <w:rPr>
          <w:rFonts w:hint="default" w:ascii="Times New Roman" w:hAnsi="Times New Roman" w:eastAsia="仿宋" w:cs="Times New Roman"/>
          <w:color w:val="000000" w:themeColor="text1"/>
          <w:kern w:val="2"/>
          <w:sz w:val="32"/>
          <w:szCs w:val="32"/>
          <w:lang w:val="zh-CN" w:eastAsia="zh-CN"/>
          <w14:textFill>
            <w14:solidFill>
              <w14:schemeClr w14:val="tx1"/>
            </w14:solidFill>
          </w14:textFill>
        </w:rPr>
        <w:t>确保厂界噪声满足《工业企业厂界环境噪声排放标准》（GB12348-2008）中</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3</w:t>
      </w:r>
      <w:r>
        <w:rPr>
          <w:rFonts w:hint="default" w:ascii="Times New Roman" w:hAnsi="Times New Roman" w:eastAsia="仿宋" w:cs="Times New Roman"/>
          <w:color w:val="000000" w:themeColor="text1"/>
          <w:kern w:val="2"/>
          <w:sz w:val="32"/>
          <w:szCs w:val="32"/>
          <w:lang w:val="zh-CN" w:eastAsia="zh-CN"/>
          <w14:textFill>
            <w14:solidFill>
              <w14:schemeClr w14:val="tx1"/>
            </w14:solidFill>
          </w14:textFill>
        </w:rPr>
        <w:t>类标准要求。</w:t>
      </w:r>
    </w:p>
    <w:p w14:paraId="0769FB4F">
      <w:pPr>
        <w:keepNext w:val="0"/>
        <w:keepLines w:val="0"/>
        <w:pageBreakBefore w:val="0"/>
        <w:kinsoku/>
        <w:wordWrap/>
        <w:overflowPunct/>
        <w:topLinePunct w:val="0"/>
        <w:autoSpaceDN/>
        <w:bidi w:val="0"/>
        <w:adjustRightInd/>
        <w:snapToGrid/>
        <w:spacing w:line="560" w:lineRule="exact"/>
        <w:ind w:firstLine="643"/>
        <w:rPr>
          <w:rFonts w:hint="default" w:ascii="Times New Roman" w:hAnsi="Times New Roman" w:eastAsia="仿宋" w:cs="Times New Roman"/>
          <w:color w:val="000000" w:themeColor="text1"/>
          <w:kern w:val="2"/>
          <w:sz w:val="32"/>
          <w:szCs w:val="32"/>
          <w:lang w:val="zh-CN" w:eastAsia="zh-CN"/>
          <w14:textFill>
            <w14:solidFill>
              <w14:schemeClr w14:val="tx1"/>
            </w14:solidFill>
          </w14:textFill>
        </w:rPr>
      </w:pPr>
      <w:r>
        <w:rPr>
          <w:rFonts w:hint="default" w:ascii="Times New Roman" w:hAnsi="Times New Roman" w:eastAsia="仿宋" w:cs="Times New Roman"/>
          <w:b/>
          <w:bCs/>
          <w:color w:val="000000" w:themeColor="text1"/>
          <w:kern w:val="2"/>
          <w:sz w:val="32"/>
          <w:szCs w:val="32"/>
          <w:lang w:val="en-US" w:eastAsia="zh-CN"/>
          <w14:textFill>
            <w14:solidFill>
              <w14:schemeClr w14:val="tx1"/>
            </w14:solidFill>
          </w14:textFill>
        </w:rPr>
        <w:t>5</w:t>
      </w:r>
      <w:r>
        <w:rPr>
          <w:rFonts w:hint="default" w:ascii="Times New Roman" w:hAnsi="Times New Roman" w:eastAsia="仿宋" w:cs="Times New Roman"/>
          <w:b/>
          <w:bCs/>
          <w:color w:val="000000" w:themeColor="text1"/>
          <w:kern w:val="2"/>
          <w:sz w:val="32"/>
          <w:szCs w:val="32"/>
          <w14:textFill>
            <w14:solidFill>
              <w14:schemeClr w14:val="tx1"/>
            </w14:solidFill>
          </w14:textFill>
        </w:rPr>
        <w:t>.固体废物防治。</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严格按《一般工业固体废物贮存和填埋污染控制标准》（GB18599-2020）</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和</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《危险废物贮存污染控制标准》（GB18597-2023）</w:t>
      </w:r>
      <w:r>
        <w:rPr>
          <w:rFonts w:hint="default" w:ascii="Times New Roman" w:hAnsi="Times New Roman" w:eastAsia="仿宋" w:cs="Times New Roman"/>
          <w:b w:val="0"/>
          <w:bCs w:val="0"/>
          <w:color w:val="000000" w:themeColor="text1"/>
          <w:spacing w:val="0"/>
          <w:kern w:val="2"/>
          <w:sz w:val="32"/>
          <w:szCs w:val="32"/>
          <w:lang w:val="en-US" w:eastAsia="zh-CN" w:bidi="ar-SA"/>
          <w14:textFill>
            <w14:solidFill>
              <w14:schemeClr w14:val="tx1"/>
            </w14:solidFill>
          </w14:textFill>
        </w:rPr>
        <w:t>，</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对一般</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固体废物暂存间</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和危废暂存间进行建设管理</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，建立健全固体废物</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及危险废物</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管理台账</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w:t>
      </w:r>
      <w:r>
        <w:rPr>
          <w:rFonts w:hint="default" w:ascii="Times New Roman" w:hAnsi="Times New Roman" w:eastAsia="仿宋" w:cs="Times New Roman"/>
          <w:color w:val="000000" w:themeColor="text1"/>
          <w:kern w:val="2"/>
          <w:sz w:val="32"/>
          <w:szCs w:val="32"/>
          <w:lang w:val="zh-CN" w:eastAsia="zh-CN"/>
          <w14:textFill>
            <w14:solidFill>
              <w14:schemeClr w14:val="tx1"/>
            </w14:solidFill>
          </w14:textFill>
        </w:rPr>
        <w:t>生活垃圾收集后定期交由环卫部门清运；罐底残渣、废</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润滑</w:t>
      </w:r>
      <w:r>
        <w:rPr>
          <w:rFonts w:hint="default" w:ascii="Times New Roman" w:hAnsi="Times New Roman" w:eastAsia="仿宋" w:cs="Times New Roman"/>
          <w:color w:val="000000" w:themeColor="text1"/>
          <w:kern w:val="2"/>
          <w:sz w:val="32"/>
          <w:szCs w:val="32"/>
          <w:lang w:val="zh-CN" w:eastAsia="zh-CN"/>
          <w14:textFill>
            <w14:solidFill>
              <w14:schemeClr w14:val="tx1"/>
            </w14:solidFill>
          </w14:textFill>
        </w:rPr>
        <w:t>油、废</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活性炭</w:t>
      </w:r>
      <w:r>
        <w:rPr>
          <w:rFonts w:hint="default" w:ascii="Times New Roman" w:hAnsi="Times New Roman" w:eastAsia="仿宋" w:cs="Times New Roman"/>
          <w:color w:val="000000" w:themeColor="text1"/>
          <w:kern w:val="2"/>
          <w:sz w:val="32"/>
          <w:szCs w:val="32"/>
          <w:lang w:val="zh-CN" w:eastAsia="zh-CN"/>
          <w14:textFill>
            <w14:solidFill>
              <w14:schemeClr w14:val="tx1"/>
            </w14:solidFill>
          </w14:textFill>
        </w:rPr>
        <w:t>、废含油劳保用品</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委托资质单位</w:t>
      </w:r>
      <w:r>
        <w:rPr>
          <w:rFonts w:hint="default" w:ascii="Times New Roman" w:hAnsi="Times New Roman" w:eastAsia="仿宋" w:cs="Times New Roman"/>
          <w:color w:val="000000" w:themeColor="text1"/>
          <w:kern w:val="2"/>
          <w:sz w:val="32"/>
          <w:szCs w:val="32"/>
          <w:lang w:val="zh-CN" w:eastAsia="zh-CN"/>
          <w14:textFill>
            <w14:solidFill>
              <w14:schemeClr w14:val="tx1"/>
            </w14:solidFill>
          </w14:textFill>
        </w:rPr>
        <w:t>处置。</w:t>
      </w:r>
    </w:p>
    <w:p w14:paraId="320DDD5F">
      <w:pPr>
        <w:keepNext w:val="0"/>
        <w:keepLines w:val="0"/>
        <w:pageBreakBefore w:val="0"/>
        <w:kinsoku/>
        <w:wordWrap/>
        <w:overflowPunct/>
        <w:topLinePunct w:val="0"/>
        <w:autoSpaceDN/>
        <w:bidi w:val="0"/>
        <w:adjustRightInd/>
        <w:snapToGrid/>
        <w:spacing w:line="560" w:lineRule="exact"/>
        <w:ind w:firstLine="643"/>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pPr>
      <w:r>
        <w:rPr>
          <w:rFonts w:hint="default" w:ascii="Times New Roman" w:hAnsi="Times New Roman" w:eastAsia="仿宋" w:cs="Times New Roman"/>
          <w:b/>
          <w:bCs/>
          <w:color w:val="000000" w:themeColor="text1"/>
          <w:kern w:val="2"/>
          <w:sz w:val="32"/>
          <w:szCs w:val="32"/>
          <w:lang w:val="en-US" w:eastAsia="zh-CN"/>
          <w14:textFill>
            <w14:solidFill>
              <w14:schemeClr w14:val="tx1"/>
            </w14:solidFill>
          </w14:textFill>
        </w:rPr>
        <w:t>6.总量控制。</w:t>
      </w:r>
      <w:r>
        <w:rPr>
          <w:rFonts w:hint="default" w:ascii="Times New Roman" w:hAnsi="Times New Roman" w:eastAsia="仿宋" w:cs="Times New Roman"/>
          <w:color w:val="000000" w:themeColor="text1"/>
          <w:kern w:val="2"/>
          <w:sz w:val="32"/>
          <w:szCs w:val="32"/>
          <w14:textFill>
            <w14:solidFill>
              <w14:schemeClr w14:val="tx1"/>
            </w14:solidFill>
          </w14:textFill>
        </w:rPr>
        <w:t>本</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项目主要污染物总量控制指标为：</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COD</w:t>
      </w:r>
      <w:r>
        <w:rPr>
          <w:rFonts w:hint="eastAsia" w:ascii="Times New Roman" w:hAnsi="Times New Roman" w:eastAsia="仿宋" w:cs="Times New Roman"/>
          <w:color w:val="000000" w:themeColor="text1"/>
          <w:kern w:val="2"/>
          <w:sz w:val="32"/>
          <w:szCs w:val="32"/>
          <w:lang w:val="en-US" w:eastAsia="zh-CN"/>
          <w14:textFill>
            <w14:solidFill>
              <w14:schemeClr w14:val="tx1"/>
            </w14:solidFill>
          </w14:textFill>
        </w:rPr>
        <w:t xml:space="preserve"> </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w:t>
      </w:r>
      <w:r>
        <w:rPr>
          <w:rFonts w:hint="eastAsia" w:ascii="Times New Roman" w:hAnsi="Times New Roman" w:eastAsia="仿宋" w:cs="Times New Roman"/>
          <w:color w:val="000000" w:themeColor="text1"/>
          <w:kern w:val="2"/>
          <w:sz w:val="32"/>
          <w:szCs w:val="32"/>
          <w:lang w:val="en-US" w:eastAsia="zh-CN"/>
          <w14:textFill>
            <w14:solidFill>
              <w14:schemeClr w14:val="tx1"/>
            </w14:solidFill>
          </w14:textFill>
        </w:rPr>
        <w:t xml:space="preserve"> </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0.467</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t/a、</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氨氮</w:t>
      </w:r>
      <w:r>
        <w:rPr>
          <w:rFonts w:hint="eastAsia" w:ascii="Times New Roman" w:hAnsi="Times New Roman" w:eastAsia="仿宋" w:cs="Times New Roman"/>
          <w:color w:val="000000" w:themeColor="text1"/>
          <w:kern w:val="2"/>
          <w:sz w:val="32"/>
          <w:szCs w:val="32"/>
          <w:lang w:val="en-US" w:eastAsia="zh-CN"/>
          <w14:textFill>
            <w14:solidFill>
              <w14:schemeClr w14:val="tx1"/>
            </w14:solidFill>
          </w14:textFill>
        </w:rPr>
        <w:t xml:space="preserve"> </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w:t>
      </w:r>
      <w:r>
        <w:rPr>
          <w:rFonts w:hint="eastAsia" w:ascii="Times New Roman" w:hAnsi="Times New Roman" w:eastAsia="仿宋" w:cs="Times New Roman"/>
          <w:color w:val="000000" w:themeColor="text1"/>
          <w:kern w:val="2"/>
          <w:sz w:val="32"/>
          <w:szCs w:val="32"/>
          <w:lang w:val="en-US" w:eastAsia="zh-CN"/>
          <w14:textFill>
            <w14:solidFill>
              <w14:schemeClr w14:val="tx1"/>
            </w14:solidFill>
          </w14:textFill>
        </w:rPr>
        <w:t xml:space="preserve"> </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0.047</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t/a</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、VOCs</w:t>
      </w:r>
      <w:r>
        <w:rPr>
          <w:rFonts w:hint="eastAsia" w:ascii="Times New Roman" w:hAnsi="Times New Roman" w:eastAsia="仿宋" w:cs="Times New Roman"/>
          <w:color w:val="000000" w:themeColor="text1"/>
          <w:kern w:val="2"/>
          <w:sz w:val="32"/>
          <w:szCs w:val="32"/>
          <w:lang w:val="en-US" w:eastAsia="zh-CN"/>
          <w14:textFill>
            <w14:solidFill>
              <w14:schemeClr w14:val="tx1"/>
            </w14:solidFill>
          </w14:textFill>
        </w:rPr>
        <w:t xml:space="preserve"> </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w:t>
      </w:r>
      <w:r>
        <w:rPr>
          <w:rFonts w:hint="eastAsia" w:ascii="Times New Roman" w:hAnsi="Times New Roman" w:eastAsia="仿宋" w:cs="Times New Roman"/>
          <w:color w:val="000000" w:themeColor="text1"/>
          <w:kern w:val="2"/>
          <w:sz w:val="32"/>
          <w:szCs w:val="32"/>
          <w:lang w:val="en-US" w:eastAsia="zh-CN"/>
          <w14:textFill>
            <w14:solidFill>
              <w14:schemeClr w14:val="tx1"/>
            </w14:solidFill>
          </w14:textFill>
        </w:rPr>
        <w:t xml:space="preserve"> </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2.5979</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t/a</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，其中VOCs建议进行总量控制；COD总量控制须通过排污权交易获取</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w:t>
      </w:r>
    </w:p>
    <w:p w14:paraId="74C67B81">
      <w:pPr>
        <w:keepNext w:val="0"/>
        <w:keepLines w:val="0"/>
        <w:pageBreakBefore w:val="0"/>
        <w:kinsoku/>
        <w:wordWrap/>
        <w:overflowPunct/>
        <w:topLinePunct w:val="0"/>
        <w:autoSpaceDN/>
        <w:bidi w:val="0"/>
        <w:adjustRightInd/>
        <w:snapToGrid/>
        <w:spacing w:line="560" w:lineRule="exact"/>
        <w:ind w:firstLine="643"/>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pP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7.</w:t>
      </w:r>
      <w:r>
        <w:rPr>
          <w:rFonts w:hint="default" w:ascii="Times New Roman" w:hAnsi="Times New Roman" w:eastAsia="仿宋" w:cs="Times New Roman"/>
          <w:b/>
          <w:bCs/>
          <w:color w:val="000000" w:themeColor="text1"/>
          <w:kern w:val="2"/>
          <w:sz w:val="32"/>
          <w:szCs w:val="32"/>
          <w:lang w:val="en-US" w:eastAsia="zh-CN"/>
          <w14:textFill>
            <w14:solidFill>
              <w14:schemeClr w14:val="tx1"/>
            </w14:solidFill>
          </w14:textFill>
        </w:rPr>
        <w:t>土壤</w:t>
      </w:r>
      <w:r>
        <w:rPr>
          <w:rFonts w:hint="default" w:ascii="Times New Roman" w:hAnsi="Times New Roman" w:eastAsia="仿宋" w:cs="Times New Roman"/>
          <w:b/>
          <w:bCs/>
          <w:color w:val="000000" w:themeColor="text1"/>
          <w:kern w:val="2"/>
          <w:sz w:val="32"/>
          <w:szCs w:val="32"/>
          <w:lang w:val="en-US" w:eastAsia="zh-CN"/>
          <w14:textFill>
            <w14:solidFill>
              <w14:schemeClr w14:val="tx1"/>
            </w14:solidFill>
          </w14:textFill>
        </w:rPr>
        <w:t>和</w:t>
      </w:r>
      <w:r>
        <w:rPr>
          <w:rFonts w:hint="default" w:ascii="Times New Roman" w:hAnsi="Times New Roman" w:eastAsia="仿宋" w:cs="Times New Roman"/>
          <w:b/>
          <w:bCs/>
          <w:color w:val="000000" w:themeColor="text1"/>
          <w:kern w:val="2"/>
          <w:sz w:val="32"/>
          <w:szCs w:val="32"/>
          <w:lang w:val="en-US" w:eastAsia="zh-CN"/>
          <w14:textFill>
            <w14:solidFill>
              <w14:schemeClr w14:val="tx1"/>
            </w14:solidFill>
          </w14:textFill>
        </w:rPr>
        <w:t>地下水防治</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。按照“源头控制</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分区防控</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污染监控、应急响应”的原则落实土壤和地下水污染防治措施。对场区进行分区防渗，</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简单防渗区、</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一般防渗区、重点防渗区均应按相关技术规范要求落实防渗措施，确保防渗性能达到要求，防范污染源对地下水、土壤环境的垂直下渗和地面漫流污染影响，避免污染地下水和土壤环境，杜绝“跑、冒、滴、漏”等事故的发生。</w:t>
      </w:r>
    </w:p>
    <w:p w14:paraId="22DC1210">
      <w:pPr>
        <w:pStyle w:val="16"/>
        <w:keepNext w:val="0"/>
        <w:keepLines w:val="0"/>
        <w:pageBreakBefore w:val="0"/>
        <w:widowControl w:val="0"/>
        <w:kinsoku/>
        <w:wordWrap/>
        <w:overflowPunct/>
        <w:topLinePunct w:val="0"/>
        <w:autoSpaceDE w:val="0"/>
        <w:autoSpaceDN/>
        <w:bidi w:val="0"/>
        <w:adjustRightInd/>
        <w:snapToGrid/>
        <w:spacing w:before="0" w:beforeAutospacing="0" w:after="0" w:afterAutospacing="0" w:line="560" w:lineRule="exact"/>
        <w:ind w:firstLine="643" w:firstLineChars="200"/>
        <w:jc w:val="both"/>
        <w:rPr>
          <w:rFonts w:hint="default" w:ascii="Times New Roman" w:hAnsi="Times New Roman" w:eastAsia="仿宋"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 w:cs="Times New Roman"/>
          <w:b/>
          <w:bCs/>
          <w:color w:val="000000" w:themeColor="text1"/>
          <w:kern w:val="2"/>
          <w:sz w:val="32"/>
          <w:szCs w:val="32"/>
          <w:lang w:val="en-US" w:eastAsia="zh-CN"/>
          <w14:textFill>
            <w14:solidFill>
              <w14:schemeClr w14:val="tx1"/>
            </w14:solidFill>
          </w14:textFill>
        </w:rPr>
        <w:t>8</w:t>
      </w:r>
      <w:r>
        <w:rPr>
          <w:rFonts w:hint="default" w:ascii="Times New Roman" w:hAnsi="Times New Roman" w:eastAsia="仿宋" w:cs="Times New Roman"/>
          <w:b/>
          <w:bCs/>
          <w:color w:val="000000" w:themeColor="text1"/>
          <w:kern w:val="2"/>
          <w:sz w:val="32"/>
          <w:szCs w:val="32"/>
          <w14:textFill>
            <w14:solidFill>
              <w14:schemeClr w14:val="tx1"/>
            </w14:solidFill>
          </w14:textFill>
        </w:rPr>
        <w:t>.加强环境管理与环境风险防范。</w:t>
      </w:r>
      <w:r>
        <w:rPr>
          <w:rFonts w:hint="default" w:ascii="Times New Roman" w:hAnsi="Times New Roman" w:eastAsia="仿宋" w:cs="Times New Roman"/>
          <w:color w:val="000000" w:themeColor="text1"/>
          <w:kern w:val="2"/>
          <w:sz w:val="32"/>
          <w:szCs w:val="32"/>
          <w:lang w:val="en-US" w:eastAsia="zh-CN" w:bidi="ar-SA"/>
          <w14:textFill>
            <w14:solidFill>
              <w14:schemeClr w14:val="tx1"/>
            </w14:solidFill>
          </w14:textFill>
        </w:rPr>
        <w:t>设置专门的环保机构，配备专职环保管理人员，加强生产设备、污防设施、环保设施的检修与保养及工人、管理人员培训工作，建立健全污染防治设施运行管理台账。加强日常监管，杜绝生产过程中的跑、冒、滴、漏，确保各污染防治设施的正常运行，各类污染物稳定达标排放。做好运营期环境监测工作，严格落实各项环境风险防范措施，按要求配齐各类泄漏检测探测报警仪器和监控、应急设施，完善突发环境事件应急预案修编，储备风险救助物资并定期组织演练，杜绝环境风险事故发生，确保周边环境安全。</w:t>
      </w:r>
    </w:p>
    <w:p w14:paraId="53C96697">
      <w:pPr>
        <w:keepNext w:val="0"/>
        <w:keepLines w:val="0"/>
        <w:pageBreakBefore w:val="0"/>
        <w:kinsoku/>
        <w:wordWrap/>
        <w:overflowPunct/>
        <w:topLinePunct w:val="0"/>
        <w:autoSpaceDN/>
        <w:bidi w:val="0"/>
        <w:adjustRightInd/>
        <w:snapToGrid/>
        <w:spacing w:line="560" w:lineRule="exact"/>
        <w:ind w:firstLine="640"/>
        <w:jc w:val="both"/>
        <w:rPr>
          <w:rFonts w:hint="default" w:ascii="Times New Roman" w:hAnsi="Times New Roman" w:eastAsia="仿宋" w:cs="Times New Roman"/>
          <w:color w:val="000000" w:themeColor="text1"/>
          <w:kern w:val="2"/>
          <w:sz w:val="32"/>
          <w:szCs w:val="32"/>
          <w:lang w:val="zh-CN"/>
          <w14:textFill>
            <w14:solidFill>
              <w14:schemeClr w14:val="tx1"/>
            </w14:solidFill>
          </w14:textFill>
        </w:rPr>
      </w:pPr>
      <w:r>
        <w:rPr>
          <w:rFonts w:hint="default" w:ascii="Times New Roman" w:hAnsi="Times New Roman" w:eastAsia="仿宋" w:cs="Times New Roman"/>
          <w:color w:val="000000" w:themeColor="text1"/>
          <w:kern w:val="2"/>
          <w:sz w:val="32"/>
          <w:szCs w:val="32"/>
          <w14:textFill>
            <w14:solidFill>
              <w14:schemeClr w14:val="tx1"/>
            </w14:solidFill>
          </w14:textFill>
        </w:rPr>
        <w:t>三、严格按规程操作，确保各种污染治理设施的正常运行。项目建成后应按规定程序实施竣工环境保护验收。由岳阳市临湘生态环境保护综合行政执法大队负责该项目的日常现场监管</w:t>
      </w:r>
      <w:r>
        <w:rPr>
          <w:rFonts w:hint="default" w:ascii="Times New Roman" w:hAnsi="Times New Roman" w:eastAsia="仿宋" w:cs="Times New Roman"/>
          <w:color w:val="000000" w:themeColor="text1"/>
          <w:kern w:val="2"/>
          <w:sz w:val="32"/>
          <w:szCs w:val="32"/>
          <w:lang w:val="zh-CN"/>
          <w14:textFill>
            <w14:solidFill>
              <w14:schemeClr w14:val="tx1"/>
            </w14:solidFill>
          </w14:textFill>
        </w:rPr>
        <w:t>。</w:t>
      </w:r>
    </w:p>
    <w:p w14:paraId="769A925D">
      <w:pPr>
        <w:keepNext w:val="0"/>
        <w:keepLines w:val="0"/>
        <w:pageBreakBefore w:val="0"/>
        <w:kinsoku/>
        <w:wordWrap/>
        <w:overflowPunct/>
        <w:topLinePunct w:val="0"/>
        <w:autoSpaceDE/>
        <w:autoSpaceDN/>
        <w:bidi w:val="0"/>
        <w:adjustRightInd/>
        <w:snapToGrid/>
        <w:spacing w:line="520" w:lineRule="exact"/>
        <w:ind w:firstLine="640"/>
        <w:jc w:val="both"/>
        <w:rPr>
          <w:rFonts w:hint="default" w:ascii="Times New Roman" w:hAnsi="Times New Roman" w:eastAsia="仿宋" w:cs="Times New Roman"/>
          <w:color w:val="000000" w:themeColor="text1"/>
          <w:kern w:val="2"/>
          <w:sz w:val="32"/>
          <w:szCs w:val="32"/>
          <w:lang w:val="zh-CN"/>
          <w14:textFill>
            <w14:solidFill>
              <w14:schemeClr w14:val="tx1"/>
            </w14:solidFill>
          </w14:textFill>
        </w:rPr>
      </w:pPr>
    </w:p>
    <w:p w14:paraId="4E0F1B10">
      <w:pPr>
        <w:keepNext w:val="0"/>
        <w:keepLines w:val="0"/>
        <w:pageBreakBefore w:val="0"/>
        <w:kinsoku/>
        <w:wordWrap/>
        <w:overflowPunct/>
        <w:topLinePunct w:val="0"/>
        <w:autoSpaceDE/>
        <w:autoSpaceDN/>
        <w:bidi w:val="0"/>
        <w:adjustRightInd/>
        <w:snapToGrid/>
        <w:spacing w:line="520" w:lineRule="exact"/>
        <w:ind w:firstLine="640"/>
        <w:jc w:val="both"/>
        <w:rPr>
          <w:rFonts w:hint="default" w:ascii="Times New Roman" w:hAnsi="Times New Roman" w:eastAsia="仿宋" w:cs="Times New Roman"/>
          <w:color w:val="000000" w:themeColor="text1"/>
          <w:kern w:val="2"/>
          <w:sz w:val="32"/>
          <w:szCs w:val="32"/>
          <w:lang w:val="zh-CN"/>
          <w14:textFill>
            <w14:solidFill>
              <w14:schemeClr w14:val="tx1"/>
            </w14:solidFill>
          </w14:textFill>
        </w:rPr>
      </w:pPr>
    </w:p>
    <w:p w14:paraId="7DA5C337">
      <w:pPr>
        <w:pStyle w:val="33"/>
        <w:keepNext w:val="0"/>
        <w:keepLines w:val="0"/>
        <w:pageBreakBefore w:val="0"/>
        <w:kinsoku/>
        <w:wordWrap/>
        <w:overflowPunct/>
        <w:topLinePunct w:val="0"/>
        <w:autoSpaceDE/>
        <w:autoSpaceDN/>
        <w:bidi w:val="0"/>
        <w:adjustRightInd/>
        <w:snapToGrid/>
        <w:spacing w:line="520" w:lineRule="exact"/>
        <w:ind w:firstLine="5760" w:firstLineChars="1800"/>
        <w:jc w:val="both"/>
        <w:textAlignment w:val="top"/>
        <w:rPr>
          <w:rFonts w:hint="default" w:ascii="Times New Roman" w:hAnsi="Times New Roman" w:eastAsia="仿宋" w:cs="Times New Roman"/>
          <w:color w:val="000000" w:themeColor="text1"/>
          <w:kern w:val="2"/>
          <w:sz w:val="32"/>
          <w:szCs w:val="32"/>
          <w14:textFill>
            <w14:solidFill>
              <w14:schemeClr w14:val="tx1"/>
            </w14:solidFill>
          </w14:textFill>
        </w:rPr>
      </w:pPr>
      <w:r>
        <w:rPr>
          <w:rFonts w:hint="default" w:ascii="Times New Roman" w:hAnsi="Times New Roman" w:eastAsia="仿宋" w:cs="Times New Roman"/>
          <w:color w:val="000000" w:themeColor="text1"/>
          <w:kern w:val="2"/>
          <w:sz w:val="32"/>
          <w:szCs w:val="32"/>
          <w14:textFill>
            <w14:solidFill>
              <w14:schemeClr w14:val="tx1"/>
            </w14:solidFill>
          </w14:textFill>
        </w:rPr>
        <w:t>岳阳市生态环境局</w:t>
      </w:r>
    </w:p>
    <w:p w14:paraId="59238E26">
      <w:pPr>
        <w:pStyle w:val="33"/>
        <w:keepNext w:val="0"/>
        <w:keepLines w:val="0"/>
        <w:pageBreakBefore w:val="0"/>
        <w:tabs>
          <w:tab w:val="left" w:pos="5580"/>
        </w:tabs>
        <w:kinsoku/>
        <w:wordWrap/>
        <w:overflowPunct/>
        <w:topLinePunct w:val="0"/>
        <w:autoSpaceDE/>
        <w:autoSpaceDN/>
        <w:bidi w:val="0"/>
        <w:adjustRightInd/>
        <w:snapToGrid/>
        <w:spacing w:line="520" w:lineRule="exact"/>
        <w:ind w:firstLine="5760" w:firstLineChars="1800"/>
        <w:jc w:val="both"/>
        <w:textAlignment w:val="top"/>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kern w:val="2"/>
          <w:sz w:val="32"/>
          <w:szCs w:val="32"/>
          <w:highlight w:val="none"/>
          <w14:textFill>
            <w14:solidFill>
              <w14:schemeClr w14:val="tx1"/>
            </w14:solidFill>
          </w14:textFill>
        </w:rPr>
        <w:t>202</w:t>
      </w:r>
      <w:r>
        <w:rPr>
          <w:rFonts w:hint="default" w:ascii="Times New Roman" w:hAnsi="Times New Roman" w:eastAsia="仿宋" w:cs="Times New Roman"/>
          <w:color w:val="000000" w:themeColor="text1"/>
          <w:kern w:val="2"/>
          <w:sz w:val="32"/>
          <w:szCs w:val="32"/>
          <w:highlight w:val="none"/>
          <w:lang w:val="en-US" w:eastAsia="zh-CN"/>
          <w14:textFill>
            <w14:solidFill>
              <w14:schemeClr w14:val="tx1"/>
            </w14:solidFill>
          </w14:textFill>
        </w:rPr>
        <w:t>6</w:t>
      </w:r>
      <w:r>
        <w:rPr>
          <w:rFonts w:hint="default" w:ascii="Times New Roman" w:hAnsi="Times New Roman" w:eastAsia="仿宋" w:cs="Times New Roman"/>
          <w:color w:val="000000" w:themeColor="text1"/>
          <w:kern w:val="2"/>
          <w:sz w:val="32"/>
          <w:szCs w:val="32"/>
          <w:highlight w:val="none"/>
          <w14:textFill>
            <w14:solidFill>
              <w14:schemeClr w14:val="tx1"/>
            </w14:solidFill>
          </w14:textFill>
        </w:rPr>
        <w:t>年</w:t>
      </w:r>
      <w:r>
        <w:rPr>
          <w:rFonts w:hint="default" w:ascii="Times New Roman" w:hAnsi="Times New Roman" w:eastAsia="仿宋" w:cs="Times New Roman"/>
          <w:color w:val="000000" w:themeColor="text1"/>
          <w:kern w:val="2"/>
          <w:sz w:val="32"/>
          <w:szCs w:val="32"/>
          <w:highlight w:val="none"/>
          <w:lang w:val="en-US" w:eastAsia="zh-CN"/>
          <w14:textFill>
            <w14:solidFill>
              <w14:schemeClr w14:val="tx1"/>
            </w14:solidFill>
          </w14:textFill>
        </w:rPr>
        <w:t>9</w:t>
      </w:r>
      <w:r>
        <w:rPr>
          <w:rFonts w:hint="default" w:ascii="Times New Roman" w:hAnsi="Times New Roman" w:eastAsia="仿宋" w:cs="Times New Roman"/>
          <w:color w:val="000000" w:themeColor="text1"/>
          <w:kern w:val="2"/>
          <w:sz w:val="32"/>
          <w:szCs w:val="32"/>
          <w:highlight w:val="none"/>
          <w14:textFill>
            <w14:solidFill>
              <w14:schemeClr w14:val="tx1"/>
            </w14:solidFill>
          </w14:textFill>
        </w:rPr>
        <w:t>月</w:t>
      </w:r>
      <w:r>
        <w:rPr>
          <w:rFonts w:hint="default" w:ascii="Times New Roman" w:hAnsi="Times New Roman" w:eastAsia="仿宋" w:cs="Times New Roman"/>
          <w:color w:val="000000" w:themeColor="text1"/>
          <w:kern w:val="2"/>
          <w:sz w:val="32"/>
          <w:szCs w:val="32"/>
          <w:highlight w:val="none"/>
          <w:lang w:val="en-US" w:eastAsia="zh-CN"/>
          <w14:textFill>
            <w14:solidFill>
              <w14:schemeClr w14:val="tx1"/>
            </w14:solidFill>
          </w14:textFill>
        </w:rPr>
        <w:t>16</w:t>
      </w:r>
      <w:r>
        <w:rPr>
          <w:rFonts w:hint="default" w:ascii="Times New Roman" w:hAnsi="Times New Roman" w:eastAsia="仿宋" w:cs="Times New Roman"/>
          <w:color w:val="000000" w:themeColor="text1"/>
          <w:kern w:val="2"/>
          <w:sz w:val="32"/>
          <w:szCs w:val="32"/>
          <w:highlight w:val="none"/>
          <w14:textFill>
            <w14:solidFill>
              <w14:schemeClr w14:val="tx1"/>
            </w14:solidFill>
          </w14:textFill>
        </w:rPr>
        <w:t>日</w:t>
      </w:r>
    </w:p>
    <w:sectPr>
      <w:footerReference r:id="rId7" w:type="default"/>
      <w:pgSz w:w="11906" w:h="16838"/>
      <w:pgMar w:top="1440" w:right="1588" w:bottom="1440" w:left="1588" w:header="851" w:footer="850" w:gutter="0"/>
      <w:pgNumType w:fmt="decimal" w:start="2"/>
      <w:cols w:space="720" w:num="1"/>
      <w:docGrid w:type="lines" w:linePitch="273"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00"/>
      </w:pPr>
      <w:r>
        <w:separator/>
      </w:r>
    </w:p>
  </w:endnote>
  <w:endnote w:type="continuationSeparator" w:id="1">
    <w:p>
      <w:pPr>
        <w:ind w:firstLine="4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公文小标宋">
    <w:panose1 w:val="02000500000000000000"/>
    <w:charset w:val="86"/>
    <w:family w:val="auto"/>
    <w:pitch w:val="default"/>
    <w:sig w:usb0="A00002BF" w:usb1="38CF7CFA" w:usb2="00000016" w:usb3="00000000" w:csb0="00040001" w:csb1="00000000"/>
  </w:font>
  <w:font w:name="方正楷体_GB2312">
    <w:panose1 w:val="02000000000000000000"/>
    <w:charset w:val="86"/>
    <w:family w:val="auto"/>
    <w:pitch w:val="default"/>
    <w:sig w:usb0="A00002BF" w:usb1="184F6CFA" w:usb2="00000012" w:usb3="00000000" w:csb0="00040001" w:csb1="00000000"/>
  </w:font>
  <w:font w:name="方正仿宋_GB2312">
    <w:panose1 w:val="02000000000000000000"/>
    <w:charset w:val="86"/>
    <w:family w:val="auto"/>
    <w:pitch w:val="default"/>
    <w:sig w:usb0="A00002BF" w:usb1="184F6CFA" w:usb2="00000012" w:usb3="00000000" w:csb0="00040001" w:csb1="00000000"/>
  </w:font>
  <w:font w:name="新宋体-18030">
    <w:altName w:val="宋体"/>
    <w:panose1 w:val="00000000000000000000"/>
    <w:charset w:val="00"/>
    <w:family w:val="auto"/>
    <w:pitch w:val="default"/>
    <w:sig w:usb0="00000000" w:usb1="00000000" w:usb2="00000000"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Arial Unicode MS">
    <w:panose1 w:val="020B0604020202020204"/>
    <w:charset w:val="86"/>
    <w:family w:val="swiss"/>
    <w:pitch w:val="default"/>
    <w:sig w:usb0="F7FFAEFF" w:usb1="F9DFFFFF" w:usb2="0000007F" w:usb3="00000000" w:csb0="203F01FF" w:csb1="DFFF0000"/>
  </w:font>
  <w:font w:name="Corbel">
    <w:panose1 w:val="020B0503020204020204"/>
    <w:charset w:val="00"/>
    <w:family w:val="swiss"/>
    <w:pitch w:val="default"/>
    <w:sig w:usb0="A00002EF" w:usb1="4000A44B" w:usb2="00000000" w:usb3="00000000" w:csb0="2000019F" w:csb1="00000000"/>
  </w:font>
  <w:font w:name="Verdana">
    <w:panose1 w:val="020B0604030504040204"/>
    <w:charset w:val="00"/>
    <w:family w:val="swiss"/>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016384">
    <w:pPr>
      <w:pStyle w:val="13"/>
      <w:tabs>
        <w:tab w:val="left" w:pos="3903"/>
        <w:tab w:val="clear" w:pos="4153"/>
      </w:tabs>
      <w:ind w:firstLine="360"/>
    </w:pP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B04829">
    <w:pPr>
      <w:pStyle w:val="13"/>
      <w:tabs>
        <w:tab w:val="left" w:pos="3903"/>
        <w:tab w:val="clear" w:pos="4153"/>
      </w:tabs>
      <w:ind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CD476F">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4CD476F">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v:textbox>
            </v:shape>
          </w:pict>
        </mc:Fallback>
      </mc:AlternateContent>
    </w:r>
    <w:r>
      <w:rPr>
        <w:rFonts w:hint="eastAsia"/>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400"/>
      </w:pPr>
      <w:r>
        <w:separator/>
      </w:r>
    </w:p>
  </w:footnote>
  <w:footnote w:type="continuationSeparator" w:id="1">
    <w:p>
      <w:pPr>
        <w:ind w:firstLine="40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7209E">
    <w:pPr>
      <w:pStyle w:val="14"/>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2A5F2C"/>
    <w:multiLevelType w:val="singleLevel"/>
    <w:tmpl w:val="B12A5F2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0"/>
  <w:drawingGridVerticalSpacing w:val="273"/>
  <w:displayHorizontalDrawingGridEvery w:val="0"/>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4520"/>
    <w:rsid w:val="00306F3A"/>
    <w:rsid w:val="00345C05"/>
    <w:rsid w:val="00395B61"/>
    <w:rsid w:val="003A03E2"/>
    <w:rsid w:val="0041729C"/>
    <w:rsid w:val="00646C16"/>
    <w:rsid w:val="006A3FC2"/>
    <w:rsid w:val="006C3ACD"/>
    <w:rsid w:val="006D21E4"/>
    <w:rsid w:val="009C1E4E"/>
    <w:rsid w:val="00A6644F"/>
    <w:rsid w:val="00B34EDC"/>
    <w:rsid w:val="00B734C6"/>
    <w:rsid w:val="00C11338"/>
    <w:rsid w:val="00CE459A"/>
    <w:rsid w:val="00E97E38"/>
    <w:rsid w:val="00EC4520"/>
    <w:rsid w:val="00FE2CD5"/>
    <w:rsid w:val="01136185"/>
    <w:rsid w:val="01995B0E"/>
    <w:rsid w:val="01B666C0"/>
    <w:rsid w:val="01FC55C4"/>
    <w:rsid w:val="020407DD"/>
    <w:rsid w:val="023C53DB"/>
    <w:rsid w:val="02445A7A"/>
    <w:rsid w:val="026A731F"/>
    <w:rsid w:val="02EA4873"/>
    <w:rsid w:val="03D177E1"/>
    <w:rsid w:val="03D96696"/>
    <w:rsid w:val="03F67248"/>
    <w:rsid w:val="040265F8"/>
    <w:rsid w:val="04BF6FBF"/>
    <w:rsid w:val="04FA2D68"/>
    <w:rsid w:val="052A53FB"/>
    <w:rsid w:val="05B253F0"/>
    <w:rsid w:val="065F10D4"/>
    <w:rsid w:val="06766D74"/>
    <w:rsid w:val="07271259"/>
    <w:rsid w:val="07A442D1"/>
    <w:rsid w:val="07B62F76"/>
    <w:rsid w:val="080109C6"/>
    <w:rsid w:val="088C3CD7"/>
    <w:rsid w:val="08C23B9D"/>
    <w:rsid w:val="09322AD0"/>
    <w:rsid w:val="09594501"/>
    <w:rsid w:val="09715CF4"/>
    <w:rsid w:val="09810AA5"/>
    <w:rsid w:val="099077F7"/>
    <w:rsid w:val="099F5A02"/>
    <w:rsid w:val="0A3E4ED8"/>
    <w:rsid w:val="0ACA0AE6"/>
    <w:rsid w:val="0B1F52D6"/>
    <w:rsid w:val="0BDF4656"/>
    <w:rsid w:val="0C8B7410"/>
    <w:rsid w:val="0CD30126"/>
    <w:rsid w:val="0CFB142B"/>
    <w:rsid w:val="0D0F3224"/>
    <w:rsid w:val="0D576499"/>
    <w:rsid w:val="0D9A523E"/>
    <w:rsid w:val="0DAF1467"/>
    <w:rsid w:val="0E0367E9"/>
    <w:rsid w:val="0E320A4A"/>
    <w:rsid w:val="0E486D6B"/>
    <w:rsid w:val="0E54021A"/>
    <w:rsid w:val="0F084C1D"/>
    <w:rsid w:val="0F0E4067"/>
    <w:rsid w:val="0F8B68A4"/>
    <w:rsid w:val="0FA45C75"/>
    <w:rsid w:val="0FAB7138"/>
    <w:rsid w:val="100028AE"/>
    <w:rsid w:val="1041184B"/>
    <w:rsid w:val="10523A58"/>
    <w:rsid w:val="106B68C8"/>
    <w:rsid w:val="106E0CF9"/>
    <w:rsid w:val="107547A7"/>
    <w:rsid w:val="10927ABC"/>
    <w:rsid w:val="10B47E36"/>
    <w:rsid w:val="10FE598E"/>
    <w:rsid w:val="128A19B4"/>
    <w:rsid w:val="129245E0"/>
    <w:rsid w:val="12B912C7"/>
    <w:rsid w:val="12D04239"/>
    <w:rsid w:val="132A7A44"/>
    <w:rsid w:val="13734411"/>
    <w:rsid w:val="13BB7B66"/>
    <w:rsid w:val="13C609E5"/>
    <w:rsid w:val="146B6E96"/>
    <w:rsid w:val="14942891"/>
    <w:rsid w:val="14E86739"/>
    <w:rsid w:val="1540069F"/>
    <w:rsid w:val="159266A5"/>
    <w:rsid w:val="160E4AAD"/>
    <w:rsid w:val="16247C45"/>
    <w:rsid w:val="172A3039"/>
    <w:rsid w:val="17562080"/>
    <w:rsid w:val="17563E2E"/>
    <w:rsid w:val="176A5B2B"/>
    <w:rsid w:val="17EB59EB"/>
    <w:rsid w:val="182B350C"/>
    <w:rsid w:val="18300B23"/>
    <w:rsid w:val="183A7126"/>
    <w:rsid w:val="18421155"/>
    <w:rsid w:val="18680CF7"/>
    <w:rsid w:val="186B3909"/>
    <w:rsid w:val="1890511D"/>
    <w:rsid w:val="18B352B0"/>
    <w:rsid w:val="19AF3CC9"/>
    <w:rsid w:val="19EF26A6"/>
    <w:rsid w:val="1A460E27"/>
    <w:rsid w:val="1AD91131"/>
    <w:rsid w:val="1B100797"/>
    <w:rsid w:val="1B627E82"/>
    <w:rsid w:val="1B672092"/>
    <w:rsid w:val="1B6D1F0E"/>
    <w:rsid w:val="1BCA7BC9"/>
    <w:rsid w:val="1BD03EEB"/>
    <w:rsid w:val="1C2269D4"/>
    <w:rsid w:val="1C72170E"/>
    <w:rsid w:val="1C7467DC"/>
    <w:rsid w:val="1CB60C0D"/>
    <w:rsid w:val="1CDD0B4D"/>
    <w:rsid w:val="1D102CD1"/>
    <w:rsid w:val="1D8F0099"/>
    <w:rsid w:val="1DD94587"/>
    <w:rsid w:val="1DDC7057"/>
    <w:rsid w:val="1DE327F0"/>
    <w:rsid w:val="1E4075E6"/>
    <w:rsid w:val="1E876F10"/>
    <w:rsid w:val="1F1F6287"/>
    <w:rsid w:val="1F226CEB"/>
    <w:rsid w:val="1F291F60"/>
    <w:rsid w:val="20120B0E"/>
    <w:rsid w:val="201E3957"/>
    <w:rsid w:val="206A094A"/>
    <w:rsid w:val="20B50873"/>
    <w:rsid w:val="212201CD"/>
    <w:rsid w:val="21726EAE"/>
    <w:rsid w:val="21731A80"/>
    <w:rsid w:val="220B1CB9"/>
    <w:rsid w:val="2214019C"/>
    <w:rsid w:val="222B4109"/>
    <w:rsid w:val="22364F87"/>
    <w:rsid w:val="22A04AF7"/>
    <w:rsid w:val="22B71C0B"/>
    <w:rsid w:val="23644CDE"/>
    <w:rsid w:val="23CA65C3"/>
    <w:rsid w:val="24AD62FD"/>
    <w:rsid w:val="25793825"/>
    <w:rsid w:val="25AE12D9"/>
    <w:rsid w:val="25D6438C"/>
    <w:rsid w:val="25EB42DB"/>
    <w:rsid w:val="25EC0B17"/>
    <w:rsid w:val="25F26B4E"/>
    <w:rsid w:val="26236B82"/>
    <w:rsid w:val="263A0D4A"/>
    <w:rsid w:val="2661459D"/>
    <w:rsid w:val="26793695"/>
    <w:rsid w:val="267E0CAB"/>
    <w:rsid w:val="26A57AC5"/>
    <w:rsid w:val="26F64CE5"/>
    <w:rsid w:val="27937E96"/>
    <w:rsid w:val="27A75FE0"/>
    <w:rsid w:val="282D0BDB"/>
    <w:rsid w:val="2848606D"/>
    <w:rsid w:val="28692EB0"/>
    <w:rsid w:val="290F6532"/>
    <w:rsid w:val="29311DD0"/>
    <w:rsid w:val="293726DF"/>
    <w:rsid w:val="294C6DF7"/>
    <w:rsid w:val="29826D04"/>
    <w:rsid w:val="2AD417E1"/>
    <w:rsid w:val="2AD41D17"/>
    <w:rsid w:val="2AE216BA"/>
    <w:rsid w:val="2B141465"/>
    <w:rsid w:val="2C8F7D60"/>
    <w:rsid w:val="2CA60F5C"/>
    <w:rsid w:val="2CB52E8B"/>
    <w:rsid w:val="2D087520"/>
    <w:rsid w:val="2D0A34E8"/>
    <w:rsid w:val="2D506C2A"/>
    <w:rsid w:val="2D8C63A3"/>
    <w:rsid w:val="2DDD7A33"/>
    <w:rsid w:val="2F835584"/>
    <w:rsid w:val="2F963CB6"/>
    <w:rsid w:val="2F975875"/>
    <w:rsid w:val="2FCD1E2A"/>
    <w:rsid w:val="30696528"/>
    <w:rsid w:val="307D0225"/>
    <w:rsid w:val="307D1FD3"/>
    <w:rsid w:val="309C68FD"/>
    <w:rsid w:val="311D1A84"/>
    <w:rsid w:val="31367124"/>
    <w:rsid w:val="313A33BB"/>
    <w:rsid w:val="3176789C"/>
    <w:rsid w:val="31992E3D"/>
    <w:rsid w:val="31C14142"/>
    <w:rsid w:val="327B69E7"/>
    <w:rsid w:val="32827D75"/>
    <w:rsid w:val="32942D03"/>
    <w:rsid w:val="32D35DC0"/>
    <w:rsid w:val="32FF13C6"/>
    <w:rsid w:val="33CA3782"/>
    <w:rsid w:val="33DC1707"/>
    <w:rsid w:val="33E406E4"/>
    <w:rsid w:val="33E5369B"/>
    <w:rsid w:val="34083EFF"/>
    <w:rsid w:val="340C5B48"/>
    <w:rsid w:val="3576787D"/>
    <w:rsid w:val="357A1A28"/>
    <w:rsid w:val="36611AF0"/>
    <w:rsid w:val="36624145"/>
    <w:rsid w:val="36B12429"/>
    <w:rsid w:val="36C00E6C"/>
    <w:rsid w:val="36C22E36"/>
    <w:rsid w:val="36C721FA"/>
    <w:rsid w:val="36C8026D"/>
    <w:rsid w:val="36D049F3"/>
    <w:rsid w:val="3793516C"/>
    <w:rsid w:val="38F35E38"/>
    <w:rsid w:val="39CC3AB9"/>
    <w:rsid w:val="39DC420F"/>
    <w:rsid w:val="3A377697"/>
    <w:rsid w:val="3B255741"/>
    <w:rsid w:val="3B656368"/>
    <w:rsid w:val="3C834E15"/>
    <w:rsid w:val="3C8F1F30"/>
    <w:rsid w:val="3CF61143"/>
    <w:rsid w:val="3D840E45"/>
    <w:rsid w:val="3DB35286"/>
    <w:rsid w:val="3DC81374"/>
    <w:rsid w:val="3DFD6502"/>
    <w:rsid w:val="3E300685"/>
    <w:rsid w:val="3E4D56DB"/>
    <w:rsid w:val="3E7C38CA"/>
    <w:rsid w:val="3EB412B6"/>
    <w:rsid w:val="3ECB6600"/>
    <w:rsid w:val="3EDE7022"/>
    <w:rsid w:val="3EEF0FB1"/>
    <w:rsid w:val="3FCE63A8"/>
    <w:rsid w:val="3FE710E5"/>
    <w:rsid w:val="41263DF8"/>
    <w:rsid w:val="41670862"/>
    <w:rsid w:val="4175699C"/>
    <w:rsid w:val="41FA0356"/>
    <w:rsid w:val="42CE66BF"/>
    <w:rsid w:val="433D4DFE"/>
    <w:rsid w:val="435726DF"/>
    <w:rsid w:val="435F13C2"/>
    <w:rsid w:val="4377058C"/>
    <w:rsid w:val="437B05F4"/>
    <w:rsid w:val="437E7B29"/>
    <w:rsid w:val="43AA712C"/>
    <w:rsid w:val="43C81360"/>
    <w:rsid w:val="43D7362E"/>
    <w:rsid w:val="43D956BC"/>
    <w:rsid w:val="442F3CAA"/>
    <w:rsid w:val="44676DCB"/>
    <w:rsid w:val="44E126D9"/>
    <w:rsid w:val="45336443"/>
    <w:rsid w:val="453527D5"/>
    <w:rsid w:val="457D5993"/>
    <w:rsid w:val="4597723C"/>
    <w:rsid w:val="45AF3521"/>
    <w:rsid w:val="46207231"/>
    <w:rsid w:val="46240408"/>
    <w:rsid w:val="465A4129"/>
    <w:rsid w:val="46DC584E"/>
    <w:rsid w:val="472B2331"/>
    <w:rsid w:val="477261B2"/>
    <w:rsid w:val="47BE4F54"/>
    <w:rsid w:val="47F70466"/>
    <w:rsid w:val="48074B4D"/>
    <w:rsid w:val="485E04E5"/>
    <w:rsid w:val="48E72288"/>
    <w:rsid w:val="48EC3D42"/>
    <w:rsid w:val="49695393"/>
    <w:rsid w:val="4981448B"/>
    <w:rsid w:val="49A931C2"/>
    <w:rsid w:val="49E76610"/>
    <w:rsid w:val="4A686803"/>
    <w:rsid w:val="4ABD7744"/>
    <w:rsid w:val="4ADF3B5F"/>
    <w:rsid w:val="4BBA6677"/>
    <w:rsid w:val="4BCD39B7"/>
    <w:rsid w:val="4C340028"/>
    <w:rsid w:val="4C6F0F12"/>
    <w:rsid w:val="4C7D65CC"/>
    <w:rsid w:val="4C92075D"/>
    <w:rsid w:val="4CD75C9B"/>
    <w:rsid w:val="4CF3569F"/>
    <w:rsid w:val="4D225F85"/>
    <w:rsid w:val="4D2910C1"/>
    <w:rsid w:val="4DA150FB"/>
    <w:rsid w:val="4DB12E65"/>
    <w:rsid w:val="4DC332C4"/>
    <w:rsid w:val="4DCD4142"/>
    <w:rsid w:val="4DD70957"/>
    <w:rsid w:val="4E4B5418"/>
    <w:rsid w:val="4F0A4F22"/>
    <w:rsid w:val="4F74239C"/>
    <w:rsid w:val="4F91177A"/>
    <w:rsid w:val="4F993284"/>
    <w:rsid w:val="4FDF1F0B"/>
    <w:rsid w:val="50836D3A"/>
    <w:rsid w:val="5087540C"/>
    <w:rsid w:val="50926F7D"/>
    <w:rsid w:val="513A1AEF"/>
    <w:rsid w:val="51E952C3"/>
    <w:rsid w:val="51FC5FD7"/>
    <w:rsid w:val="52081BED"/>
    <w:rsid w:val="520E4D2A"/>
    <w:rsid w:val="525F1CB4"/>
    <w:rsid w:val="528C45CC"/>
    <w:rsid w:val="52BE0E40"/>
    <w:rsid w:val="53177C0E"/>
    <w:rsid w:val="53EE119D"/>
    <w:rsid w:val="53F65A75"/>
    <w:rsid w:val="54022DA0"/>
    <w:rsid w:val="54161C73"/>
    <w:rsid w:val="542919A7"/>
    <w:rsid w:val="54F13EB8"/>
    <w:rsid w:val="551E27A9"/>
    <w:rsid w:val="5563713A"/>
    <w:rsid w:val="55AA0755"/>
    <w:rsid w:val="55AA2FBB"/>
    <w:rsid w:val="55B865D0"/>
    <w:rsid w:val="55E10713"/>
    <w:rsid w:val="55E22755"/>
    <w:rsid w:val="55F43A35"/>
    <w:rsid w:val="562C577E"/>
    <w:rsid w:val="563147AD"/>
    <w:rsid w:val="57603931"/>
    <w:rsid w:val="57D165DD"/>
    <w:rsid w:val="58122FAA"/>
    <w:rsid w:val="585A65D3"/>
    <w:rsid w:val="5864454A"/>
    <w:rsid w:val="587A1784"/>
    <w:rsid w:val="587E1BED"/>
    <w:rsid w:val="58871392"/>
    <w:rsid w:val="58BB5497"/>
    <w:rsid w:val="5910095D"/>
    <w:rsid w:val="59284923"/>
    <w:rsid w:val="5A0B2B29"/>
    <w:rsid w:val="5A4B6B1B"/>
    <w:rsid w:val="5A4F7C8D"/>
    <w:rsid w:val="5AF727FF"/>
    <w:rsid w:val="5BC110D0"/>
    <w:rsid w:val="5C313AEE"/>
    <w:rsid w:val="5C477DC8"/>
    <w:rsid w:val="5CC6285A"/>
    <w:rsid w:val="5CCF18B6"/>
    <w:rsid w:val="5CEE19DF"/>
    <w:rsid w:val="5D957ECE"/>
    <w:rsid w:val="5D9C768D"/>
    <w:rsid w:val="5E693A13"/>
    <w:rsid w:val="5E6F0574"/>
    <w:rsid w:val="5E7A202A"/>
    <w:rsid w:val="5F380192"/>
    <w:rsid w:val="5FB92779"/>
    <w:rsid w:val="5FF90DC7"/>
    <w:rsid w:val="60247DCB"/>
    <w:rsid w:val="604858AA"/>
    <w:rsid w:val="60932FCA"/>
    <w:rsid w:val="60DA29A7"/>
    <w:rsid w:val="6117377F"/>
    <w:rsid w:val="611A2D52"/>
    <w:rsid w:val="612C2629"/>
    <w:rsid w:val="613876CD"/>
    <w:rsid w:val="615857B5"/>
    <w:rsid w:val="619C4100"/>
    <w:rsid w:val="62221A23"/>
    <w:rsid w:val="62D6719E"/>
    <w:rsid w:val="62E71472"/>
    <w:rsid w:val="63041F5D"/>
    <w:rsid w:val="634641E6"/>
    <w:rsid w:val="638D1F52"/>
    <w:rsid w:val="63C27722"/>
    <w:rsid w:val="64C71494"/>
    <w:rsid w:val="64F8789F"/>
    <w:rsid w:val="65535C7B"/>
    <w:rsid w:val="65B562F9"/>
    <w:rsid w:val="65E47E23"/>
    <w:rsid w:val="66A43760"/>
    <w:rsid w:val="66D439F4"/>
    <w:rsid w:val="66DB2FD4"/>
    <w:rsid w:val="66F61BAB"/>
    <w:rsid w:val="67825B46"/>
    <w:rsid w:val="67C03F80"/>
    <w:rsid w:val="67C50BF2"/>
    <w:rsid w:val="67CF5AE4"/>
    <w:rsid w:val="67D7106C"/>
    <w:rsid w:val="68093B71"/>
    <w:rsid w:val="68785CC8"/>
    <w:rsid w:val="69120710"/>
    <w:rsid w:val="695E64F6"/>
    <w:rsid w:val="69754342"/>
    <w:rsid w:val="69B2622D"/>
    <w:rsid w:val="69DA57C5"/>
    <w:rsid w:val="6A213DF7"/>
    <w:rsid w:val="6A234706"/>
    <w:rsid w:val="6A3053E5"/>
    <w:rsid w:val="6A7F011B"/>
    <w:rsid w:val="6AB95096"/>
    <w:rsid w:val="6ABA5FAC"/>
    <w:rsid w:val="6AFB5BA3"/>
    <w:rsid w:val="6B5B2936"/>
    <w:rsid w:val="6B6E08BB"/>
    <w:rsid w:val="6B715CB5"/>
    <w:rsid w:val="6BCE2025"/>
    <w:rsid w:val="6C2947E2"/>
    <w:rsid w:val="6C910E04"/>
    <w:rsid w:val="6CCF1AF5"/>
    <w:rsid w:val="6D06656D"/>
    <w:rsid w:val="6D08089B"/>
    <w:rsid w:val="6D2D38A2"/>
    <w:rsid w:val="6D355AF1"/>
    <w:rsid w:val="6D41164D"/>
    <w:rsid w:val="6D414A1D"/>
    <w:rsid w:val="6DC044E3"/>
    <w:rsid w:val="6E3336F6"/>
    <w:rsid w:val="6E7078D2"/>
    <w:rsid w:val="6E7855AD"/>
    <w:rsid w:val="6F0532E4"/>
    <w:rsid w:val="6F815875"/>
    <w:rsid w:val="6FB16FC8"/>
    <w:rsid w:val="6FC75452"/>
    <w:rsid w:val="70161521"/>
    <w:rsid w:val="701D465E"/>
    <w:rsid w:val="702E21FA"/>
    <w:rsid w:val="704626FC"/>
    <w:rsid w:val="70A02A01"/>
    <w:rsid w:val="70AC7790"/>
    <w:rsid w:val="718B55F7"/>
    <w:rsid w:val="71A30B93"/>
    <w:rsid w:val="726411D5"/>
    <w:rsid w:val="728075B4"/>
    <w:rsid w:val="72987882"/>
    <w:rsid w:val="72EA7263"/>
    <w:rsid w:val="730B26F6"/>
    <w:rsid w:val="737A608E"/>
    <w:rsid w:val="73816CB2"/>
    <w:rsid w:val="73EF4563"/>
    <w:rsid w:val="73F76F74"/>
    <w:rsid w:val="7431692A"/>
    <w:rsid w:val="7488443F"/>
    <w:rsid w:val="74B44E65"/>
    <w:rsid w:val="754A358C"/>
    <w:rsid w:val="756920F3"/>
    <w:rsid w:val="75B3511C"/>
    <w:rsid w:val="76386CC0"/>
    <w:rsid w:val="767E1B72"/>
    <w:rsid w:val="76BD44A5"/>
    <w:rsid w:val="76CE0316"/>
    <w:rsid w:val="76CF21A1"/>
    <w:rsid w:val="770C0F88"/>
    <w:rsid w:val="777C780D"/>
    <w:rsid w:val="78061E7B"/>
    <w:rsid w:val="78AC445A"/>
    <w:rsid w:val="79BC6C95"/>
    <w:rsid w:val="7A093C1F"/>
    <w:rsid w:val="7AE07C8F"/>
    <w:rsid w:val="7B0411AF"/>
    <w:rsid w:val="7B4A7A78"/>
    <w:rsid w:val="7BB61541"/>
    <w:rsid w:val="7CB449E4"/>
    <w:rsid w:val="7CB47DAA"/>
    <w:rsid w:val="7CE409BA"/>
    <w:rsid w:val="7D1666BD"/>
    <w:rsid w:val="7E3774BB"/>
    <w:rsid w:val="7E8B36E6"/>
    <w:rsid w:val="7E9304FB"/>
    <w:rsid w:val="7F027131"/>
    <w:rsid w:val="7F2D4191"/>
    <w:rsid w:val="7F755E40"/>
    <w:rsid w:val="7F904DA3"/>
    <w:rsid w:val="7FA0601C"/>
    <w:rsid w:val="7FD91C2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1" w:firstLineChars="200"/>
    </w:pPr>
    <w:rPr>
      <w:rFonts w:ascii="Times New Roman" w:hAnsi="Times New Roman" w:eastAsia="宋体" w:cs="Times New Roman"/>
      <w:lang w:val="en-US" w:eastAsia="zh-CN" w:bidi="ar-SA"/>
    </w:rPr>
  </w:style>
  <w:style w:type="paragraph" w:styleId="2">
    <w:name w:val="heading 2"/>
    <w:basedOn w:val="1"/>
    <w:next w:val="1"/>
    <w:semiHidden/>
    <w:unhideWhenUsed/>
    <w:qFormat/>
    <w:uiPriority w:val="0"/>
    <w:pPr>
      <w:keepNext/>
      <w:spacing w:before="120" w:line="360" w:lineRule="auto"/>
      <w:ind w:firstLine="1285"/>
      <w:outlineLvl w:val="1"/>
    </w:pPr>
    <w:rPr>
      <w:rFonts w:ascii="宋体" w:hAnsi="宋体"/>
      <w:spacing w:val="6"/>
      <w:sz w:val="28"/>
    </w:rPr>
  </w:style>
  <w:style w:type="paragraph" w:styleId="3">
    <w:name w:val="heading 3"/>
    <w:basedOn w:val="1"/>
    <w:next w:val="1"/>
    <w:qFormat/>
    <w:uiPriority w:val="0"/>
    <w:pPr>
      <w:keepNext/>
      <w:keepLines/>
      <w:spacing w:before="260" w:after="260" w:line="413" w:lineRule="auto"/>
      <w:outlineLvl w:val="2"/>
    </w:pPr>
    <w:rPr>
      <w:rFonts w:ascii="Arial" w:hAnsi="Arial"/>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1"/>
    <w:unhideWhenUsed/>
    <w:qFormat/>
    <w:uiPriority w:val="0"/>
    <w:pPr>
      <w:ind w:firstLine="420"/>
    </w:pPr>
  </w:style>
  <w:style w:type="paragraph" w:styleId="5">
    <w:name w:val="annotation text"/>
    <w:basedOn w:val="1"/>
    <w:qFormat/>
    <w:uiPriority w:val="0"/>
  </w:style>
  <w:style w:type="paragraph" w:styleId="6">
    <w:name w:val="Body Text"/>
    <w:basedOn w:val="1"/>
    <w:next w:val="7"/>
    <w:qFormat/>
    <w:uiPriority w:val="0"/>
    <w:pPr>
      <w:spacing w:after="120"/>
    </w:pPr>
  </w:style>
  <w:style w:type="paragraph" w:customStyle="1" w:styleId="7">
    <w:name w:val="xl27"/>
    <w:next w:val="8"/>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新宋体-18030" w:hAnsi="新宋体-18030" w:eastAsia="新宋体-18030" w:cs="新宋体-18030"/>
      <w:kern w:val="0"/>
      <w:sz w:val="21"/>
      <w:szCs w:val="24"/>
      <w:lang w:val="en-US" w:eastAsia="zh-CN" w:bidi="ar-SA"/>
    </w:rPr>
  </w:style>
  <w:style w:type="paragraph" w:styleId="8">
    <w:name w:val="Body Text Indent 2"/>
    <w:next w:val="1"/>
    <w:qFormat/>
    <w:uiPriority w:val="0"/>
    <w:pPr>
      <w:widowControl w:val="0"/>
      <w:spacing w:line="360" w:lineRule="auto"/>
      <w:ind w:firstLine="480" w:firstLineChars="200"/>
      <w:jc w:val="both"/>
    </w:pPr>
    <w:rPr>
      <w:rFonts w:ascii="Times New Roman" w:hAnsi="Times New Roman" w:eastAsia="宋体" w:cs="Times New Roman"/>
      <w:kern w:val="2"/>
      <w:sz w:val="24"/>
      <w:szCs w:val="24"/>
      <w:lang w:val="en-US" w:eastAsia="zh-CN" w:bidi="ar-SA"/>
    </w:rPr>
  </w:style>
  <w:style w:type="paragraph" w:styleId="9">
    <w:name w:val="Body Text Indent"/>
    <w:basedOn w:val="1"/>
    <w:next w:val="10"/>
    <w:qFormat/>
    <w:uiPriority w:val="0"/>
    <w:pPr>
      <w:spacing w:line="360" w:lineRule="auto"/>
      <w:ind w:firstLine="570"/>
    </w:pPr>
    <w:rPr>
      <w:rFonts w:eastAsia="仿宋_GB2312"/>
      <w:sz w:val="28"/>
    </w:rPr>
  </w:style>
  <w:style w:type="paragraph" w:customStyle="1" w:styleId="10">
    <w:name w:val="样式 正文文本缩进 + 行距: 1.5 倍行距"/>
    <w:basedOn w:val="1"/>
    <w:qFormat/>
    <w:uiPriority w:val="0"/>
    <w:pPr>
      <w:spacing w:after="120" w:line="360" w:lineRule="auto"/>
      <w:ind w:left="90" w:leftChars="32" w:firstLine="560"/>
    </w:pPr>
    <w:rPr>
      <w:rFonts w:cs="宋体"/>
    </w:rPr>
  </w:style>
  <w:style w:type="paragraph" w:styleId="11">
    <w:name w:val="Date"/>
    <w:basedOn w:val="1"/>
    <w:next w:val="1"/>
    <w:qFormat/>
    <w:uiPriority w:val="0"/>
    <w:pPr>
      <w:ind w:left="100" w:leftChars="2500"/>
    </w:pPr>
  </w:style>
  <w:style w:type="paragraph" w:styleId="12">
    <w:name w:val="Balloon Text"/>
    <w:basedOn w:val="1"/>
    <w:qFormat/>
    <w:uiPriority w:val="0"/>
    <w:rPr>
      <w:sz w:val="18"/>
      <w:szCs w:val="18"/>
    </w:rPr>
  </w:style>
  <w:style w:type="paragraph" w:styleId="13">
    <w:name w:val="footer"/>
    <w:basedOn w:val="1"/>
    <w:link w:val="37"/>
    <w:qFormat/>
    <w:uiPriority w:val="99"/>
    <w:pPr>
      <w:tabs>
        <w:tab w:val="center" w:pos="4153"/>
        <w:tab w:val="right" w:pos="8306"/>
      </w:tabs>
      <w:snapToGrid w:val="0"/>
    </w:pPr>
    <w:rPr>
      <w:sz w:val="18"/>
      <w:szCs w:val="18"/>
    </w:rPr>
  </w:style>
  <w:style w:type="paragraph" w:styleId="1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5">
    <w:name w:val="List"/>
    <w:qFormat/>
    <w:uiPriority w:val="0"/>
    <w:pPr>
      <w:widowControl w:val="0"/>
      <w:spacing w:line="360" w:lineRule="exact"/>
      <w:ind w:firstLine="38" w:firstLineChars="18"/>
      <w:jc w:val="left"/>
    </w:pPr>
    <w:rPr>
      <w:rFonts w:ascii="宋体" w:hAnsi="Times New Roman" w:eastAsia="宋体" w:cs="Times New Roman"/>
      <w:kern w:val="2"/>
      <w:sz w:val="21"/>
      <w:szCs w:val="21"/>
      <w:lang w:val="en-US" w:eastAsia="zh-CN" w:bidi="ar-SA"/>
    </w:rPr>
  </w:style>
  <w:style w:type="paragraph" w:styleId="16">
    <w:name w:val="Normal (Web)"/>
    <w:qFormat/>
    <w:uiPriority w:val="0"/>
    <w:pPr>
      <w:spacing w:before="100" w:beforeAutospacing="1" w:after="100" w:afterAutospacing="1"/>
    </w:pPr>
    <w:rPr>
      <w:rFonts w:ascii="Arial Unicode MS" w:hAnsi="Arial Unicode MS" w:eastAsia="Arial Unicode MS" w:cs="Arial Unicode MS"/>
      <w:sz w:val="24"/>
      <w:szCs w:val="24"/>
      <w:lang w:val="en-US" w:eastAsia="zh-CN" w:bidi="ar-SA"/>
    </w:rPr>
  </w:style>
  <w:style w:type="paragraph" w:styleId="17">
    <w:name w:val="Body Text First Indent"/>
    <w:basedOn w:val="6"/>
    <w:link w:val="29"/>
    <w:qFormat/>
    <w:uiPriority w:val="0"/>
    <w:pPr>
      <w:adjustRightInd w:val="0"/>
      <w:snapToGrid w:val="0"/>
      <w:spacing w:after="0" w:line="360" w:lineRule="auto"/>
      <w:ind w:firstLine="200"/>
      <w:jc w:val="both"/>
    </w:pPr>
    <w:rPr>
      <w:kern w:val="2"/>
      <w:sz w:val="24"/>
    </w:rPr>
  </w:style>
  <w:style w:type="paragraph" w:styleId="18">
    <w:name w:val="Body Text First Indent 2"/>
    <w:basedOn w:val="9"/>
    <w:next w:val="1"/>
    <w:qFormat/>
    <w:uiPriority w:val="0"/>
    <w:pPr>
      <w:spacing w:after="120" w:line="240" w:lineRule="auto"/>
      <w:ind w:left="420" w:leftChars="200" w:firstLine="420"/>
    </w:pPr>
    <w:rPr>
      <w:rFonts w:ascii="Corbel" w:hAnsi="Corbel"/>
      <w:sz w:val="21"/>
    </w:rPr>
  </w:style>
  <w:style w:type="table" w:styleId="20">
    <w:name w:val="Table Grid"/>
    <w:basedOn w:val="19"/>
    <w:qFormat/>
    <w:uiPriority w:val="59"/>
    <w:pPr>
      <w:widowControl w:val="0"/>
      <w:ind w:firstLine="21" w:firstLineChars="20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uiPriority w:val="0"/>
  </w:style>
  <w:style w:type="character" w:styleId="23">
    <w:name w:val="annotation reference"/>
    <w:qFormat/>
    <w:uiPriority w:val="0"/>
    <w:rPr>
      <w:sz w:val="21"/>
      <w:szCs w:val="21"/>
    </w:rPr>
  </w:style>
  <w:style w:type="paragraph" w:customStyle="1" w:styleId="24">
    <w:name w:val="Default"/>
    <w:basedOn w:val="25"/>
    <w:next w:val="15"/>
    <w:qFormat/>
    <w:uiPriority w:val="99"/>
    <w:pPr>
      <w:autoSpaceDE w:val="0"/>
      <w:autoSpaceDN w:val="0"/>
    </w:pPr>
    <w:rPr>
      <w:rFonts w:hAnsi="Calibri" w:cs="宋体"/>
      <w:color w:val="000000"/>
      <w:sz w:val="24"/>
      <w:szCs w:val="24"/>
    </w:rPr>
  </w:style>
  <w:style w:type="paragraph" w:customStyle="1" w:styleId="25">
    <w:name w:val="纯文本1"/>
    <w:basedOn w:val="1"/>
    <w:qFormat/>
    <w:uiPriority w:val="0"/>
    <w:pPr>
      <w:adjustRightInd w:val="0"/>
    </w:pPr>
    <w:rPr>
      <w:rFonts w:ascii="宋体" w:hAnsi="Courier New"/>
    </w:rPr>
  </w:style>
  <w:style w:type="paragraph" w:customStyle="1" w:styleId="26">
    <w:name w:val="列出段落1"/>
    <w:basedOn w:val="1"/>
    <w:qFormat/>
    <w:uiPriority w:val="34"/>
    <w:pPr>
      <w:ind w:firstLine="420"/>
    </w:pPr>
  </w:style>
  <w:style w:type="character" w:customStyle="1" w:styleId="27">
    <w:name w:val="p0 Char"/>
    <w:basedOn w:val="21"/>
    <w:link w:val="28"/>
    <w:qFormat/>
    <w:uiPriority w:val="0"/>
    <w:rPr>
      <w:rFonts w:eastAsia="宋体"/>
      <w:sz w:val="32"/>
      <w:szCs w:val="32"/>
      <w:lang w:val="en-US" w:eastAsia="zh-CN" w:bidi="ar-SA"/>
    </w:rPr>
  </w:style>
  <w:style w:type="paragraph" w:customStyle="1" w:styleId="28">
    <w:name w:val="p0"/>
    <w:basedOn w:val="1"/>
    <w:link w:val="27"/>
    <w:qFormat/>
    <w:uiPriority w:val="0"/>
    <w:pPr>
      <w:widowControl/>
      <w:ind w:firstLine="0" w:firstLineChars="0"/>
      <w:jc w:val="both"/>
    </w:pPr>
    <w:rPr>
      <w:sz w:val="32"/>
      <w:szCs w:val="32"/>
    </w:rPr>
  </w:style>
  <w:style w:type="character" w:customStyle="1" w:styleId="29">
    <w:name w:val="正文文本首行缩进 字符"/>
    <w:basedOn w:val="21"/>
    <w:link w:val="17"/>
    <w:qFormat/>
    <w:uiPriority w:val="0"/>
    <w:rPr>
      <w:rFonts w:eastAsia="宋体"/>
      <w:kern w:val="2"/>
      <w:sz w:val="24"/>
      <w:lang w:val="en-US" w:eastAsia="zh-CN" w:bidi="ar-SA"/>
    </w:rPr>
  </w:style>
  <w:style w:type="character" w:customStyle="1" w:styleId="30">
    <w:name w:val="表格文字 Char"/>
    <w:link w:val="31"/>
    <w:qFormat/>
    <w:uiPriority w:val="0"/>
    <w:rPr>
      <w:rFonts w:eastAsia="宋体"/>
      <w:kern w:val="2"/>
      <w:sz w:val="21"/>
      <w:szCs w:val="21"/>
      <w:lang w:val="en-US" w:eastAsia="zh-CN" w:bidi="ar-SA"/>
    </w:rPr>
  </w:style>
  <w:style w:type="paragraph" w:customStyle="1" w:styleId="31">
    <w:name w:val="表格文字"/>
    <w:basedOn w:val="1"/>
    <w:link w:val="30"/>
    <w:qFormat/>
    <w:uiPriority w:val="0"/>
    <w:pPr>
      <w:widowControl/>
      <w:adjustRightInd w:val="0"/>
      <w:snapToGrid w:val="0"/>
      <w:ind w:firstLine="0" w:firstLineChars="0"/>
      <w:jc w:val="center"/>
    </w:pPr>
    <w:rPr>
      <w:kern w:val="2"/>
      <w:sz w:val="21"/>
      <w:szCs w:val="21"/>
    </w:rPr>
  </w:style>
  <w:style w:type="paragraph" w:customStyle="1" w:styleId="32">
    <w:name w:val="Char Char Char Char Char Char Char Char Char Char"/>
    <w:basedOn w:val="1"/>
    <w:qFormat/>
    <w:uiPriority w:val="0"/>
    <w:pPr>
      <w:widowControl/>
      <w:spacing w:after="160" w:line="240" w:lineRule="exact"/>
      <w:ind w:firstLine="0" w:firstLineChars="0"/>
    </w:pPr>
    <w:rPr>
      <w:rFonts w:ascii="Verdana" w:hAnsi="Verdana"/>
      <w:lang w:eastAsia="en-US"/>
    </w:rPr>
  </w:style>
  <w:style w:type="paragraph" w:customStyle="1" w:styleId="33">
    <w:name w:val="WPS Plain"/>
    <w:qFormat/>
    <w:uiPriority w:val="0"/>
    <w:rPr>
      <w:rFonts w:ascii="Times New Roman" w:hAnsi="Times New Roman" w:eastAsia="宋体" w:cs="Times New Roman"/>
      <w:lang w:val="en-US" w:eastAsia="zh-CN" w:bidi="ar-SA"/>
    </w:rPr>
  </w:style>
  <w:style w:type="paragraph" w:customStyle="1" w:styleId="34">
    <w:name w:val="特殊标题３"/>
    <w:basedOn w:val="1"/>
    <w:qFormat/>
    <w:uiPriority w:val="0"/>
    <w:pPr>
      <w:overflowPunct w:val="0"/>
      <w:autoSpaceDE w:val="0"/>
      <w:autoSpaceDN w:val="0"/>
      <w:adjustRightInd w:val="0"/>
      <w:spacing w:line="360" w:lineRule="auto"/>
      <w:textAlignment w:val="baseline"/>
    </w:pPr>
    <w:rPr>
      <w:rFonts w:eastAsia="仿宋_GB2312"/>
      <w:sz w:val="28"/>
    </w:rPr>
  </w:style>
  <w:style w:type="paragraph" w:customStyle="1" w:styleId="35">
    <w:name w:val="样式 首行缩进:  2 字符"/>
    <w:qFormat/>
    <w:uiPriority w:val="0"/>
    <w:pPr>
      <w:adjustRightInd w:val="0"/>
      <w:spacing w:line="360" w:lineRule="auto"/>
      <w:ind w:firstLine="560" w:firstLineChars="200"/>
    </w:pPr>
    <w:rPr>
      <w:rFonts w:ascii="Times New Roman" w:hAnsi="Times New Roman" w:eastAsia="宋体" w:cs="宋体"/>
      <w:sz w:val="24"/>
      <w:lang w:val="en-US" w:eastAsia="zh-CN" w:bidi="ar-SA"/>
    </w:rPr>
  </w:style>
  <w:style w:type="paragraph" w:customStyle="1" w:styleId="36">
    <w:name w:val="样式1"/>
    <w:next w:val="17"/>
    <w:qFormat/>
    <w:uiPriority w:val="0"/>
    <w:pPr>
      <w:widowControl w:val="0"/>
      <w:adjustRightInd w:val="0"/>
      <w:spacing w:line="312" w:lineRule="atLeast"/>
      <w:jc w:val="center"/>
      <w:textAlignment w:val="baseline"/>
    </w:pPr>
    <w:rPr>
      <w:rFonts w:ascii="Times New Roman" w:hAnsi="Times New Roman" w:eastAsia="宋体" w:cs="Times New Roman"/>
      <w:kern w:val="2"/>
      <w:sz w:val="28"/>
      <w:szCs w:val="24"/>
      <w:lang w:val="en-US" w:eastAsia="zh-CN" w:bidi="ar-SA"/>
    </w:rPr>
  </w:style>
  <w:style w:type="character" w:customStyle="1" w:styleId="37">
    <w:name w:val="页脚 字符"/>
    <w:basedOn w:val="21"/>
    <w:link w:val="13"/>
    <w:qFormat/>
    <w:uiPriority w:val="99"/>
    <w:rPr>
      <w:sz w:val="18"/>
      <w:szCs w:val="18"/>
    </w:rPr>
  </w:style>
  <w:style w:type="paragraph" w:customStyle="1" w:styleId="38">
    <w:name w:val="0"/>
    <w:basedOn w:val="1"/>
    <w:qFormat/>
    <w:uiPriority w:val="0"/>
    <w:pPr>
      <w:widowControl/>
      <w:snapToGrid w:val="0"/>
      <w:spacing w:line="365" w:lineRule="atLeast"/>
      <w:ind w:left="1" w:firstLine="0" w:firstLineChars="0"/>
      <w:jc w:val="both"/>
      <w:textAlignment w:val="bottom"/>
    </w:pPr>
  </w:style>
  <w:style w:type="paragraph" w:customStyle="1" w:styleId="39">
    <w:name w:val="表格"/>
    <w:basedOn w:val="1"/>
    <w:qFormat/>
    <w:uiPriority w:val="0"/>
    <w:pPr>
      <w:spacing w:line="300" w:lineRule="auto"/>
      <w:ind w:firstLine="0" w:firstLineChars="0"/>
      <w:jc w:val="center"/>
    </w:pPr>
    <w:rPr>
      <w:rFonts w:cs="宋体"/>
      <w:sz w:val="21"/>
      <w:szCs w:val="24"/>
      <w:lang w:eastAsia="en-US"/>
    </w:rPr>
  </w:style>
  <w:style w:type="paragraph" w:styleId="40">
    <w:name w:val="List Paragraph"/>
    <w:basedOn w:val="1"/>
    <w:qFormat/>
    <w:uiPriority w:val="99"/>
    <w:pPr>
      <w:ind w:firstLine="420"/>
    </w:pPr>
  </w:style>
  <w:style w:type="character" w:customStyle="1" w:styleId="41">
    <w:name w:val="正文内容 Char Char"/>
    <w:qFormat/>
    <w:uiPriority w:val="0"/>
    <w:rPr>
      <w:kern w:val="2"/>
      <w:sz w:val="24"/>
      <w:szCs w:val="24"/>
      <w:lang w:val="en-US" w:eastAsia="zh-CN" w:bidi="ar-SA"/>
    </w:rPr>
  </w:style>
  <w:style w:type="paragraph" w:customStyle="1" w:styleId="42">
    <w:name w:val="样式 10 磅"/>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3">
    <w:name w:val="表格内容"/>
    <w:qFormat/>
    <w:uiPriority w:val="0"/>
    <w:pPr>
      <w:widowControl w:val="0"/>
      <w:spacing w:line="240" w:lineRule="auto"/>
      <w:ind w:firstLine="0" w:firstLineChars="0"/>
      <w:jc w:val="center"/>
    </w:pPr>
    <w:rPr>
      <w:rFonts w:ascii="Times New Roman" w:hAnsi="Times New Roman" w:eastAsia="宋体" w:cs="Times New Roman"/>
      <w:snapToGrid w:val="0"/>
      <w:kern w:val="0"/>
      <w:sz w:val="21"/>
      <w:szCs w:val="24"/>
      <w:lang w:val="en-US" w:eastAsia="zh-CN" w:bidi="ar-SA"/>
    </w:rPr>
  </w:style>
  <w:style w:type="character" w:customStyle="1" w:styleId="44">
    <w:name w:val="表图标题 Char"/>
    <w:link w:val="45"/>
    <w:qFormat/>
    <w:uiPriority w:val="0"/>
    <w:rPr>
      <w:rFonts w:ascii="Times New Roman" w:hAnsi="Times New Roman" w:eastAsia="宋体"/>
      <w:b/>
      <w:bCs/>
      <w:kern w:val="2"/>
      <w:sz w:val="21"/>
      <w:szCs w:val="24"/>
      <w:lang w:val="en-US" w:eastAsia="zh-CN" w:bidi="ar-SA"/>
    </w:rPr>
  </w:style>
  <w:style w:type="paragraph" w:customStyle="1" w:styleId="45">
    <w:name w:val="表图标题"/>
    <w:link w:val="44"/>
    <w:qFormat/>
    <w:uiPriority w:val="0"/>
    <w:pPr>
      <w:widowControl w:val="0"/>
      <w:spacing w:line="240" w:lineRule="auto"/>
      <w:jc w:val="center"/>
    </w:pPr>
    <w:rPr>
      <w:rFonts w:ascii="Times New Roman" w:hAnsi="Times New Roman" w:eastAsia="宋体" w:cs="Times New Roman"/>
      <w:b/>
      <w:bCs/>
      <w:kern w:val="2"/>
      <w:sz w:val="21"/>
      <w:szCs w:val="24"/>
      <w:lang w:val="en-US" w:eastAsia="zh-CN" w:bidi="ar-SA"/>
    </w:rPr>
  </w:style>
  <w:style w:type="paragraph" w:customStyle="1" w:styleId="46">
    <w:name w:val="报告正文"/>
    <w:qFormat/>
    <w:uiPriority w:val="0"/>
    <w:pPr>
      <w:widowControl w:val="0"/>
      <w:spacing w:line="360" w:lineRule="auto"/>
      <w:ind w:firstLine="643" w:firstLineChars="200"/>
      <w:jc w:val="both"/>
    </w:pPr>
    <w:rPr>
      <w:rFonts w:ascii="Times New Roman" w:hAnsi="Times New Roman"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3.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BF80C2E-1E84-49DD-8C16-E9B161C8BD7D}">
  <ds:schemaRefs/>
</ds:datastoreItem>
</file>

<file path=customXml/itemProps3.xml><?xml version="1.0" encoding="utf-8"?>
<ds:datastoreItem xmlns:ds="http://schemas.openxmlformats.org/officeDocument/2006/customXml" ds:itemID="{0c1eebf6-abb8-4f98-85a8-77466436ecf4}">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4</Pages>
  <Words>2114</Words>
  <Characters>2306</Characters>
  <Lines>47</Lines>
  <Paragraphs>21</Paragraphs>
  <TotalTime>5</TotalTime>
  <ScaleCrop>false</ScaleCrop>
  <LinksUpToDate>false</LinksUpToDate>
  <CharactersWithSpaces>2310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2019-05-11T05:51:00Z</dcterms:created>
  <dc:creator>微软用户</dc:creator>
  <cp:lastModifiedBy>呱呱</cp:lastModifiedBy>
  <cp:lastPrinted>2026-09-16T01:33:15Z</cp:lastPrinted>
  <dcterms:modified xsi:type="dcterms:W3CDTF">2026-09-16T01:33:54Z</dcterms:modified>
  <dc:title>1、省道1825线湘阴至长沙公路岳阳段改建工程总投资12300万元</dc:title>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eyJoZGlkIjoiYzFlM2FmOGFmNDQ1ODkzMTAzZTU0MmJkMTljNzRjZDQiLCJ1c2VySWQiOiIxMTQxODUzNzMwIn0=</vt:lpwstr>
  </property>
  <property fmtid="{D5CDD505-2E9C-101B-9397-08002B2CF9AE}" pid="4" name="ICV">
    <vt:lpwstr>E354B3957AB24233B7504BADCF9A2DBA_13</vt:lpwstr>
  </property>
</Properties>
</file>