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ED2EFB">
      <w:pPr>
        <w:keepNext w:val="0"/>
        <w:keepLines w:val="0"/>
        <w:pageBreakBefore w:val="0"/>
        <w:widowControl w:val="0"/>
        <w:kinsoku/>
        <w:wordWrap/>
        <w:overflowPunct/>
        <w:topLinePunct w:val="0"/>
        <w:autoSpaceDE/>
        <w:autoSpaceDN/>
        <w:bidi w:val="0"/>
        <w:adjustRightInd/>
        <w:snapToGrid/>
        <w:spacing w:line="600" w:lineRule="exact"/>
        <w:ind w:firstLine="5880" w:firstLineChars="2100"/>
        <w:jc w:val="both"/>
        <w:textAlignment w:val="auto"/>
        <w:rPr>
          <w:rFonts w:hint="default" w:ascii="Times New Roman" w:hAnsi="Times New Roman" w:cs="Times New Roman"/>
          <w:color w:val="000000" w:themeColor="text1"/>
          <w:sz w:val="28"/>
          <w:szCs w:val="28"/>
          <w14:textFill>
            <w14:solidFill>
              <w14:schemeClr w14:val="tx1"/>
            </w14:solidFill>
          </w14:textFill>
        </w:rPr>
      </w:pPr>
    </w:p>
    <w:p w14:paraId="1398E63C">
      <w:pPr>
        <w:keepNext w:val="0"/>
        <w:keepLines w:val="0"/>
        <w:pageBreakBefore w:val="0"/>
        <w:widowControl w:val="0"/>
        <w:kinsoku/>
        <w:wordWrap/>
        <w:overflowPunct/>
        <w:topLinePunct w:val="0"/>
        <w:autoSpaceDE/>
        <w:autoSpaceDN/>
        <w:bidi w:val="0"/>
        <w:adjustRightInd/>
        <w:snapToGrid/>
        <w:spacing w:line="600" w:lineRule="exact"/>
        <w:ind w:firstLine="5880" w:firstLineChars="2100"/>
        <w:jc w:val="both"/>
        <w:textAlignment w:val="auto"/>
        <w:rPr>
          <w:rFonts w:hint="default" w:ascii="Times New Roman" w:hAnsi="Times New Roman" w:cs="Times New Roman"/>
          <w:color w:val="000000" w:themeColor="text1"/>
          <w:sz w:val="28"/>
          <w:szCs w:val="28"/>
          <w14:textFill>
            <w14:solidFill>
              <w14:schemeClr w14:val="tx1"/>
            </w14:solidFill>
          </w14:textFill>
        </w:rPr>
      </w:pPr>
    </w:p>
    <w:p w14:paraId="668A4648">
      <w:pPr>
        <w:keepNext w:val="0"/>
        <w:keepLines w:val="0"/>
        <w:pageBreakBefore w:val="0"/>
        <w:widowControl w:val="0"/>
        <w:kinsoku/>
        <w:wordWrap/>
        <w:overflowPunct/>
        <w:topLinePunct w:val="0"/>
        <w:autoSpaceDE/>
        <w:autoSpaceDN/>
        <w:bidi w:val="0"/>
        <w:adjustRightInd/>
        <w:snapToGrid/>
        <w:spacing w:line="600" w:lineRule="exact"/>
        <w:ind w:firstLine="5880" w:firstLineChars="2100"/>
        <w:jc w:val="both"/>
        <w:textAlignment w:val="auto"/>
        <w:rPr>
          <w:rFonts w:hint="default" w:ascii="Times New Roman" w:hAnsi="Times New Roman" w:cs="Times New Roman"/>
          <w:color w:val="000000" w:themeColor="text1"/>
          <w:sz w:val="28"/>
          <w:szCs w:val="28"/>
          <w14:textFill>
            <w14:solidFill>
              <w14:schemeClr w14:val="tx1"/>
            </w14:solidFill>
          </w14:textFill>
        </w:rPr>
      </w:pPr>
    </w:p>
    <w:p w14:paraId="408EB70A">
      <w:pPr>
        <w:keepNext w:val="0"/>
        <w:keepLines w:val="0"/>
        <w:pageBreakBefore w:val="0"/>
        <w:kinsoku/>
        <w:wordWrap/>
        <w:overflowPunct/>
        <w:topLinePunct w:val="0"/>
        <w:bidi w:val="0"/>
        <w:snapToGrid/>
        <w:spacing w:line="560" w:lineRule="exact"/>
        <w:ind w:firstLine="5880" w:firstLineChars="2100"/>
        <w:jc w:val="both"/>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岳临环评〔2026〕</w:t>
      </w:r>
      <w:r>
        <w:rPr>
          <w:rFonts w:hint="default" w:ascii="Times New Roman" w:hAnsi="Times New Roman" w:cs="Times New Roman"/>
          <w:color w:val="000000" w:themeColor="text1"/>
          <w:sz w:val="28"/>
          <w:szCs w:val="28"/>
          <w:lang w:val="en-US" w:eastAsia="zh-CN"/>
          <w14:textFill>
            <w14:solidFill>
              <w14:schemeClr w14:val="tx1"/>
            </w14:solidFill>
          </w14:textFill>
        </w:rPr>
        <w:t>10</w:t>
      </w:r>
      <w:r>
        <w:rPr>
          <w:rFonts w:hint="default" w:ascii="Times New Roman" w:hAnsi="Times New Roman" w:cs="Times New Roman"/>
          <w:color w:val="000000" w:themeColor="text1"/>
          <w:sz w:val="28"/>
          <w:szCs w:val="28"/>
          <w14:textFill>
            <w14:solidFill>
              <w14:schemeClr w14:val="tx1"/>
            </w14:solidFill>
          </w14:textFill>
        </w:rPr>
        <w:t>号</w:t>
      </w:r>
    </w:p>
    <w:p w14:paraId="1B911924">
      <w:pPr>
        <w:pStyle w:val="33"/>
        <w:keepNext w:val="0"/>
        <w:keepLines w:val="0"/>
        <w:pageBreakBefore w:val="0"/>
        <w:kinsoku/>
        <w:wordWrap/>
        <w:overflowPunct/>
        <w:topLinePunct w:val="0"/>
        <w:bidi w:val="0"/>
        <w:snapToGrid/>
        <w:spacing w:line="560" w:lineRule="exact"/>
        <w:ind w:left="216" w:hanging="216" w:hangingChars="49"/>
        <w:jc w:val="center"/>
        <w:textAlignment w:val="top"/>
        <w:rPr>
          <w:rFonts w:hint="default" w:ascii="Times New Roman" w:hAnsi="Times New Roman" w:cs="Times New Roman"/>
          <w:b/>
          <w:color w:val="000000" w:themeColor="text1"/>
          <w:sz w:val="44"/>
          <w:szCs w:val="44"/>
          <w14:textFill>
            <w14:solidFill>
              <w14:schemeClr w14:val="tx1"/>
            </w14:solidFill>
          </w14:textFill>
        </w:rPr>
      </w:pPr>
      <w:bookmarkStart w:id="0" w:name="_Hlk504140001"/>
      <w:r>
        <w:rPr>
          <w:rFonts w:hint="default" w:ascii="Times New Roman" w:hAnsi="Times New Roman" w:cs="Times New Roman"/>
          <w:b/>
          <w:color w:val="000000" w:themeColor="text1"/>
          <w:sz w:val="44"/>
          <w:szCs w:val="44"/>
          <w14:textFill>
            <w14:solidFill>
              <w14:schemeClr w14:val="tx1"/>
            </w14:solidFill>
          </w14:textFill>
        </w:rPr>
        <w:t>关于临湘海螺水泥有限责任公司年产200万吨骨料机制砂项目</w:t>
      </w:r>
      <w:bookmarkStart w:id="1" w:name="_GoBack"/>
      <w:bookmarkEnd w:id="1"/>
      <w:r>
        <w:rPr>
          <w:rFonts w:hint="default" w:ascii="Times New Roman" w:hAnsi="Times New Roman" w:cs="Times New Roman"/>
          <w:b/>
          <w:color w:val="000000" w:themeColor="text1"/>
          <w:sz w:val="44"/>
          <w:szCs w:val="44"/>
          <w:lang w:val="en-US" w:eastAsia="zh-CN"/>
          <w14:textFill>
            <w14:solidFill>
              <w14:schemeClr w14:val="tx1"/>
            </w14:solidFill>
          </w14:textFill>
        </w:rPr>
        <w:t>生态</w:t>
      </w:r>
      <w:r>
        <w:rPr>
          <w:rFonts w:hint="default" w:ascii="Times New Roman" w:hAnsi="Times New Roman" w:cs="Times New Roman"/>
          <w:b/>
          <w:color w:val="000000" w:themeColor="text1"/>
          <w:sz w:val="44"/>
          <w:szCs w:val="44"/>
          <w14:textFill>
            <w14:solidFill>
              <w14:schemeClr w14:val="tx1"/>
            </w14:solidFill>
          </w14:textFill>
        </w:rPr>
        <w:t>环境影响报告表的批复</w:t>
      </w:r>
    </w:p>
    <w:bookmarkEnd w:id="0"/>
    <w:p w14:paraId="3518F21B">
      <w:pPr>
        <w:pStyle w:val="33"/>
        <w:keepNext w:val="0"/>
        <w:keepLines w:val="0"/>
        <w:pageBreakBefore w:val="0"/>
        <w:kinsoku/>
        <w:wordWrap/>
        <w:overflowPunct/>
        <w:topLinePunct w:val="0"/>
        <w:bidi w:val="0"/>
        <w:snapToGrid/>
        <w:spacing w:line="560" w:lineRule="exact"/>
        <w:jc w:val="both"/>
        <w:textAlignment w:val="top"/>
        <w:rPr>
          <w:rFonts w:hint="default" w:ascii="Times New Roman" w:hAnsi="Times New Roman" w:eastAsia="仿宋" w:cs="Times New Roman"/>
          <w:color w:val="000000" w:themeColor="text1"/>
          <w:sz w:val="24"/>
          <w:szCs w:val="24"/>
          <w14:textFill>
            <w14:solidFill>
              <w14:schemeClr w14:val="tx1"/>
            </w14:solidFill>
          </w14:textFill>
        </w:rPr>
      </w:pPr>
    </w:p>
    <w:p w14:paraId="1762A531">
      <w:pPr>
        <w:pStyle w:val="33"/>
        <w:keepNext w:val="0"/>
        <w:keepLines w:val="0"/>
        <w:pageBreakBefore w:val="0"/>
        <w:kinsoku/>
        <w:wordWrap/>
        <w:overflowPunct/>
        <w:topLinePunct w:val="0"/>
        <w:autoSpaceDN/>
        <w:bidi w:val="0"/>
        <w:adjustRightInd/>
        <w:snapToGrid/>
        <w:spacing w:line="560" w:lineRule="exact"/>
        <w:jc w:val="both"/>
        <w:textAlignment w:val="top"/>
        <w:rPr>
          <w:rFonts w:hint="default" w:ascii="Times New Roman" w:hAnsi="Times New Roman" w:eastAsia="仿宋" w:cs="Times New Roman"/>
          <w:color w:val="000000" w:themeColor="text1"/>
          <w:kern w:val="2"/>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临湘海螺水泥有限责任公司</w:t>
      </w:r>
      <w:r>
        <w:rPr>
          <w:rFonts w:hint="default" w:ascii="Times New Roman" w:hAnsi="Times New Roman" w:eastAsia="仿宋" w:cs="Times New Roman"/>
          <w:color w:val="000000" w:themeColor="text1"/>
          <w:kern w:val="2"/>
          <w:sz w:val="32"/>
          <w:szCs w:val="32"/>
          <w14:textFill>
            <w14:solidFill>
              <w14:schemeClr w14:val="tx1"/>
            </w14:solidFill>
          </w14:textFill>
        </w:rPr>
        <w:t>：</w:t>
      </w:r>
    </w:p>
    <w:p w14:paraId="55A5864D">
      <w:pPr>
        <w:pStyle w:val="42"/>
        <w:keepNext w:val="0"/>
        <w:keepLines w:val="0"/>
        <w:pageBreakBefore w:val="0"/>
        <w:kinsoku/>
        <w:wordWrap/>
        <w:overflowPunct/>
        <w:topLinePunct w:val="0"/>
        <w:autoSpaceDN/>
        <w:bidi w:val="0"/>
        <w:adjustRightInd/>
        <w:snapToGrid/>
        <w:spacing w:line="56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你公司报送的《临湘海螺水泥有限责任公司年产200万吨</w:t>
      </w:r>
    </w:p>
    <w:p w14:paraId="0E10D8C4">
      <w:pPr>
        <w:pStyle w:val="42"/>
        <w:keepNext w:val="0"/>
        <w:keepLines w:val="0"/>
        <w:pageBreakBefore w:val="0"/>
        <w:kinsoku/>
        <w:wordWrap/>
        <w:overflowPunct/>
        <w:topLinePunct w:val="0"/>
        <w:autoSpaceDN/>
        <w:bidi w:val="0"/>
        <w:adjustRightInd/>
        <w:snapToGrid/>
        <w:spacing w:line="560" w:lineRule="exact"/>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骨料机制砂项目</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生态</w:t>
      </w:r>
      <w:r>
        <w:rPr>
          <w:rFonts w:hint="default" w:ascii="Times New Roman" w:hAnsi="Times New Roman" w:eastAsia="仿宋" w:cs="Times New Roman"/>
          <w:color w:val="000000" w:themeColor="text1"/>
          <w:sz w:val="32"/>
          <w:szCs w:val="32"/>
          <w14:textFill>
            <w14:solidFill>
              <w14:schemeClr w14:val="tx1"/>
            </w14:solidFill>
          </w14:textFill>
        </w:rPr>
        <w:t>环境影响报告表》（报批稿）（以下简称《报告表》）、申请批复的报告等相关材料收悉。经研究，现批复如下：</w:t>
      </w:r>
    </w:p>
    <w:p w14:paraId="30CB664F">
      <w:pPr>
        <w:pStyle w:val="8"/>
        <w:keepNext w:val="0"/>
        <w:keepLines w:val="0"/>
        <w:pageBreakBefore w:val="0"/>
        <w:kinsoku/>
        <w:wordWrap/>
        <w:overflowPunct/>
        <w:topLinePunct w:val="0"/>
        <w:autoSpaceDN/>
        <w:bidi w:val="0"/>
        <w:adjustRightInd/>
        <w:snapToGrid/>
        <w:spacing w:line="560" w:lineRule="exact"/>
        <w:ind w:left="0" w:leftChars="0" w:firstLine="640" w:firstLineChars="200"/>
        <w:rPr>
          <w:rFonts w:hint="default" w:ascii="Times New Roman" w:hAnsi="Times New Roman" w:eastAsia="仿宋" w:cs="Times New Roman"/>
          <w:color w:val="000000" w:themeColor="text1"/>
          <w:sz w:val="32"/>
          <w:szCs w:val="32"/>
          <w:lang w:val="en-US" w:eastAsia="zh-CN"/>
          <w14:textFill>
            <w14:solidFill>
              <w14:schemeClr w14:val="tx1"/>
            </w14:solidFill>
          </w14:textFill>
        </w:rPr>
      </w:pPr>
      <w:r>
        <w:rPr>
          <w:rFonts w:hint="default" w:ascii="Times New Roman" w:hAnsi="Times New Roman" w:eastAsia="仿宋" w:cs="Times New Roman"/>
          <w:color w:val="000000" w:themeColor="text1"/>
          <w:kern w:val="2"/>
          <w:sz w:val="32"/>
          <w:szCs w:val="32"/>
          <w:lang w:val="en-US" w:eastAsia="zh-CN" w:bidi="ar-SA"/>
          <w14:textFill>
            <w14:solidFill>
              <w14:schemeClr w14:val="tx1"/>
            </w14:solidFill>
          </w14:textFill>
        </w:rPr>
        <w:t>为满足市场对砂石骨料的需求，你公司拟投资5000万元（其中环保投资约187万元），拟在临湘海螺水泥有限责任公司灰山石灰石矿矿山范围和原黏土破碎站东侧新增用地范围（新增面积6000m</w:t>
      </w:r>
      <w:r>
        <w:rPr>
          <w:rFonts w:hint="default" w:ascii="Times New Roman" w:hAnsi="Times New Roman" w:eastAsia="仿宋" w:cs="Times New Roman"/>
          <w:color w:val="000000" w:themeColor="text1"/>
          <w:kern w:val="2"/>
          <w:sz w:val="32"/>
          <w:szCs w:val="32"/>
          <w:vertAlign w:val="superscript"/>
          <w:lang w:val="en-US" w:eastAsia="zh-CN" w:bidi="ar-SA"/>
          <w14:textFill>
            <w14:solidFill>
              <w14:schemeClr w14:val="tx1"/>
            </w14:solidFill>
          </w14:textFill>
        </w:rPr>
        <w:t>2</w:t>
      </w:r>
      <w:r>
        <w:rPr>
          <w:rFonts w:hint="default" w:ascii="Times New Roman" w:hAnsi="Times New Roman" w:eastAsia="仿宋" w:cs="Times New Roman"/>
          <w:color w:val="000000" w:themeColor="text1"/>
          <w:kern w:val="2"/>
          <w:sz w:val="32"/>
          <w:szCs w:val="32"/>
          <w:lang w:val="en-US" w:eastAsia="zh-CN" w:bidi="ar-SA"/>
          <w14:textFill>
            <w14:solidFill>
              <w14:schemeClr w14:val="tx1"/>
            </w14:solidFill>
          </w14:textFill>
        </w:rPr>
        <w:t>），利用灰山石灰石矿的伴生建筑石料用灰岩矿作为原料，建设一条年产200万吨骨料机制砂生产线项目。主要产品及规模：20-31.5mm骨料80万t/a、10-20mm骨料65万t/a、0.075-4.75mm机制砂55万t/a。主要建设内容：新建一二级破碎车间、除泥筛分车间、一二级筛分车间、制砂楼等主体工程，新建泥料堆棚、制砂原料库、石粉库、骨料成品储库、机制砂储库、输送廊道等储运工程，配套建设布袋除尘器、洗车平台等环保工程</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，其余办公宿舍区、供水、供电、生活污水处理系统、矿区蓄水池、危废暂存间均依托现有。</w:t>
      </w:r>
    </w:p>
    <w:p w14:paraId="035CCABE">
      <w:pPr>
        <w:keepNext w:val="0"/>
        <w:keepLines w:val="0"/>
        <w:pageBreakBefore w:val="0"/>
        <w:numPr>
          <w:ilvl w:val="0"/>
          <w:numId w:val="1"/>
        </w:numPr>
        <w:kinsoku/>
        <w:wordWrap/>
        <w:overflowPunct/>
        <w:topLinePunct w:val="0"/>
        <w:autoSpaceDN/>
        <w:bidi w:val="0"/>
        <w:adjustRightInd/>
        <w:snapToGrid/>
        <w:spacing w:line="560" w:lineRule="exact"/>
        <w:ind w:firstLine="640"/>
        <w:jc w:val="both"/>
        <w:rPr>
          <w:rFonts w:hint="default" w:ascii="Times New Roman" w:hAnsi="Times New Roman" w:eastAsia="仿宋" w:cs="Times New Roman"/>
          <w:color w:val="000000" w:themeColor="text1"/>
          <w:kern w:val="2"/>
          <w:sz w:val="32"/>
          <w:szCs w:val="32"/>
          <w14:textFill>
            <w14:solidFill>
              <w14:schemeClr w14:val="tx1"/>
            </w14:solidFill>
          </w14:textFill>
        </w:rPr>
        <w:sectPr>
          <w:headerReference r:id="rId5" w:type="default"/>
          <w:footerReference r:id="rId6" w:type="default"/>
          <w:pgSz w:w="11906" w:h="16838"/>
          <w:pgMar w:top="1440" w:right="1588" w:bottom="1440" w:left="1588" w:header="851" w:footer="850" w:gutter="0"/>
          <w:pgNumType w:fmt="decimal" w:start="1"/>
          <w:cols w:space="720" w:num="1"/>
          <w:docGrid w:type="lines" w:linePitch="273" w:charSpace="0"/>
        </w:sectPr>
      </w:pPr>
    </w:p>
    <w:p w14:paraId="637DF77A">
      <w:pPr>
        <w:keepNext w:val="0"/>
        <w:keepLines w:val="0"/>
        <w:pageBreakBefore w:val="0"/>
        <w:numPr>
          <w:ilvl w:val="0"/>
          <w:numId w:val="1"/>
        </w:numPr>
        <w:kinsoku/>
        <w:wordWrap/>
        <w:overflowPunct/>
        <w:topLinePunct w:val="0"/>
        <w:autoSpaceDN/>
        <w:bidi w:val="0"/>
        <w:adjustRightInd/>
        <w:snapToGrid/>
        <w:spacing w:line="560" w:lineRule="exact"/>
        <w:ind w:firstLine="640"/>
        <w:jc w:val="both"/>
        <w:rPr>
          <w:rFonts w:hint="default" w:ascii="Times New Roman" w:hAnsi="Times New Roman" w:eastAsia="仿宋" w:cs="Times New Roman"/>
          <w:color w:val="000000" w:themeColor="text1"/>
          <w:kern w:val="2"/>
          <w:sz w:val="32"/>
          <w:szCs w:val="32"/>
          <w14:textFill>
            <w14:solidFill>
              <w14:schemeClr w14:val="tx1"/>
            </w14:solidFill>
          </w14:textFill>
        </w:rPr>
      </w:pPr>
      <w:r>
        <w:rPr>
          <w:rFonts w:hint="default" w:ascii="Times New Roman" w:hAnsi="Times New Roman" w:eastAsia="仿宋" w:cs="Times New Roman"/>
          <w:color w:val="000000" w:themeColor="text1"/>
          <w:kern w:val="2"/>
          <w:sz w:val="32"/>
          <w:szCs w:val="32"/>
          <w14:textFill>
            <w14:solidFill>
              <w14:schemeClr w14:val="tx1"/>
            </w14:solidFill>
          </w14:textFill>
        </w:rPr>
        <w:t>根据</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岳阳凯丰环保</w:t>
      </w:r>
      <w:r>
        <w:rPr>
          <w:rFonts w:hint="default" w:ascii="Times New Roman" w:hAnsi="Times New Roman" w:eastAsia="仿宋" w:cs="Times New Roman"/>
          <w:color w:val="000000" w:themeColor="text1"/>
          <w:kern w:val="2"/>
          <w:sz w:val="32"/>
          <w:szCs w:val="32"/>
          <w14:textFill>
            <w14:solidFill>
              <w14:schemeClr w14:val="tx1"/>
            </w14:solidFill>
          </w14:textFill>
        </w:rPr>
        <w:t>有限公司编制的《报告表》基本内容、结论、专家审查意见及岳阳市临湘生态环境事务中心出具的</w:t>
      </w:r>
      <w:r>
        <w:rPr>
          <w:rFonts w:hint="default" w:ascii="Times New Roman" w:hAnsi="Times New Roman" w:eastAsia="仿宋" w:cs="Times New Roman"/>
          <w:color w:val="000000" w:themeColor="text1"/>
          <w:kern w:val="2"/>
          <w:sz w:val="32"/>
          <w:szCs w:val="32"/>
          <w:lang w:eastAsia="zh-CN"/>
          <w14:textFill>
            <w14:solidFill>
              <w14:schemeClr w14:val="tx1"/>
            </w14:solidFill>
          </w14:textFill>
        </w:rPr>
        <w:t>《关于〈临湘海螺水泥有限责任公司年产200万吨骨料机制砂项目生态</w:t>
      </w:r>
      <w:r>
        <w:rPr>
          <w:rFonts w:hint="default" w:ascii="Times New Roman" w:hAnsi="Times New Roman" w:eastAsia="仿宋" w:cs="Times New Roman"/>
          <w:color w:val="000000" w:themeColor="text1"/>
          <w:kern w:val="2"/>
          <w:sz w:val="32"/>
          <w:szCs w:val="32"/>
          <w14:textFill>
            <w14:solidFill>
              <w14:schemeClr w14:val="tx1"/>
            </w14:solidFill>
          </w14:textFill>
        </w:rPr>
        <w:t>环境影响报告表</w:t>
      </w:r>
      <w:r>
        <w:rPr>
          <w:rFonts w:hint="default" w:ascii="Times New Roman" w:hAnsi="Times New Roman" w:eastAsia="仿宋" w:cs="Times New Roman"/>
          <w:color w:val="000000" w:themeColor="text1"/>
          <w:kern w:val="2"/>
          <w:sz w:val="32"/>
          <w:szCs w:val="32"/>
          <w:lang w:eastAsia="zh-CN"/>
          <w14:textFill>
            <w14:solidFill>
              <w14:schemeClr w14:val="tx1"/>
            </w14:solidFill>
          </w14:textFill>
        </w:rPr>
        <w:t>〉</w:t>
      </w:r>
      <w:r>
        <w:rPr>
          <w:rFonts w:hint="default" w:ascii="Times New Roman" w:hAnsi="Times New Roman" w:eastAsia="仿宋" w:cs="Times New Roman"/>
          <w:color w:val="000000" w:themeColor="text1"/>
          <w:kern w:val="2"/>
          <w:sz w:val="32"/>
          <w:szCs w:val="32"/>
          <w14:textFill>
            <w14:solidFill>
              <w14:schemeClr w14:val="tx1"/>
            </w14:solidFill>
          </w14:textFill>
        </w:rPr>
        <w:t>技术评估</w:t>
      </w:r>
      <w:r>
        <w:rPr>
          <w:rFonts w:hint="default" w:ascii="Times New Roman" w:hAnsi="Times New Roman" w:eastAsia="仿宋" w:cs="Times New Roman"/>
          <w:color w:val="000000" w:themeColor="text1"/>
          <w:kern w:val="2"/>
          <w:sz w:val="32"/>
          <w:szCs w:val="32"/>
          <w:lang w:eastAsia="zh-CN"/>
          <w14:textFill>
            <w14:solidFill>
              <w14:schemeClr w14:val="tx1"/>
            </w14:solidFill>
          </w14:textFill>
        </w:rPr>
        <w:t>意见的</w:t>
      </w:r>
      <w:r>
        <w:rPr>
          <w:rFonts w:hint="default" w:ascii="Times New Roman" w:hAnsi="Times New Roman" w:eastAsia="仿宋" w:cs="Times New Roman"/>
          <w:color w:val="000000" w:themeColor="text1"/>
          <w:kern w:val="2"/>
          <w:sz w:val="32"/>
          <w:szCs w:val="32"/>
          <w14:textFill>
            <w14:solidFill>
              <w14:schemeClr w14:val="tx1"/>
            </w14:solidFill>
          </w14:textFill>
        </w:rPr>
        <w:t>报告</w:t>
      </w:r>
      <w:r>
        <w:rPr>
          <w:rFonts w:hint="default" w:ascii="Times New Roman" w:hAnsi="Times New Roman" w:eastAsia="仿宋" w:cs="Times New Roman"/>
          <w:color w:val="000000" w:themeColor="text1"/>
          <w:kern w:val="2"/>
          <w:sz w:val="32"/>
          <w:szCs w:val="32"/>
          <w:lang w:eastAsia="zh-CN"/>
          <w14:textFill>
            <w14:solidFill>
              <w14:schemeClr w14:val="tx1"/>
            </w14:solidFill>
          </w14:textFill>
        </w:rPr>
        <w:t>》</w:t>
      </w:r>
      <w:r>
        <w:rPr>
          <w:rFonts w:hint="default" w:ascii="Times New Roman" w:hAnsi="Times New Roman" w:eastAsia="仿宋" w:cs="Times New Roman"/>
          <w:color w:val="000000" w:themeColor="text1"/>
          <w:kern w:val="2"/>
          <w:sz w:val="32"/>
          <w:szCs w:val="32"/>
          <w14:textFill>
            <w14:solidFill>
              <w14:schemeClr w14:val="tx1"/>
            </w14:solidFill>
          </w14:textFill>
        </w:rPr>
        <w:t>（</w:t>
      </w:r>
      <w:r>
        <w:rPr>
          <w:rFonts w:hint="default" w:ascii="Times New Roman" w:hAnsi="Times New Roman" w:eastAsia="仿宋" w:cs="Times New Roman"/>
          <w:color w:val="000000" w:themeColor="text1"/>
          <w:sz w:val="32"/>
          <w:szCs w:val="32"/>
          <w14:textFill>
            <w14:solidFill>
              <w14:schemeClr w14:val="tx1"/>
            </w14:solidFill>
          </w14:textFill>
        </w:rPr>
        <w:t>临环事评估</w:t>
      </w:r>
      <w:r>
        <w:rPr>
          <w:rFonts w:hint="default" w:ascii="Times New Roman" w:hAnsi="Times New Roman" w:eastAsia="仿宋" w:cs="Times New Roman"/>
          <w:color w:val="000000" w:themeColor="text1"/>
          <w:kern w:val="2"/>
          <w:sz w:val="32"/>
          <w:szCs w:val="32"/>
          <w14:textFill>
            <w14:solidFill>
              <w14:schemeClr w14:val="tx1"/>
            </w14:solidFill>
          </w14:textFill>
        </w:rPr>
        <w:t>〔202</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6</w:t>
      </w:r>
      <w:r>
        <w:rPr>
          <w:rFonts w:hint="default" w:ascii="Times New Roman" w:hAnsi="Times New Roman" w:eastAsia="仿宋" w:cs="Times New Roman"/>
          <w:color w:val="000000" w:themeColor="text1"/>
          <w:kern w:val="2"/>
          <w:sz w:val="32"/>
          <w:szCs w:val="32"/>
          <w14:textFill>
            <w14:solidFill>
              <w14:schemeClr w14:val="tx1"/>
            </w14:solidFill>
          </w14:textFill>
        </w:rPr>
        <w:t>〕</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8</w:t>
      </w:r>
      <w:r>
        <w:rPr>
          <w:rFonts w:hint="default" w:ascii="Times New Roman" w:hAnsi="Times New Roman" w:eastAsia="仿宋" w:cs="Times New Roman"/>
          <w:color w:val="000000" w:themeColor="text1"/>
          <w:kern w:val="2"/>
          <w:sz w:val="32"/>
          <w:szCs w:val="32"/>
          <w14:textFill>
            <w14:solidFill>
              <w14:schemeClr w14:val="tx1"/>
            </w14:solidFill>
          </w14:textFill>
        </w:rPr>
        <w:t>号），从</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生态</w:t>
      </w:r>
      <w:r>
        <w:rPr>
          <w:rFonts w:hint="default" w:ascii="Times New Roman" w:hAnsi="Times New Roman" w:eastAsia="仿宋" w:cs="Times New Roman"/>
          <w:color w:val="000000" w:themeColor="text1"/>
          <w:kern w:val="2"/>
          <w:sz w:val="32"/>
          <w:szCs w:val="32"/>
          <w14:textFill>
            <w14:solidFill>
              <w14:schemeClr w14:val="tx1"/>
            </w14:solidFill>
          </w14:textFill>
        </w:rPr>
        <w:t>环境保护角度考虑，我局原则同意你公司提交的《报告表》所列性质、地点、规模、工艺和</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生态</w:t>
      </w:r>
      <w:r>
        <w:rPr>
          <w:rFonts w:hint="default" w:ascii="Times New Roman" w:hAnsi="Times New Roman" w:eastAsia="仿宋" w:cs="Times New Roman"/>
          <w:color w:val="000000" w:themeColor="text1"/>
          <w:kern w:val="2"/>
          <w:sz w:val="32"/>
          <w:szCs w:val="32"/>
          <w14:textFill>
            <w14:solidFill>
              <w14:schemeClr w14:val="tx1"/>
            </w14:solidFill>
          </w14:textFill>
        </w:rPr>
        <w:t>环境保护对策措施。</w:t>
      </w:r>
    </w:p>
    <w:p w14:paraId="2DB49C8A">
      <w:pPr>
        <w:keepNext w:val="0"/>
        <w:keepLines w:val="0"/>
        <w:pageBreakBefore w:val="0"/>
        <w:numPr>
          <w:ilvl w:val="0"/>
          <w:numId w:val="1"/>
        </w:numPr>
        <w:kinsoku/>
        <w:wordWrap/>
        <w:overflowPunct/>
        <w:topLinePunct w:val="0"/>
        <w:autoSpaceDN/>
        <w:bidi w:val="0"/>
        <w:adjustRightInd/>
        <w:snapToGrid/>
        <w:spacing w:line="560" w:lineRule="exact"/>
        <w:ind w:firstLine="640"/>
        <w:jc w:val="both"/>
        <w:rPr>
          <w:rFonts w:hint="default" w:ascii="Times New Roman" w:hAnsi="Times New Roman" w:eastAsia="仿宋" w:cs="Times New Roman"/>
          <w:b w:val="0"/>
          <w:bCs w:val="0"/>
          <w:color w:val="000000" w:themeColor="text1"/>
          <w:sz w:val="32"/>
          <w:szCs w:val="32"/>
          <w:highlight w:val="none"/>
          <w:u w:val="none" w:color="auto"/>
          <w:lang w:val="en-US" w:eastAsia="zh-CN"/>
          <w14:textFill>
            <w14:solidFill>
              <w14:schemeClr w14:val="tx1"/>
            </w14:solidFill>
          </w14:textFill>
        </w:rPr>
      </w:pPr>
      <w:r>
        <w:rPr>
          <w:rFonts w:hint="default" w:ascii="Times New Roman" w:hAnsi="Times New Roman" w:eastAsia="仿宋" w:cs="Times New Roman"/>
          <w:color w:val="000000" w:themeColor="text1"/>
          <w:kern w:val="2"/>
          <w:sz w:val="32"/>
          <w:szCs w:val="32"/>
          <w:lang w:eastAsia="zh-CN"/>
          <w14:textFill>
            <w14:solidFill>
              <w14:schemeClr w14:val="tx1"/>
            </w14:solidFill>
          </w14:textFill>
        </w:rPr>
        <w:t>项目在建设和运营中，须全面落实《报告表》提出的各项污染防治、风险防范措施，严格执行环保“三同时”制度，确保外排污染物稳定达标排放，</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生态</w:t>
      </w:r>
      <w:r>
        <w:rPr>
          <w:rFonts w:hint="default" w:ascii="Times New Roman" w:hAnsi="Times New Roman" w:eastAsia="仿宋" w:cs="Times New Roman"/>
          <w:color w:val="000000" w:themeColor="text1"/>
          <w:kern w:val="2"/>
          <w:sz w:val="32"/>
          <w:szCs w:val="32"/>
          <w:lang w:eastAsia="zh-CN"/>
          <w14:textFill>
            <w14:solidFill>
              <w14:schemeClr w14:val="tx1"/>
            </w14:solidFill>
          </w14:textFill>
        </w:rPr>
        <w:t>环境风险可控，并着重做好以下几方面的工作：</w:t>
      </w:r>
    </w:p>
    <w:p w14:paraId="1810E26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val="0"/>
          <w:bCs w:val="0"/>
          <w:color w:val="000000" w:themeColor="text1"/>
          <w:sz w:val="32"/>
          <w:szCs w:val="32"/>
          <w:highlight w:val="none"/>
          <w:u w:val="none" w:color="auto"/>
          <w:lang w:val="en-US" w:eastAsia="zh-CN"/>
          <w14:textFill>
            <w14:solidFill>
              <w14:schemeClr w14:val="tx1"/>
            </w14:solidFill>
          </w14:textFill>
        </w:rPr>
      </w:pPr>
      <w:r>
        <w:rPr>
          <w:rFonts w:hint="default" w:ascii="Times New Roman" w:hAnsi="Times New Roman" w:eastAsia="仿宋" w:cs="Times New Roman"/>
          <w:b/>
          <w:bCs/>
          <w:color w:val="000000" w:themeColor="text1"/>
          <w:sz w:val="32"/>
          <w:szCs w:val="32"/>
          <w:highlight w:val="none"/>
          <w:u w:val="none" w:color="auto"/>
          <w:lang w:val="en-US" w:eastAsia="zh-CN"/>
          <w14:textFill>
            <w14:solidFill>
              <w14:schemeClr w14:val="tx1"/>
            </w14:solidFill>
          </w14:textFill>
        </w:rPr>
        <w:t>1.</w:t>
      </w:r>
      <w:r>
        <w:rPr>
          <w:rFonts w:hint="default" w:ascii="Times New Roman" w:hAnsi="Times New Roman" w:eastAsia="仿宋" w:cs="Times New Roman"/>
          <w:b/>
          <w:bCs/>
          <w:color w:val="000000" w:themeColor="text1"/>
          <w:kern w:val="2"/>
          <w:sz w:val="32"/>
          <w:szCs w:val="32"/>
          <w:lang w:val="en-US" w:eastAsia="zh-CN"/>
          <w14:textFill>
            <w14:solidFill>
              <w14:schemeClr w14:val="tx1"/>
            </w14:solidFill>
          </w14:textFill>
        </w:rPr>
        <w:t>落实施工期各项污染防治和生态保护措施</w:t>
      </w:r>
      <w:r>
        <w:rPr>
          <w:rFonts w:hint="default" w:ascii="Times New Roman" w:hAnsi="Times New Roman" w:eastAsia="仿宋" w:cs="Times New Roman"/>
          <w:b/>
          <w:bCs/>
          <w:color w:val="000000" w:themeColor="text1"/>
          <w:sz w:val="32"/>
          <w:szCs w:val="32"/>
          <w:highlight w:val="none"/>
          <w:u w:val="none" w:color="auto"/>
          <w:lang w:val="en-US" w:eastAsia="zh-CN"/>
          <w14:textFill>
            <w14:solidFill>
              <w14:schemeClr w14:val="tx1"/>
            </w14:solidFill>
          </w14:textFill>
        </w:rPr>
        <w:t>。</w:t>
      </w:r>
      <w:r>
        <w:rPr>
          <w:rFonts w:hint="default" w:ascii="Times New Roman" w:hAnsi="Times New Roman" w:eastAsia="仿宋" w:cs="Times New Roman"/>
          <w:b w:val="0"/>
          <w:bCs w:val="0"/>
          <w:color w:val="000000" w:themeColor="text1"/>
          <w:sz w:val="32"/>
          <w:szCs w:val="32"/>
          <w:highlight w:val="none"/>
          <w:u w:val="none" w:color="auto"/>
          <w:lang w:val="en-US" w:eastAsia="zh-CN"/>
          <w14:textFill>
            <w14:solidFill>
              <w14:schemeClr w14:val="tx1"/>
            </w14:solidFill>
          </w14:textFill>
        </w:rPr>
        <w:t>建设施工严格落实“六个100%”防尘措施；建设进出车辆冲洗平台；裸露地面绿化或者覆盖密闭式防尘网（布）；合理收集回用施工废水，及时洒水降尘；防止噪声、施工废水、弃（渣）土、扬尘等污染周边环境；落实水土保持措施，做好区域周边截排水沟、植被恢复等工作。</w:t>
      </w:r>
    </w:p>
    <w:p w14:paraId="5DC34CEE">
      <w:pPr>
        <w:keepNext w:val="0"/>
        <w:keepLines w:val="0"/>
        <w:pageBreakBefore w:val="0"/>
        <w:numPr>
          <w:ilvl w:val="0"/>
          <w:numId w:val="0"/>
        </w:numPr>
        <w:kinsoku/>
        <w:wordWrap/>
        <w:overflowPunct/>
        <w:topLinePunct w:val="0"/>
        <w:autoSpaceDN/>
        <w:bidi w:val="0"/>
        <w:adjustRightInd/>
        <w:snapToGrid/>
        <w:spacing w:line="560" w:lineRule="exact"/>
        <w:ind w:firstLine="643" w:firstLineChars="200"/>
        <w:jc w:val="both"/>
        <w:rPr>
          <w:rFonts w:hint="default" w:ascii="Times New Roman" w:hAnsi="Times New Roman" w:eastAsia="仿宋" w:cs="Times New Roman"/>
          <w:b w:val="0"/>
          <w:bCs w:val="0"/>
          <w:color w:val="000000" w:themeColor="text1"/>
          <w:sz w:val="32"/>
          <w:szCs w:val="32"/>
          <w:highlight w:val="none"/>
          <w:u w:val="none" w:color="auto"/>
          <w:lang w:val="en-US" w:eastAsia="zh-CN"/>
          <w14:textFill>
            <w14:solidFill>
              <w14:schemeClr w14:val="tx1"/>
            </w14:solidFill>
          </w14:textFill>
        </w:rPr>
      </w:pPr>
      <w:r>
        <w:rPr>
          <w:rFonts w:hint="default" w:ascii="Times New Roman" w:hAnsi="Times New Roman" w:eastAsia="仿宋" w:cs="Times New Roman"/>
          <w:b/>
          <w:bCs/>
          <w:color w:val="000000" w:themeColor="text1"/>
          <w:kern w:val="2"/>
          <w:sz w:val="32"/>
          <w:szCs w:val="32"/>
          <w:lang w:val="en-US" w:eastAsia="zh-CN"/>
          <w14:textFill>
            <w14:solidFill>
              <w14:schemeClr w14:val="tx1"/>
            </w14:solidFill>
          </w14:textFill>
        </w:rPr>
        <w:t>2</w:t>
      </w:r>
      <w:r>
        <w:rPr>
          <w:rFonts w:hint="default" w:ascii="Times New Roman" w:hAnsi="Times New Roman" w:eastAsia="仿宋" w:cs="Times New Roman"/>
          <w:b/>
          <w:bCs/>
          <w:color w:val="000000" w:themeColor="text1"/>
          <w:kern w:val="2"/>
          <w:sz w:val="32"/>
          <w:szCs w:val="32"/>
          <w14:textFill>
            <w14:solidFill>
              <w14:schemeClr w14:val="tx1"/>
            </w14:solidFill>
          </w14:textFill>
        </w:rPr>
        <w:t>.废气污染防治。</w:t>
      </w:r>
      <w:r>
        <w:rPr>
          <w:rFonts w:hint="default" w:ascii="Times New Roman" w:hAnsi="Times New Roman" w:eastAsia="仿宋" w:cs="Times New Roman"/>
          <w:b w:val="0"/>
          <w:bCs w:val="0"/>
          <w:color w:val="000000" w:themeColor="text1"/>
          <w:sz w:val="32"/>
          <w:szCs w:val="32"/>
          <w:highlight w:val="none"/>
          <w:u w:val="none" w:color="auto"/>
          <w:lang w:val="en-US" w:eastAsia="zh-CN"/>
          <w14:textFill>
            <w14:solidFill>
              <w14:schemeClr w14:val="tx1"/>
            </w14:solidFill>
          </w14:textFill>
        </w:rPr>
        <w:t>营运期废气污染源主要为：一二级破碎粉尘、一二级筛分粉尘、除泥筛分粉尘、制砂粉尘、制砂原料库粉尘、骨料成品库粉尘、机制砂成品库粉尘、石粉仓仓储粉尘、输送落料转运粉尘、运输扬尘、运输车辆尾气等。其中，一级破碎粉尘经密闭负压收集后通过布袋除尘器+水雾喷淋处理（TA091）后，通过15m高排气筒（DA091）排放；二级破碎粉尘经密闭负压收集后通过布袋除尘器+水雾喷淋处理（TA093）后，通过15m高排气筒（DA093）排放；除泥筛分粉尘经密闭负压收集后通过布袋除尘器处理（TA092）后，通过15m高排气筒（DA092）排放；一级筛分粉尘经密闭负压收集后通过布袋除尘器（TA094）处理后，通过15m高排气筒（DA094）排放；二级筛分粉尘经密闭负压收集后通过布袋除尘器（TA095）处理后，通过15m高排气筒（DA095）排放；制砂粉尘经密闭负压收集后通过布袋除尘器（TA096）处理后，通过15m高排气筒（DA096）排放；制砂原料库粉尘经密闭负压收集后通过库顶布袋除尘器（TA097）处理后，呈无组织排放；骨料成品储库粉尘经密闭负压收集后通过各自库顶布袋除尘器（TA098、TA099）处理后，呈无组织排放；机制砂储库粉尘经密闭负压收集后通过库顶布袋除尘器（TA100）处理后，呈无组织排放；石粉库粉尘经密闭负压收集后通过库顶布袋除尘器（TA101）处理后，呈无组织排放；泥料堆棚粉尘采用半封闭围挡+水雾喷淋装置增湿抑尘，呈无组织排放；输送落料转运粉尘全过程采用密闭皮带机输送，配套水雾喷淋除尘器，呈无组织排放；运输扬尘采取沿途洒水，遮盖篷布等措施抑尘；运输车辆尾气排放量较少，呈无组织排放。</w:t>
      </w:r>
    </w:p>
    <w:p w14:paraId="47FD5280">
      <w:pPr>
        <w:pStyle w:val="2"/>
        <w:keepNext w:val="0"/>
        <w:keepLines w:val="0"/>
        <w:pageBreakBefore w:val="0"/>
        <w:kinsoku/>
        <w:wordWrap/>
        <w:overflowPunct/>
        <w:topLinePunct w:val="0"/>
        <w:bidi w:val="0"/>
        <w:snapToGrid/>
        <w:spacing w:line="560" w:lineRule="exact"/>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32"/>
          <w:szCs w:val="32"/>
          <w:highlight w:val="none"/>
          <w:u w:val="none" w:color="auto"/>
          <w:lang w:val="en-US" w:eastAsia="zh-CN"/>
          <w14:textFill>
            <w14:solidFill>
              <w14:schemeClr w14:val="tx1"/>
            </w14:solidFill>
          </w14:textFill>
        </w:rPr>
        <w:t>一二级破碎粉尘、一二级筛分粉尘、除泥筛分粉尘、制砂粉尘执行《大气污染物综合排放标准》（GB16297-1996）表2中二级标准要求；制砂原料库粉尘、骨料成品储库粉尘、机制砂储库粉尘、石粉仓粉尘、泥料堆棚粉尘、转运粉尘、运输扬尘满足《大气污染物综合排放标准》（GB16297-1996）表2无组织排放限值要求。</w:t>
      </w:r>
    </w:p>
    <w:p w14:paraId="545F1299">
      <w:pPr>
        <w:pStyle w:val="9"/>
        <w:keepNext w:val="0"/>
        <w:keepLines w:val="0"/>
        <w:pageBreakBefore w:val="0"/>
        <w:kinsoku/>
        <w:wordWrap/>
        <w:overflowPunct/>
        <w:topLinePunct w:val="0"/>
        <w:autoSpaceDN/>
        <w:bidi w:val="0"/>
        <w:adjustRightInd/>
        <w:snapToGrid/>
        <w:spacing w:after="0" w:line="560" w:lineRule="exact"/>
        <w:ind w:firstLine="643"/>
        <w:jc w:val="both"/>
        <w:rPr>
          <w:rFonts w:hint="default" w:ascii="Times New Roman" w:hAnsi="Times New Roman" w:eastAsia="仿宋" w:cs="Times New Roman"/>
          <w:b w:val="0"/>
          <w:bCs w:val="0"/>
          <w:color w:val="000000" w:themeColor="text1"/>
          <w:kern w:val="2"/>
          <w:sz w:val="32"/>
          <w:szCs w:val="32"/>
          <w:lang w:val="en-US" w:eastAsia="zh-CN"/>
          <w14:textFill>
            <w14:solidFill>
              <w14:schemeClr w14:val="tx1"/>
            </w14:solidFill>
          </w14:textFill>
        </w:rPr>
      </w:pPr>
      <w:r>
        <w:rPr>
          <w:rFonts w:hint="default" w:ascii="Times New Roman" w:hAnsi="Times New Roman" w:eastAsia="仿宋" w:cs="Times New Roman"/>
          <w:b/>
          <w:bCs/>
          <w:color w:val="000000" w:themeColor="text1"/>
          <w:kern w:val="2"/>
          <w:sz w:val="32"/>
          <w:szCs w:val="32"/>
          <w:lang w:val="en-US" w:eastAsia="zh-CN"/>
          <w14:textFill>
            <w14:solidFill>
              <w14:schemeClr w14:val="tx1"/>
            </w14:solidFill>
          </w14:textFill>
        </w:rPr>
        <w:t>3</w:t>
      </w:r>
      <w:r>
        <w:rPr>
          <w:rFonts w:hint="default" w:ascii="Times New Roman" w:hAnsi="Times New Roman" w:eastAsia="仿宋" w:cs="Times New Roman"/>
          <w:b/>
          <w:bCs/>
          <w:color w:val="000000" w:themeColor="text1"/>
          <w:kern w:val="2"/>
          <w:sz w:val="32"/>
          <w:szCs w:val="32"/>
          <w14:textFill>
            <w14:solidFill>
              <w14:schemeClr w14:val="tx1"/>
            </w14:solidFill>
          </w14:textFill>
        </w:rPr>
        <w:t>.废水污染防治。</w:t>
      </w:r>
      <w:r>
        <w:rPr>
          <w:rFonts w:hint="default" w:ascii="Times New Roman" w:hAnsi="Times New Roman" w:eastAsia="仿宋" w:cs="Times New Roman"/>
          <w:b w:val="0"/>
          <w:bCs w:val="0"/>
          <w:color w:val="000000" w:themeColor="text1"/>
          <w:kern w:val="2"/>
          <w:sz w:val="32"/>
          <w:szCs w:val="32"/>
          <w14:textFill>
            <w14:solidFill>
              <w14:schemeClr w14:val="tx1"/>
            </w14:solidFill>
          </w14:textFill>
        </w:rPr>
        <w:t>本项目不新增生活废水</w:t>
      </w:r>
      <w:r>
        <w:rPr>
          <w:rFonts w:hint="default" w:ascii="Times New Roman" w:hAnsi="Times New Roman" w:eastAsia="仿宋" w:cs="Times New Roman"/>
          <w:b w:val="0"/>
          <w:bCs w:val="0"/>
          <w:color w:val="000000" w:themeColor="text1"/>
          <w:kern w:val="2"/>
          <w:sz w:val="32"/>
          <w:szCs w:val="32"/>
          <w:lang w:eastAsia="zh-CN"/>
          <w14:textFill>
            <w14:solidFill>
              <w14:schemeClr w14:val="tx1"/>
            </w14:solidFill>
          </w14:textFill>
        </w:rPr>
        <w:t>；生产废水主要为喷淋降尘废水、运输车辆冲洗废水、初期雨水等。其中喷淋降尘废水全部蒸发消耗；</w:t>
      </w:r>
      <w:r>
        <w:rPr>
          <w:rFonts w:hint="default" w:ascii="Times New Roman" w:hAnsi="Times New Roman" w:eastAsia="仿宋" w:cs="Times New Roman"/>
          <w:b w:val="0"/>
          <w:bCs w:val="0"/>
          <w:color w:val="000000" w:themeColor="text1"/>
          <w:kern w:val="2"/>
          <w:sz w:val="32"/>
          <w:szCs w:val="32"/>
          <w:lang w:val="en-US" w:eastAsia="zh-CN"/>
          <w14:textFill>
            <w14:solidFill>
              <w14:schemeClr w14:val="tx1"/>
            </w14:solidFill>
          </w14:textFill>
        </w:rPr>
        <w:t>运输</w:t>
      </w:r>
      <w:r>
        <w:rPr>
          <w:rFonts w:hint="default" w:ascii="Times New Roman" w:hAnsi="Times New Roman" w:eastAsia="仿宋" w:cs="Times New Roman"/>
          <w:b w:val="0"/>
          <w:bCs w:val="0"/>
          <w:color w:val="000000" w:themeColor="text1"/>
          <w:kern w:val="2"/>
          <w:sz w:val="32"/>
          <w:szCs w:val="32"/>
          <w:lang w:eastAsia="zh-CN"/>
          <w14:textFill>
            <w14:solidFill>
              <w14:schemeClr w14:val="tx1"/>
            </w14:solidFill>
          </w14:textFill>
        </w:rPr>
        <w:t>车辆冲洗废水经沉淀池沉淀后回用；初期雨水经沉淀处理后回用于全厂绿化和洒水降尘；生产废水综合利用不外排。</w:t>
      </w:r>
    </w:p>
    <w:p w14:paraId="703724E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color w:val="000000" w:themeColor="text1"/>
          <w:kern w:val="2"/>
          <w:sz w:val="32"/>
          <w:szCs w:val="32"/>
          <w:lang w:val="zh-CN"/>
          <w14:textFill>
            <w14:solidFill>
              <w14:schemeClr w14:val="tx1"/>
            </w14:solidFill>
          </w14:textFill>
        </w:rPr>
      </w:pPr>
      <w:r>
        <w:rPr>
          <w:rFonts w:hint="default" w:ascii="Times New Roman" w:hAnsi="Times New Roman" w:eastAsia="仿宋" w:cs="Times New Roman"/>
          <w:b/>
          <w:bCs/>
          <w:color w:val="000000" w:themeColor="text1"/>
          <w:kern w:val="2"/>
          <w:sz w:val="32"/>
          <w:szCs w:val="32"/>
          <w:lang w:val="en-US" w:eastAsia="zh-CN"/>
          <w14:textFill>
            <w14:solidFill>
              <w14:schemeClr w14:val="tx1"/>
            </w14:solidFill>
          </w14:textFill>
        </w:rPr>
        <w:t>4</w:t>
      </w:r>
      <w:r>
        <w:rPr>
          <w:rFonts w:hint="default" w:ascii="Times New Roman" w:hAnsi="Times New Roman" w:eastAsia="仿宋" w:cs="Times New Roman"/>
          <w:b/>
          <w:bCs/>
          <w:color w:val="000000" w:themeColor="text1"/>
          <w:kern w:val="2"/>
          <w:sz w:val="32"/>
          <w:szCs w:val="32"/>
          <w14:textFill>
            <w14:solidFill>
              <w14:schemeClr w14:val="tx1"/>
            </w14:solidFill>
          </w14:textFill>
        </w:rPr>
        <w:t>.噪声污染防治</w:t>
      </w:r>
      <w:r>
        <w:rPr>
          <w:rFonts w:hint="default" w:ascii="Times New Roman" w:hAnsi="Times New Roman" w:eastAsia="仿宋" w:cs="Times New Roman"/>
          <w:b/>
          <w:bCs/>
          <w:color w:val="000000" w:themeColor="text1"/>
          <w:kern w:val="2"/>
          <w:sz w:val="32"/>
          <w:szCs w:val="32"/>
          <w:lang w:val="zh-CN"/>
          <w14:textFill>
            <w14:solidFill>
              <w14:schemeClr w14:val="tx1"/>
            </w14:solidFill>
          </w14:textFill>
        </w:rPr>
        <w:t>。</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运营</w:t>
      </w:r>
      <w:r>
        <w:rPr>
          <w:rFonts w:hint="default" w:ascii="Times New Roman" w:hAnsi="Times New Roman" w:eastAsia="仿宋" w:cs="Times New Roman"/>
          <w:color w:val="000000" w:themeColor="text1"/>
          <w:kern w:val="2"/>
          <w:sz w:val="32"/>
          <w:szCs w:val="32"/>
          <w:lang w:val="zh-CN"/>
          <w14:textFill>
            <w14:solidFill>
              <w14:schemeClr w14:val="tx1"/>
            </w14:solidFill>
          </w14:textFill>
        </w:rPr>
        <w:t>期噪声源</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主要为破碎机、筛分机、制砂机、空压机、风机等生产设备运行时产生的噪声</w:t>
      </w:r>
      <w:r>
        <w:rPr>
          <w:rFonts w:hint="default" w:ascii="Times New Roman" w:hAnsi="Times New Roman" w:eastAsia="仿宋" w:cs="Times New Roman"/>
          <w:color w:val="000000" w:themeColor="text1"/>
          <w:kern w:val="2"/>
          <w:sz w:val="32"/>
          <w:szCs w:val="32"/>
          <w:lang w:val="zh-CN"/>
          <w14:textFill>
            <w14:solidFill>
              <w14:schemeClr w14:val="tx1"/>
            </w14:solidFill>
          </w14:textFill>
        </w:rPr>
        <w:t>，选用低噪声且符合国家标准的生产设备；对噪声较大的生产设备进行合理布局；采取隔声、吸声、减振等措施；加强对运输车辆的管理，禁止超速超载；加强厂区绿化、个体防护</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和</w:t>
      </w:r>
      <w:r>
        <w:rPr>
          <w:rFonts w:hint="default" w:ascii="Times New Roman" w:hAnsi="Times New Roman" w:eastAsia="仿宋" w:cs="Times New Roman"/>
          <w:color w:val="000000" w:themeColor="text1"/>
          <w:kern w:val="2"/>
          <w:sz w:val="32"/>
          <w:szCs w:val="32"/>
          <w:lang w:val="zh-CN"/>
          <w14:textFill>
            <w14:solidFill>
              <w14:schemeClr w14:val="tx1"/>
            </w14:solidFill>
          </w14:textFill>
        </w:rPr>
        <w:t>设备维护；确保厂界噪声满足《工业企业厂界环境噪声排放标准》（GB12348-2008）中</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3</w:t>
      </w:r>
      <w:r>
        <w:rPr>
          <w:rFonts w:hint="default" w:ascii="Times New Roman" w:hAnsi="Times New Roman" w:eastAsia="仿宋" w:cs="Times New Roman"/>
          <w:color w:val="000000" w:themeColor="text1"/>
          <w:kern w:val="2"/>
          <w:sz w:val="32"/>
          <w:szCs w:val="32"/>
          <w:lang w:val="zh-CN"/>
          <w14:textFill>
            <w14:solidFill>
              <w14:schemeClr w14:val="tx1"/>
            </w14:solidFill>
          </w14:textFill>
        </w:rPr>
        <w:t>类标准要求。</w:t>
      </w:r>
    </w:p>
    <w:p w14:paraId="0769FB4F">
      <w:pPr>
        <w:keepNext w:val="0"/>
        <w:keepLines w:val="0"/>
        <w:pageBreakBefore w:val="0"/>
        <w:kinsoku/>
        <w:wordWrap/>
        <w:overflowPunct/>
        <w:topLinePunct w:val="0"/>
        <w:autoSpaceDN/>
        <w:bidi w:val="0"/>
        <w:adjustRightInd/>
        <w:snapToGrid/>
        <w:spacing w:line="560" w:lineRule="exact"/>
        <w:ind w:firstLine="643"/>
        <w:rPr>
          <w:rFonts w:hint="default" w:ascii="Times New Roman" w:hAnsi="Times New Roman" w:eastAsia="仿宋" w:cs="Times New Roman"/>
          <w:color w:val="000000" w:themeColor="text1"/>
          <w:kern w:val="2"/>
          <w:sz w:val="32"/>
          <w:szCs w:val="32"/>
          <w:lang w:val="zh-CN" w:eastAsia="zh-CN"/>
          <w14:textFill>
            <w14:solidFill>
              <w14:schemeClr w14:val="tx1"/>
            </w14:solidFill>
          </w14:textFill>
        </w:rPr>
      </w:pPr>
      <w:r>
        <w:rPr>
          <w:rFonts w:hint="default" w:ascii="Times New Roman" w:hAnsi="Times New Roman" w:eastAsia="仿宋" w:cs="Times New Roman"/>
          <w:b/>
          <w:bCs/>
          <w:color w:val="000000" w:themeColor="text1"/>
          <w:kern w:val="2"/>
          <w:sz w:val="32"/>
          <w:szCs w:val="32"/>
          <w:lang w:val="en-US" w:eastAsia="zh-CN"/>
          <w14:textFill>
            <w14:solidFill>
              <w14:schemeClr w14:val="tx1"/>
            </w14:solidFill>
          </w14:textFill>
        </w:rPr>
        <w:t>5</w:t>
      </w:r>
      <w:r>
        <w:rPr>
          <w:rFonts w:hint="default" w:ascii="Times New Roman" w:hAnsi="Times New Roman" w:eastAsia="仿宋" w:cs="Times New Roman"/>
          <w:b/>
          <w:bCs/>
          <w:color w:val="000000" w:themeColor="text1"/>
          <w:kern w:val="2"/>
          <w:sz w:val="32"/>
          <w:szCs w:val="32"/>
          <w14:textFill>
            <w14:solidFill>
              <w14:schemeClr w14:val="tx1"/>
            </w14:solidFill>
          </w14:textFill>
        </w:rPr>
        <w:t>.固体废物防治。</w:t>
      </w:r>
      <w:r>
        <w:rPr>
          <w:rFonts w:hint="default" w:ascii="Times New Roman" w:hAnsi="Times New Roman" w:eastAsia="仿宋" w:cs="Times New Roman"/>
          <w:b w:val="0"/>
          <w:bCs w:val="0"/>
          <w:color w:val="000000" w:themeColor="text1"/>
          <w:spacing w:val="0"/>
          <w:kern w:val="2"/>
          <w:sz w:val="32"/>
          <w:szCs w:val="32"/>
          <w:lang w:val="en-US" w:eastAsia="zh-CN" w:bidi="ar-SA"/>
          <w14:textFill>
            <w14:solidFill>
              <w14:schemeClr w14:val="tx1"/>
            </w14:solidFill>
          </w14:textFill>
        </w:rPr>
        <w:t>严格按《一般工业固体废物贮存和填埋污染控制标准》（GB18599-2020）和《危险废物贮存污染控制标准》（GB18597-2023），对现有一般固体废物暂存间和危废暂存间进行管理，建立健全固体废物及危险废物管理台账。</w:t>
      </w:r>
      <w:r>
        <w:rPr>
          <w:rFonts w:hint="default" w:ascii="Times New Roman" w:hAnsi="Times New Roman" w:eastAsia="仿宋" w:cs="Times New Roman"/>
          <w:color w:val="000000" w:themeColor="text1"/>
          <w:kern w:val="2"/>
          <w:sz w:val="32"/>
          <w:szCs w:val="32"/>
          <w:lang w:val="zh-CN"/>
          <w14:textFill>
            <w14:solidFill>
              <w14:schemeClr w14:val="tx1"/>
            </w14:solidFill>
          </w14:textFill>
        </w:rPr>
        <w:t>除尘器收集的粉尘、石粉回用于水泥生产线；筛分杂泥和沉淀池污泥在泥料堆棚暂存，定期运到矿山现有排土场；生活垃圾收集后定期交由环卫部门清运</w:t>
      </w:r>
      <w:r>
        <w:rPr>
          <w:rFonts w:hint="default" w:ascii="Times New Roman" w:hAnsi="Times New Roman" w:eastAsia="仿宋" w:cs="Times New Roman"/>
          <w:color w:val="000000" w:themeColor="text1"/>
          <w:kern w:val="2"/>
          <w:sz w:val="32"/>
          <w:szCs w:val="32"/>
          <w:lang w:val="zh-CN" w:eastAsia="zh-CN"/>
          <w14:textFill>
            <w14:solidFill>
              <w14:schemeClr w14:val="tx1"/>
            </w14:solidFill>
          </w14:textFill>
        </w:rPr>
        <w:t>；废矿物油、废矿物油桶、废含油劳保用品</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委托资质单位</w:t>
      </w:r>
      <w:r>
        <w:rPr>
          <w:rFonts w:hint="default" w:ascii="Times New Roman" w:hAnsi="Times New Roman" w:eastAsia="仿宋" w:cs="Times New Roman"/>
          <w:color w:val="000000" w:themeColor="text1"/>
          <w:kern w:val="2"/>
          <w:sz w:val="32"/>
          <w:szCs w:val="32"/>
          <w:lang w:val="zh-CN" w:eastAsia="zh-CN"/>
          <w14:textFill>
            <w14:solidFill>
              <w14:schemeClr w14:val="tx1"/>
            </w14:solidFill>
          </w14:textFill>
        </w:rPr>
        <w:t>处置。</w:t>
      </w:r>
    </w:p>
    <w:p w14:paraId="320DDD5F">
      <w:pPr>
        <w:keepNext w:val="0"/>
        <w:keepLines w:val="0"/>
        <w:pageBreakBefore w:val="0"/>
        <w:kinsoku/>
        <w:wordWrap/>
        <w:overflowPunct/>
        <w:topLinePunct w:val="0"/>
        <w:autoSpaceDN/>
        <w:bidi w:val="0"/>
        <w:adjustRightInd/>
        <w:snapToGrid/>
        <w:spacing w:line="560" w:lineRule="exact"/>
        <w:ind w:firstLine="643"/>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pPr>
      <w:r>
        <w:rPr>
          <w:rFonts w:hint="default" w:ascii="Times New Roman" w:hAnsi="Times New Roman" w:eastAsia="仿宋" w:cs="Times New Roman"/>
          <w:b/>
          <w:bCs/>
          <w:color w:val="000000" w:themeColor="text1"/>
          <w:kern w:val="2"/>
          <w:sz w:val="32"/>
          <w:szCs w:val="32"/>
          <w:lang w:val="en-US" w:eastAsia="zh-CN"/>
          <w14:textFill>
            <w14:solidFill>
              <w14:schemeClr w14:val="tx1"/>
            </w14:solidFill>
          </w14:textFill>
        </w:rPr>
        <w:t>6.总量控制。</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本项目污染物为颗粒物，排放量为8.75t/a，未超出企业现有许可排放量，无需购买总量控制指标。</w:t>
      </w:r>
    </w:p>
    <w:p w14:paraId="22DC1210">
      <w:pPr>
        <w:pStyle w:val="18"/>
        <w:keepNext w:val="0"/>
        <w:keepLines w:val="0"/>
        <w:pageBreakBefore w:val="0"/>
        <w:widowControl w:val="0"/>
        <w:kinsoku/>
        <w:wordWrap/>
        <w:overflowPunct/>
        <w:topLinePunct w:val="0"/>
        <w:autoSpaceDE w:val="0"/>
        <w:autoSpaceDN/>
        <w:bidi w:val="0"/>
        <w:adjustRightInd/>
        <w:snapToGrid/>
        <w:spacing w:before="0" w:beforeAutospacing="0" w:after="0" w:afterAutospacing="0" w:line="560" w:lineRule="exact"/>
        <w:ind w:firstLine="643" w:firstLineChars="200"/>
        <w:jc w:val="both"/>
        <w:rPr>
          <w:rFonts w:hint="default" w:ascii="Times New Roman" w:hAnsi="Times New Roman" w:eastAsia="仿宋"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 w:cs="Times New Roman"/>
          <w:b/>
          <w:bCs/>
          <w:color w:val="000000" w:themeColor="text1"/>
          <w:kern w:val="2"/>
          <w:sz w:val="32"/>
          <w:szCs w:val="32"/>
          <w:lang w:val="en-US" w:eastAsia="zh-CN"/>
          <w14:textFill>
            <w14:solidFill>
              <w14:schemeClr w14:val="tx1"/>
            </w14:solidFill>
          </w14:textFill>
        </w:rPr>
        <w:t>7</w:t>
      </w:r>
      <w:r>
        <w:rPr>
          <w:rFonts w:hint="default" w:ascii="Times New Roman" w:hAnsi="Times New Roman" w:eastAsia="仿宋" w:cs="Times New Roman"/>
          <w:b/>
          <w:bCs/>
          <w:color w:val="000000" w:themeColor="text1"/>
          <w:kern w:val="2"/>
          <w:sz w:val="32"/>
          <w:szCs w:val="32"/>
          <w14:textFill>
            <w14:solidFill>
              <w14:schemeClr w14:val="tx1"/>
            </w14:solidFill>
          </w14:textFill>
        </w:rPr>
        <w:t>.加强环境管理与环境风险防范。</w:t>
      </w:r>
      <w:r>
        <w:rPr>
          <w:rFonts w:hint="default" w:ascii="Times New Roman" w:hAnsi="Times New Roman" w:eastAsia="仿宋" w:cs="Times New Roman"/>
          <w:color w:val="000000" w:themeColor="text1"/>
          <w:kern w:val="2"/>
          <w:sz w:val="32"/>
          <w:szCs w:val="32"/>
          <w:lang w:val="en-US" w:eastAsia="zh-CN" w:bidi="ar-SA"/>
          <w14:textFill>
            <w14:solidFill>
              <w14:schemeClr w14:val="tx1"/>
            </w14:solidFill>
          </w14:textFill>
        </w:rPr>
        <w:t>设置环保机构和专职人员，建立健全的环境管理制度；做好非正常工况下的污染防治措施，确保设施正常稳定运行；规范化建设排污口及标识标牌，落实企业自行监测、排污许可等要求；完善环境风险应急预案的修编工作，落实各项风险防范措施。</w:t>
      </w:r>
    </w:p>
    <w:p w14:paraId="53C96697">
      <w:pPr>
        <w:keepNext w:val="0"/>
        <w:keepLines w:val="0"/>
        <w:pageBreakBefore w:val="0"/>
        <w:kinsoku/>
        <w:wordWrap/>
        <w:overflowPunct/>
        <w:topLinePunct w:val="0"/>
        <w:autoSpaceDN/>
        <w:bidi w:val="0"/>
        <w:adjustRightInd/>
        <w:snapToGrid/>
        <w:spacing w:line="560" w:lineRule="exact"/>
        <w:ind w:firstLine="640"/>
        <w:jc w:val="both"/>
        <w:rPr>
          <w:rFonts w:hint="default" w:ascii="Times New Roman" w:hAnsi="Times New Roman" w:eastAsia="仿宋" w:cs="Times New Roman"/>
          <w:color w:val="000000" w:themeColor="text1"/>
          <w:kern w:val="2"/>
          <w:sz w:val="32"/>
          <w:szCs w:val="32"/>
          <w:lang w:val="zh-CN"/>
          <w14:textFill>
            <w14:solidFill>
              <w14:schemeClr w14:val="tx1"/>
            </w14:solidFill>
          </w14:textFill>
        </w:rPr>
      </w:pPr>
      <w:r>
        <w:rPr>
          <w:rFonts w:hint="default" w:ascii="Times New Roman" w:hAnsi="Times New Roman" w:eastAsia="仿宋" w:cs="Times New Roman"/>
          <w:color w:val="000000" w:themeColor="text1"/>
          <w:kern w:val="2"/>
          <w:sz w:val="32"/>
          <w:szCs w:val="32"/>
          <w14:textFill>
            <w14:solidFill>
              <w14:schemeClr w14:val="tx1"/>
            </w14:solidFill>
          </w14:textFill>
        </w:rPr>
        <w:t>三、严格按规程操作，确保各种污染治理设施的正常运行。项目建成后应按规定程序实施竣工环境保护验收。由岳阳市临湘生态环境保护综合行政执法大队负责该项目的日常现场监管</w:t>
      </w:r>
      <w:r>
        <w:rPr>
          <w:rFonts w:hint="default" w:ascii="Times New Roman" w:hAnsi="Times New Roman" w:eastAsia="仿宋" w:cs="Times New Roman"/>
          <w:color w:val="000000" w:themeColor="text1"/>
          <w:kern w:val="2"/>
          <w:sz w:val="32"/>
          <w:szCs w:val="32"/>
          <w:lang w:val="zh-CN"/>
          <w14:textFill>
            <w14:solidFill>
              <w14:schemeClr w14:val="tx1"/>
            </w14:solidFill>
          </w14:textFill>
        </w:rPr>
        <w:t>。</w:t>
      </w:r>
    </w:p>
    <w:p w14:paraId="769A925D">
      <w:pPr>
        <w:keepNext w:val="0"/>
        <w:keepLines w:val="0"/>
        <w:pageBreakBefore w:val="0"/>
        <w:kinsoku/>
        <w:wordWrap/>
        <w:overflowPunct/>
        <w:topLinePunct w:val="0"/>
        <w:autoSpaceDN/>
        <w:bidi w:val="0"/>
        <w:adjustRightInd/>
        <w:snapToGrid/>
        <w:spacing w:line="560" w:lineRule="exact"/>
        <w:ind w:firstLine="640"/>
        <w:jc w:val="both"/>
        <w:rPr>
          <w:rFonts w:hint="default" w:ascii="Times New Roman" w:hAnsi="Times New Roman" w:eastAsia="仿宋" w:cs="Times New Roman"/>
          <w:color w:val="000000" w:themeColor="text1"/>
          <w:kern w:val="2"/>
          <w:sz w:val="32"/>
          <w:szCs w:val="32"/>
          <w:lang w:val="zh-CN"/>
          <w14:textFill>
            <w14:solidFill>
              <w14:schemeClr w14:val="tx1"/>
            </w14:solidFill>
          </w14:textFill>
        </w:rPr>
      </w:pPr>
    </w:p>
    <w:p w14:paraId="4E0F1B10">
      <w:pPr>
        <w:keepNext w:val="0"/>
        <w:keepLines w:val="0"/>
        <w:pageBreakBefore w:val="0"/>
        <w:kinsoku/>
        <w:wordWrap/>
        <w:overflowPunct/>
        <w:topLinePunct w:val="0"/>
        <w:autoSpaceDN/>
        <w:bidi w:val="0"/>
        <w:adjustRightInd/>
        <w:snapToGrid/>
        <w:spacing w:line="560" w:lineRule="exact"/>
        <w:ind w:firstLine="640"/>
        <w:jc w:val="both"/>
        <w:rPr>
          <w:rFonts w:hint="default" w:ascii="Times New Roman" w:hAnsi="Times New Roman" w:eastAsia="仿宋" w:cs="Times New Roman"/>
          <w:color w:val="000000" w:themeColor="text1"/>
          <w:kern w:val="2"/>
          <w:sz w:val="32"/>
          <w:szCs w:val="32"/>
          <w:lang w:val="zh-CN"/>
          <w14:textFill>
            <w14:solidFill>
              <w14:schemeClr w14:val="tx1"/>
            </w14:solidFill>
          </w14:textFill>
        </w:rPr>
      </w:pPr>
    </w:p>
    <w:p w14:paraId="7DA5C337">
      <w:pPr>
        <w:pStyle w:val="33"/>
        <w:keepNext w:val="0"/>
        <w:keepLines w:val="0"/>
        <w:pageBreakBefore w:val="0"/>
        <w:kinsoku/>
        <w:wordWrap/>
        <w:overflowPunct/>
        <w:topLinePunct w:val="0"/>
        <w:autoSpaceDN/>
        <w:bidi w:val="0"/>
        <w:adjustRightInd/>
        <w:snapToGrid/>
        <w:spacing w:line="560" w:lineRule="exact"/>
        <w:ind w:firstLine="5760" w:firstLineChars="1800"/>
        <w:jc w:val="both"/>
        <w:textAlignment w:val="top"/>
        <w:rPr>
          <w:rFonts w:hint="default" w:ascii="Times New Roman" w:hAnsi="Times New Roman" w:eastAsia="仿宋" w:cs="Times New Roman"/>
          <w:color w:val="000000" w:themeColor="text1"/>
          <w:kern w:val="2"/>
          <w:sz w:val="32"/>
          <w:szCs w:val="32"/>
          <w14:textFill>
            <w14:solidFill>
              <w14:schemeClr w14:val="tx1"/>
            </w14:solidFill>
          </w14:textFill>
        </w:rPr>
      </w:pPr>
      <w:r>
        <w:rPr>
          <w:rFonts w:hint="default" w:ascii="Times New Roman" w:hAnsi="Times New Roman" w:eastAsia="仿宋" w:cs="Times New Roman"/>
          <w:color w:val="000000" w:themeColor="text1"/>
          <w:kern w:val="2"/>
          <w:sz w:val="32"/>
          <w:szCs w:val="32"/>
          <w14:textFill>
            <w14:solidFill>
              <w14:schemeClr w14:val="tx1"/>
            </w14:solidFill>
          </w14:textFill>
        </w:rPr>
        <w:t>岳阳市生态环境局</w:t>
      </w:r>
    </w:p>
    <w:p w14:paraId="59238E26">
      <w:pPr>
        <w:pStyle w:val="33"/>
        <w:keepNext w:val="0"/>
        <w:keepLines w:val="0"/>
        <w:pageBreakBefore w:val="0"/>
        <w:tabs>
          <w:tab w:val="left" w:pos="5580"/>
        </w:tabs>
        <w:kinsoku/>
        <w:wordWrap/>
        <w:overflowPunct/>
        <w:topLinePunct w:val="0"/>
        <w:autoSpaceDN/>
        <w:bidi w:val="0"/>
        <w:adjustRightInd/>
        <w:snapToGrid/>
        <w:spacing w:line="560" w:lineRule="exact"/>
        <w:ind w:firstLine="5760" w:firstLineChars="1800"/>
        <w:jc w:val="both"/>
        <w:textAlignment w:val="top"/>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kern w:val="2"/>
          <w:sz w:val="32"/>
          <w:szCs w:val="32"/>
          <w:highlight w:val="none"/>
          <w14:textFill>
            <w14:solidFill>
              <w14:schemeClr w14:val="tx1"/>
            </w14:solidFill>
          </w14:textFill>
        </w:rPr>
        <w:t>202</w:t>
      </w:r>
      <w:r>
        <w:rPr>
          <w:rFonts w:hint="default" w:ascii="Times New Roman" w:hAnsi="Times New Roman" w:eastAsia="仿宋" w:cs="Times New Roman"/>
          <w:color w:val="000000" w:themeColor="text1"/>
          <w:kern w:val="2"/>
          <w:sz w:val="32"/>
          <w:szCs w:val="32"/>
          <w:highlight w:val="none"/>
          <w:lang w:val="en-US" w:eastAsia="zh-CN"/>
          <w14:textFill>
            <w14:solidFill>
              <w14:schemeClr w14:val="tx1"/>
            </w14:solidFill>
          </w14:textFill>
        </w:rPr>
        <w:t>6</w:t>
      </w:r>
      <w:r>
        <w:rPr>
          <w:rFonts w:hint="default" w:ascii="Times New Roman" w:hAnsi="Times New Roman" w:eastAsia="仿宋" w:cs="Times New Roman"/>
          <w:color w:val="000000" w:themeColor="text1"/>
          <w:kern w:val="2"/>
          <w:sz w:val="32"/>
          <w:szCs w:val="32"/>
          <w:highlight w:val="none"/>
          <w14:textFill>
            <w14:solidFill>
              <w14:schemeClr w14:val="tx1"/>
            </w14:solidFill>
          </w14:textFill>
        </w:rPr>
        <w:t>年</w:t>
      </w:r>
      <w:r>
        <w:rPr>
          <w:rFonts w:hint="default" w:ascii="Times New Roman" w:hAnsi="Times New Roman" w:eastAsia="仿宋" w:cs="Times New Roman"/>
          <w:color w:val="000000" w:themeColor="text1"/>
          <w:kern w:val="2"/>
          <w:sz w:val="32"/>
          <w:szCs w:val="32"/>
          <w:highlight w:val="none"/>
          <w:lang w:val="en-US" w:eastAsia="zh-CN"/>
          <w14:textFill>
            <w14:solidFill>
              <w14:schemeClr w14:val="tx1"/>
            </w14:solidFill>
          </w14:textFill>
        </w:rPr>
        <w:t>9</w:t>
      </w:r>
      <w:r>
        <w:rPr>
          <w:rFonts w:hint="default" w:ascii="Times New Roman" w:hAnsi="Times New Roman" w:eastAsia="仿宋" w:cs="Times New Roman"/>
          <w:color w:val="000000" w:themeColor="text1"/>
          <w:kern w:val="2"/>
          <w:sz w:val="32"/>
          <w:szCs w:val="32"/>
          <w:highlight w:val="none"/>
          <w14:textFill>
            <w14:solidFill>
              <w14:schemeClr w14:val="tx1"/>
            </w14:solidFill>
          </w14:textFill>
        </w:rPr>
        <w:t>月</w:t>
      </w:r>
      <w:r>
        <w:rPr>
          <w:rFonts w:hint="default" w:ascii="Times New Roman" w:hAnsi="Times New Roman" w:eastAsia="仿宋" w:cs="Times New Roman"/>
          <w:color w:val="000000" w:themeColor="text1"/>
          <w:kern w:val="2"/>
          <w:sz w:val="32"/>
          <w:szCs w:val="32"/>
          <w:highlight w:val="none"/>
          <w:lang w:val="en-US" w:eastAsia="zh-CN"/>
          <w14:textFill>
            <w14:solidFill>
              <w14:schemeClr w14:val="tx1"/>
            </w14:solidFill>
          </w14:textFill>
        </w:rPr>
        <w:t>17</w:t>
      </w:r>
      <w:r>
        <w:rPr>
          <w:rFonts w:hint="default" w:ascii="Times New Roman" w:hAnsi="Times New Roman" w:eastAsia="仿宋" w:cs="Times New Roman"/>
          <w:color w:val="000000" w:themeColor="text1"/>
          <w:kern w:val="2"/>
          <w:sz w:val="32"/>
          <w:szCs w:val="32"/>
          <w:highlight w:val="none"/>
          <w14:textFill>
            <w14:solidFill>
              <w14:schemeClr w14:val="tx1"/>
            </w14:solidFill>
          </w14:textFill>
        </w:rPr>
        <w:t>日</w:t>
      </w:r>
    </w:p>
    <w:sectPr>
      <w:footerReference r:id="rId7" w:type="default"/>
      <w:pgSz w:w="11906" w:h="16838"/>
      <w:pgMar w:top="1440" w:right="1588" w:bottom="1440" w:left="1588" w:header="851" w:footer="850" w:gutter="0"/>
      <w:pgNumType w:fmt="decimal" w:start="2"/>
      <w:cols w:space="720" w:num="1"/>
      <w:docGrid w:type="lines" w:linePitch="273"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00"/>
      </w:pPr>
      <w:r>
        <w:separator/>
      </w:r>
    </w:p>
  </w:endnote>
  <w:endnote w:type="continuationSeparator" w:id="1">
    <w:p>
      <w:pPr>
        <w:ind w:firstLine="4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公文小标宋">
    <w:panose1 w:val="02000500000000000000"/>
    <w:charset w:val="86"/>
    <w:family w:val="auto"/>
    <w:pitch w:val="default"/>
    <w:sig w:usb0="A00002BF" w:usb1="38CF7CFA" w:usb2="00000016" w:usb3="00000000" w:csb0="00040001" w:csb1="00000000"/>
  </w:font>
  <w:font w:name="方正楷体_GB2312">
    <w:panose1 w:val="02000000000000000000"/>
    <w:charset w:val="86"/>
    <w:family w:val="auto"/>
    <w:pitch w:val="default"/>
    <w:sig w:usb0="A00002BF" w:usb1="184F6CFA" w:usb2="00000012" w:usb3="00000000" w:csb0="00040001" w:csb1="00000000"/>
  </w:font>
  <w:font w:name="方正仿宋_GB2312">
    <w:panose1 w:val="02000000000000000000"/>
    <w:charset w:val="86"/>
    <w:family w:val="auto"/>
    <w:pitch w:val="default"/>
    <w:sig w:usb0="A00002BF" w:usb1="184F6CFA" w:usb2="00000012" w:usb3="00000000" w:csb0="00040001" w:csb1="00000000"/>
  </w:font>
  <w:font w:name="新宋体-18030">
    <w:altName w:val="宋体"/>
    <w:panose1 w:val="00000000000000000000"/>
    <w:charset w:val="00"/>
    <w:family w:val="auto"/>
    <w:pitch w:val="default"/>
    <w:sig w:usb0="00000000" w:usb1="00000000" w:usb2="00000000"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Arial Unicode MS">
    <w:panose1 w:val="020B0604020202020204"/>
    <w:charset w:val="86"/>
    <w:family w:val="swiss"/>
    <w:pitch w:val="default"/>
    <w:sig w:usb0="F7FFAEFF" w:usb1="F9DFFFFF" w:usb2="0000007F" w:usb3="00000000" w:csb0="203F01FF" w:csb1="DFFF0000"/>
  </w:font>
  <w:font w:name="Corbel">
    <w:panose1 w:val="020B0503020204020204"/>
    <w:charset w:val="00"/>
    <w:family w:val="swiss"/>
    <w:pitch w:val="default"/>
    <w:sig w:usb0="A00002EF" w:usb1="4000A44B" w:usb2="00000000" w:usb3="00000000" w:csb0="2000019F" w:csb1="0000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C0397">
    <w:pPr>
      <w:pStyle w:val="16"/>
      <w:tabs>
        <w:tab w:val="left" w:pos="3903"/>
        <w:tab w:val="clear" w:pos="4153"/>
      </w:tabs>
      <w:ind w:firstLine="360"/>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4932A">
    <w:pPr>
      <w:pStyle w:val="16"/>
      <w:tabs>
        <w:tab w:val="left" w:pos="3903"/>
        <w:tab w:val="clear" w:pos="4153"/>
      </w:tabs>
      <w:ind w:firstLine="360"/>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6F7DE1">
                          <w:pPr>
                            <w:pStyle w:val="1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B6F7DE1">
                    <w:pPr>
                      <w:pStyle w:val="1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v:textbox>
            </v:shape>
          </w:pict>
        </mc:Fallback>
      </mc:AlternateContent>
    </w:r>
    <w:r>
      <w:rPr>
        <w:rFonts w:hint="eastAsia"/>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00"/>
      </w:pPr>
      <w:r>
        <w:separator/>
      </w:r>
    </w:p>
  </w:footnote>
  <w:footnote w:type="continuationSeparator" w:id="1">
    <w:p>
      <w:pPr>
        <w:ind w:firstLine="40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7209E">
    <w:pPr>
      <w:pStyle w:val="17"/>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2A5F2C"/>
    <w:multiLevelType w:val="singleLevel"/>
    <w:tmpl w:val="B12A5F2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0"/>
  <w:drawingGridVerticalSpacing w:val="273"/>
  <w:displayHorizontalDrawingGridEvery w:val="0"/>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4520"/>
    <w:rsid w:val="00306F3A"/>
    <w:rsid w:val="00345C05"/>
    <w:rsid w:val="00395B61"/>
    <w:rsid w:val="003A03E2"/>
    <w:rsid w:val="0041729C"/>
    <w:rsid w:val="00646C16"/>
    <w:rsid w:val="006A3FC2"/>
    <w:rsid w:val="006C3ACD"/>
    <w:rsid w:val="006D21E4"/>
    <w:rsid w:val="009C1E4E"/>
    <w:rsid w:val="00A6644F"/>
    <w:rsid w:val="00B34EDC"/>
    <w:rsid w:val="00B734C6"/>
    <w:rsid w:val="00C11338"/>
    <w:rsid w:val="00CE459A"/>
    <w:rsid w:val="00E97E38"/>
    <w:rsid w:val="00EC4520"/>
    <w:rsid w:val="00FE2CD5"/>
    <w:rsid w:val="01B666C0"/>
    <w:rsid w:val="01FC55C4"/>
    <w:rsid w:val="020407DD"/>
    <w:rsid w:val="023C53DB"/>
    <w:rsid w:val="02445A7A"/>
    <w:rsid w:val="026A731F"/>
    <w:rsid w:val="02EA4873"/>
    <w:rsid w:val="03D177E1"/>
    <w:rsid w:val="03D96696"/>
    <w:rsid w:val="040265F8"/>
    <w:rsid w:val="04BF6FBF"/>
    <w:rsid w:val="04FA2D68"/>
    <w:rsid w:val="052A53FB"/>
    <w:rsid w:val="05B253F0"/>
    <w:rsid w:val="065F10D4"/>
    <w:rsid w:val="06766D74"/>
    <w:rsid w:val="07271259"/>
    <w:rsid w:val="07A442D1"/>
    <w:rsid w:val="080109C6"/>
    <w:rsid w:val="088C3CD7"/>
    <w:rsid w:val="08C23B9D"/>
    <w:rsid w:val="09715CF4"/>
    <w:rsid w:val="09810AA5"/>
    <w:rsid w:val="099077F7"/>
    <w:rsid w:val="099F5A02"/>
    <w:rsid w:val="0ACA0AE6"/>
    <w:rsid w:val="0B1F52D6"/>
    <w:rsid w:val="0BDF4656"/>
    <w:rsid w:val="0C8B7410"/>
    <w:rsid w:val="0CD30126"/>
    <w:rsid w:val="0D0F3224"/>
    <w:rsid w:val="0D576499"/>
    <w:rsid w:val="0D9A523E"/>
    <w:rsid w:val="0DAF1467"/>
    <w:rsid w:val="0E0367E9"/>
    <w:rsid w:val="0E320A4A"/>
    <w:rsid w:val="0E486D6B"/>
    <w:rsid w:val="0E54021A"/>
    <w:rsid w:val="0F084C1D"/>
    <w:rsid w:val="0F0E4067"/>
    <w:rsid w:val="0F8B68A4"/>
    <w:rsid w:val="0FA45C75"/>
    <w:rsid w:val="0FAB7138"/>
    <w:rsid w:val="100028AE"/>
    <w:rsid w:val="1041184B"/>
    <w:rsid w:val="106B68C8"/>
    <w:rsid w:val="106E0CF9"/>
    <w:rsid w:val="107547A7"/>
    <w:rsid w:val="10927ABC"/>
    <w:rsid w:val="10B47E36"/>
    <w:rsid w:val="128A19B4"/>
    <w:rsid w:val="129245E0"/>
    <w:rsid w:val="12B912C7"/>
    <w:rsid w:val="132A7A44"/>
    <w:rsid w:val="13734411"/>
    <w:rsid w:val="13BB7B66"/>
    <w:rsid w:val="13C609E5"/>
    <w:rsid w:val="146B6E96"/>
    <w:rsid w:val="14942891"/>
    <w:rsid w:val="14E86739"/>
    <w:rsid w:val="1540069F"/>
    <w:rsid w:val="159266A5"/>
    <w:rsid w:val="160E4AAD"/>
    <w:rsid w:val="16247C45"/>
    <w:rsid w:val="172A3039"/>
    <w:rsid w:val="17562080"/>
    <w:rsid w:val="17563E2E"/>
    <w:rsid w:val="176A5B2B"/>
    <w:rsid w:val="17EB59EB"/>
    <w:rsid w:val="182B350C"/>
    <w:rsid w:val="183A7126"/>
    <w:rsid w:val="18421155"/>
    <w:rsid w:val="18680CF7"/>
    <w:rsid w:val="186B3909"/>
    <w:rsid w:val="1890511D"/>
    <w:rsid w:val="19AF3CC9"/>
    <w:rsid w:val="19EF26A6"/>
    <w:rsid w:val="1A460E27"/>
    <w:rsid w:val="1AD91131"/>
    <w:rsid w:val="1B100797"/>
    <w:rsid w:val="1B627E82"/>
    <w:rsid w:val="1B672092"/>
    <w:rsid w:val="1B6D1F0E"/>
    <w:rsid w:val="1BCA7BC9"/>
    <w:rsid w:val="1BD03EEB"/>
    <w:rsid w:val="1C2269D4"/>
    <w:rsid w:val="1C72170E"/>
    <w:rsid w:val="1C7467DC"/>
    <w:rsid w:val="1CB60C0D"/>
    <w:rsid w:val="1D102CD1"/>
    <w:rsid w:val="1DDC7057"/>
    <w:rsid w:val="1E4075E6"/>
    <w:rsid w:val="1E876F10"/>
    <w:rsid w:val="1F1F6287"/>
    <w:rsid w:val="1F226CEB"/>
    <w:rsid w:val="1F291F60"/>
    <w:rsid w:val="20120B0E"/>
    <w:rsid w:val="201E3957"/>
    <w:rsid w:val="206A094A"/>
    <w:rsid w:val="20B50873"/>
    <w:rsid w:val="212201CD"/>
    <w:rsid w:val="21726EAE"/>
    <w:rsid w:val="21731A80"/>
    <w:rsid w:val="220B1CB9"/>
    <w:rsid w:val="22364F87"/>
    <w:rsid w:val="22A04AF7"/>
    <w:rsid w:val="22B71C0B"/>
    <w:rsid w:val="23644CDE"/>
    <w:rsid w:val="23CA65C3"/>
    <w:rsid w:val="24AD62FD"/>
    <w:rsid w:val="25793825"/>
    <w:rsid w:val="25AE12D9"/>
    <w:rsid w:val="25D6438C"/>
    <w:rsid w:val="25EB42DB"/>
    <w:rsid w:val="25EC0B17"/>
    <w:rsid w:val="25F26B4E"/>
    <w:rsid w:val="26236B82"/>
    <w:rsid w:val="263A0D4A"/>
    <w:rsid w:val="2661459D"/>
    <w:rsid w:val="26793695"/>
    <w:rsid w:val="267E0CAB"/>
    <w:rsid w:val="26A57AC5"/>
    <w:rsid w:val="26F64CE5"/>
    <w:rsid w:val="27937E96"/>
    <w:rsid w:val="27A75FE0"/>
    <w:rsid w:val="282D0BDB"/>
    <w:rsid w:val="2848606D"/>
    <w:rsid w:val="28692EB0"/>
    <w:rsid w:val="290F6532"/>
    <w:rsid w:val="29311DD0"/>
    <w:rsid w:val="29826D04"/>
    <w:rsid w:val="2AD417E1"/>
    <w:rsid w:val="2AD41D17"/>
    <w:rsid w:val="2AE216BA"/>
    <w:rsid w:val="2B141465"/>
    <w:rsid w:val="2C8F7D60"/>
    <w:rsid w:val="2CB52E8B"/>
    <w:rsid w:val="2D087520"/>
    <w:rsid w:val="2D0A34E8"/>
    <w:rsid w:val="2D506C2A"/>
    <w:rsid w:val="2D8C63A3"/>
    <w:rsid w:val="2DDD7A33"/>
    <w:rsid w:val="2EF6361F"/>
    <w:rsid w:val="2F835584"/>
    <w:rsid w:val="2F963CB6"/>
    <w:rsid w:val="2FCD1E2A"/>
    <w:rsid w:val="30696528"/>
    <w:rsid w:val="307D0225"/>
    <w:rsid w:val="307D1FD3"/>
    <w:rsid w:val="309C68FD"/>
    <w:rsid w:val="311D1A84"/>
    <w:rsid w:val="313A33BB"/>
    <w:rsid w:val="3176789C"/>
    <w:rsid w:val="31992E3D"/>
    <w:rsid w:val="31C14142"/>
    <w:rsid w:val="32827D75"/>
    <w:rsid w:val="32942D03"/>
    <w:rsid w:val="32D35DC0"/>
    <w:rsid w:val="33CA3782"/>
    <w:rsid w:val="33DC1707"/>
    <w:rsid w:val="33E406E4"/>
    <w:rsid w:val="33E5369B"/>
    <w:rsid w:val="340C5B48"/>
    <w:rsid w:val="3576787D"/>
    <w:rsid w:val="357A1A28"/>
    <w:rsid w:val="36611AF0"/>
    <w:rsid w:val="36624145"/>
    <w:rsid w:val="36B12429"/>
    <w:rsid w:val="36C00E6C"/>
    <w:rsid w:val="36C22E36"/>
    <w:rsid w:val="36C721FA"/>
    <w:rsid w:val="36C8026D"/>
    <w:rsid w:val="36D049F3"/>
    <w:rsid w:val="3793516C"/>
    <w:rsid w:val="38F35E38"/>
    <w:rsid w:val="39CC3AB9"/>
    <w:rsid w:val="39DC420F"/>
    <w:rsid w:val="3A377697"/>
    <w:rsid w:val="3B255741"/>
    <w:rsid w:val="3B656368"/>
    <w:rsid w:val="3C834E15"/>
    <w:rsid w:val="3D840E45"/>
    <w:rsid w:val="3DB35286"/>
    <w:rsid w:val="3E4D56DB"/>
    <w:rsid w:val="3E7C38CA"/>
    <w:rsid w:val="3EB412B6"/>
    <w:rsid w:val="3ECB6600"/>
    <w:rsid w:val="41670862"/>
    <w:rsid w:val="4175699C"/>
    <w:rsid w:val="41FA0356"/>
    <w:rsid w:val="42CE66BF"/>
    <w:rsid w:val="433D4DFE"/>
    <w:rsid w:val="435726DF"/>
    <w:rsid w:val="435F13C2"/>
    <w:rsid w:val="4377058C"/>
    <w:rsid w:val="437B05F4"/>
    <w:rsid w:val="437E7B29"/>
    <w:rsid w:val="43AA712C"/>
    <w:rsid w:val="43D7362E"/>
    <w:rsid w:val="43D956BC"/>
    <w:rsid w:val="442F3CAA"/>
    <w:rsid w:val="44E126D9"/>
    <w:rsid w:val="45336443"/>
    <w:rsid w:val="457D5993"/>
    <w:rsid w:val="4597723C"/>
    <w:rsid w:val="45AF3521"/>
    <w:rsid w:val="46207231"/>
    <w:rsid w:val="46240408"/>
    <w:rsid w:val="465A4129"/>
    <w:rsid w:val="46DC584E"/>
    <w:rsid w:val="472B2331"/>
    <w:rsid w:val="477261B2"/>
    <w:rsid w:val="47BE4F54"/>
    <w:rsid w:val="47F70466"/>
    <w:rsid w:val="48074B4D"/>
    <w:rsid w:val="485E04E5"/>
    <w:rsid w:val="48E72288"/>
    <w:rsid w:val="48EC3D42"/>
    <w:rsid w:val="4981448B"/>
    <w:rsid w:val="49A931C2"/>
    <w:rsid w:val="49E76610"/>
    <w:rsid w:val="4A686803"/>
    <w:rsid w:val="4ADF3B5F"/>
    <w:rsid w:val="4BBA6677"/>
    <w:rsid w:val="4BCD39B7"/>
    <w:rsid w:val="4C340028"/>
    <w:rsid w:val="4C6F0F12"/>
    <w:rsid w:val="4C7D65CC"/>
    <w:rsid w:val="4C92075D"/>
    <w:rsid w:val="4CD75C9B"/>
    <w:rsid w:val="4CF3569F"/>
    <w:rsid w:val="4D225F85"/>
    <w:rsid w:val="4DB12E65"/>
    <w:rsid w:val="4DC332C4"/>
    <w:rsid w:val="4DCD4142"/>
    <w:rsid w:val="4DD70957"/>
    <w:rsid w:val="4E03071F"/>
    <w:rsid w:val="4E4B5418"/>
    <w:rsid w:val="4F0A4F22"/>
    <w:rsid w:val="4F91177A"/>
    <w:rsid w:val="4F993284"/>
    <w:rsid w:val="4FDF1F0B"/>
    <w:rsid w:val="50836D3A"/>
    <w:rsid w:val="5087540C"/>
    <w:rsid w:val="50926F7D"/>
    <w:rsid w:val="513A1AEF"/>
    <w:rsid w:val="51E952C3"/>
    <w:rsid w:val="51FC5FD7"/>
    <w:rsid w:val="52081BED"/>
    <w:rsid w:val="525F1CB4"/>
    <w:rsid w:val="52BE0E40"/>
    <w:rsid w:val="53EE119D"/>
    <w:rsid w:val="53F65A75"/>
    <w:rsid w:val="54022DA0"/>
    <w:rsid w:val="54161C73"/>
    <w:rsid w:val="542919A7"/>
    <w:rsid w:val="54F13EB8"/>
    <w:rsid w:val="551E27A9"/>
    <w:rsid w:val="5563713A"/>
    <w:rsid w:val="55AA0755"/>
    <w:rsid w:val="55AA2FBB"/>
    <w:rsid w:val="55B865D0"/>
    <w:rsid w:val="55E22755"/>
    <w:rsid w:val="562C577E"/>
    <w:rsid w:val="563147AD"/>
    <w:rsid w:val="57603931"/>
    <w:rsid w:val="58122FAA"/>
    <w:rsid w:val="585A65D3"/>
    <w:rsid w:val="5864454A"/>
    <w:rsid w:val="587A1784"/>
    <w:rsid w:val="587E1BED"/>
    <w:rsid w:val="58BB5497"/>
    <w:rsid w:val="5910095D"/>
    <w:rsid w:val="59284923"/>
    <w:rsid w:val="59DD570D"/>
    <w:rsid w:val="5A4F7C8D"/>
    <w:rsid w:val="5AF727FF"/>
    <w:rsid w:val="5BC110D0"/>
    <w:rsid w:val="5C313AEE"/>
    <w:rsid w:val="5C477DC8"/>
    <w:rsid w:val="5CC6285A"/>
    <w:rsid w:val="5D957ECE"/>
    <w:rsid w:val="5D9C768D"/>
    <w:rsid w:val="5E693A13"/>
    <w:rsid w:val="5E6F0574"/>
    <w:rsid w:val="5E7A202A"/>
    <w:rsid w:val="5F380192"/>
    <w:rsid w:val="5FB92779"/>
    <w:rsid w:val="5FF90DC7"/>
    <w:rsid w:val="60247DCB"/>
    <w:rsid w:val="60932FCA"/>
    <w:rsid w:val="60DA29A7"/>
    <w:rsid w:val="6117377F"/>
    <w:rsid w:val="611A2D52"/>
    <w:rsid w:val="612C2629"/>
    <w:rsid w:val="613876CD"/>
    <w:rsid w:val="615857B5"/>
    <w:rsid w:val="619C4100"/>
    <w:rsid w:val="62D6719E"/>
    <w:rsid w:val="62E71472"/>
    <w:rsid w:val="63041F5D"/>
    <w:rsid w:val="638D1F52"/>
    <w:rsid w:val="64F8789F"/>
    <w:rsid w:val="65535C7B"/>
    <w:rsid w:val="65B562F9"/>
    <w:rsid w:val="66A43760"/>
    <w:rsid w:val="66D439F4"/>
    <w:rsid w:val="66DB2FD4"/>
    <w:rsid w:val="66F61BAB"/>
    <w:rsid w:val="67825B46"/>
    <w:rsid w:val="67C03F80"/>
    <w:rsid w:val="67C50BF2"/>
    <w:rsid w:val="67D7106C"/>
    <w:rsid w:val="68785CC8"/>
    <w:rsid w:val="69120710"/>
    <w:rsid w:val="695E64F6"/>
    <w:rsid w:val="69754342"/>
    <w:rsid w:val="69B2622D"/>
    <w:rsid w:val="69DA57C5"/>
    <w:rsid w:val="6A213DF7"/>
    <w:rsid w:val="6A234706"/>
    <w:rsid w:val="6A3053E5"/>
    <w:rsid w:val="6A7F011B"/>
    <w:rsid w:val="6AB95096"/>
    <w:rsid w:val="6ABA5FAC"/>
    <w:rsid w:val="6AFB5BA3"/>
    <w:rsid w:val="6B6E08BB"/>
    <w:rsid w:val="6B715CB5"/>
    <w:rsid w:val="6BCE2025"/>
    <w:rsid w:val="6C2947E2"/>
    <w:rsid w:val="6C910E04"/>
    <w:rsid w:val="6CCF1AF5"/>
    <w:rsid w:val="6D06656D"/>
    <w:rsid w:val="6D08089B"/>
    <w:rsid w:val="6D355AF1"/>
    <w:rsid w:val="6D41164D"/>
    <w:rsid w:val="6D414A1D"/>
    <w:rsid w:val="6DC044E3"/>
    <w:rsid w:val="6E3336F6"/>
    <w:rsid w:val="6E7078D2"/>
    <w:rsid w:val="6E7855AD"/>
    <w:rsid w:val="6F0532E4"/>
    <w:rsid w:val="6F815875"/>
    <w:rsid w:val="6FB16FC8"/>
    <w:rsid w:val="6FC75452"/>
    <w:rsid w:val="70161521"/>
    <w:rsid w:val="701D465E"/>
    <w:rsid w:val="702E21FA"/>
    <w:rsid w:val="704626FC"/>
    <w:rsid w:val="70A02A01"/>
    <w:rsid w:val="70AC7790"/>
    <w:rsid w:val="718B55F7"/>
    <w:rsid w:val="71A30B93"/>
    <w:rsid w:val="726411D5"/>
    <w:rsid w:val="728075B4"/>
    <w:rsid w:val="72987882"/>
    <w:rsid w:val="72EA7263"/>
    <w:rsid w:val="730B26F6"/>
    <w:rsid w:val="737A608E"/>
    <w:rsid w:val="73EF4563"/>
    <w:rsid w:val="73F76F74"/>
    <w:rsid w:val="7431692A"/>
    <w:rsid w:val="7488443F"/>
    <w:rsid w:val="74B44E65"/>
    <w:rsid w:val="754A358C"/>
    <w:rsid w:val="756920F3"/>
    <w:rsid w:val="75B3511C"/>
    <w:rsid w:val="76386CC0"/>
    <w:rsid w:val="767E1B72"/>
    <w:rsid w:val="76CE0316"/>
    <w:rsid w:val="76CF21A1"/>
    <w:rsid w:val="770C0F88"/>
    <w:rsid w:val="777C780D"/>
    <w:rsid w:val="78061E7B"/>
    <w:rsid w:val="78AC445A"/>
    <w:rsid w:val="7A093C1F"/>
    <w:rsid w:val="7AE07C8F"/>
    <w:rsid w:val="7B0411AF"/>
    <w:rsid w:val="7B4A7A78"/>
    <w:rsid w:val="7BB61541"/>
    <w:rsid w:val="7CB449E4"/>
    <w:rsid w:val="7CB47DAA"/>
    <w:rsid w:val="7CE409BA"/>
    <w:rsid w:val="7D1666BD"/>
    <w:rsid w:val="7E3774BB"/>
    <w:rsid w:val="7E9304FB"/>
    <w:rsid w:val="7F027131"/>
    <w:rsid w:val="7F2D4191"/>
    <w:rsid w:val="7F755E40"/>
    <w:rsid w:val="7FA0601C"/>
    <w:rsid w:val="7FD91C2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1" w:firstLineChars="200"/>
    </w:pPr>
    <w:rPr>
      <w:rFonts w:ascii="Times New Roman" w:hAnsi="Times New Roman" w:eastAsia="宋体" w:cs="Times New Roman"/>
      <w:lang w:val="en-US" w:eastAsia="zh-CN" w:bidi="ar-SA"/>
    </w:rPr>
  </w:style>
  <w:style w:type="paragraph" w:styleId="5">
    <w:name w:val="heading 2"/>
    <w:basedOn w:val="1"/>
    <w:next w:val="1"/>
    <w:semiHidden/>
    <w:unhideWhenUsed/>
    <w:qFormat/>
    <w:uiPriority w:val="0"/>
    <w:pPr>
      <w:keepNext/>
      <w:spacing w:before="120" w:line="360" w:lineRule="auto"/>
      <w:ind w:firstLine="1285"/>
      <w:outlineLvl w:val="1"/>
    </w:pPr>
    <w:rPr>
      <w:rFonts w:ascii="宋体" w:hAnsi="宋体"/>
      <w:spacing w:val="6"/>
      <w:sz w:val="28"/>
    </w:rPr>
  </w:style>
  <w:style w:type="paragraph" w:styleId="6">
    <w:name w:val="heading 3"/>
    <w:basedOn w:val="1"/>
    <w:next w:val="1"/>
    <w:qFormat/>
    <w:uiPriority w:val="0"/>
    <w:pPr>
      <w:keepNext/>
      <w:keepLines/>
      <w:spacing w:before="260" w:after="260" w:line="413" w:lineRule="auto"/>
      <w:outlineLvl w:val="2"/>
    </w:pPr>
    <w:rPr>
      <w:rFonts w:ascii="Arial" w:hAnsi="Arial"/>
      <w:b/>
      <w:bCs/>
      <w:sz w:val="32"/>
      <w:szCs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customStyle="1" w:styleId="2">
    <w:name w:val="Default"/>
    <w:basedOn w:val="3"/>
    <w:next w:val="4"/>
    <w:qFormat/>
    <w:uiPriority w:val="99"/>
    <w:pPr>
      <w:autoSpaceDE w:val="0"/>
      <w:autoSpaceDN w:val="0"/>
    </w:pPr>
    <w:rPr>
      <w:rFonts w:hAnsi="Calibri" w:cs="宋体"/>
      <w:color w:val="000000"/>
      <w:sz w:val="24"/>
      <w:szCs w:val="24"/>
    </w:rPr>
  </w:style>
  <w:style w:type="paragraph" w:customStyle="1" w:styleId="3">
    <w:name w:val="纯文本1"/>
    <w:basedOn w:val="1"/>
    <w:qFormat/>
    <w:uiPriority w:val="0"/>
    <w:pPr>
      <w:adjustRightInd w:val="0"/>
    </w:pPr>
    <w:rPr>
      <w:rFonts w:ascii="宋体" w:hAnsi="Courier New"/>
    </w:rPr>
  </w:style>
  <w:style w:type="paragraph" w:styleId="4">
    <w:name w:val="List"/>
    <w:qFormat/>
    <w:uiPriority w:val="0"/>
    <w:pPr>
      <w:widowControl w:val="0"/>
      <w:spacing w:line="360" w:lineRule="exact"/>
      <w:ind w:firstLine="38" w:firstLineChars="18"/>
      <w:jc w:val="left"/>
    </w:pPr>
    <w:rPr>
      <w:rFonts w:ascii="宋体" w:hAnsi="Times New Roman" w:eastAsia="宋体" w:cs="Times New Roman"/>
      <w:kern w:val="2"/>
      <w:sz w:val="21"/>
      <w:szCs w:val="21"/>
      <w:lang w:val="en-US" w:eastAsia="zh-CN" w:bidi="ar-SA"/>
    </w:rPr>
  </w:style>
  <w:style w:type="paragraph" w:styleId="7">
    <w:name w:val="Normal Indent"/>
    <w:basedOn w:val="1"/>
    <w:next w:val="1"/>
    <w:unhideWhenUsed/>
    <w:qFormat/>
    <w:uiPriority w:val="0"/>
    <w:pPr>
      <w:ind w:firstLine="420"/>
    </w:pPr>
  </w:style>
  <w:style w:type="paragraph" w:styleId="8">
    <w:name w:val="annotation text"/>
    <w:basedOn w:val="1"/>
    <w:qFormat/>
    <w:uiPriority w:val="0"/>
  </w:style>
  <w:style w:type="paragraph" w:styleId="9">
    <w:name w:val="Body Text"/>
    <w:basedOn w:val="1"/>
    <w:next w:val="10"/>
    <w:qFormat/>
    <w:uiPriority w:val="0"/>
    <w:pPr>
      <w:spacing w:after="120"/>
    </w:pPr>
  </w:style>
  <w:style w:type="paragraph" w:customStyle="1" w:styleId="10">
    <w:name w:val="xl27"/>
    <w:next w:val="1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新宋体-18030" w:hAnsi="新宋体-18030" w:eastAsia="新宋体-18030" w:cs="新宋体-18030"/>
      <w:kern w:val="0"/>
      <w:sz w:val="21"/>
      <w:szCs w:val="24"/>
      <w:lang w:val="en-US" w:eastAsia="zh-CN" w:bidi="ar-SA"/>
    </w:rPr>
  </w:style>
  <w:style w:type="paragraph" w:styleId="11">
    <w:name w:val="Body Text Indent 2"/>
    <w:next w:val="1"/>
    <w:qFormat/>
    <w:uiPriority w:val="0"/>
    <w:pPr>
      <w:widowControl w:val="0"/>
      <w:spacing w:line="360" w:lineRule="auto"/>
      <w:ind w:firstLine="480" w:firstLineChars="200"/>
      <w:jc w:val="both"/>
    </w:pPr>
    <w:rPr>
      <w:rFonts w:ascii="Times New Roman" w:hAnsi="Times New Roman" w:eastAsia="宋体" w:cs="Times New Roman"/>
      <w:kern w:val="2"/>
      <w:sz w:val="24"/>
      <w:szCs w:val="24"/>
      <w:lang w:val="en-US" w:eastAsia="zh-CN" w:bidi="ar-SA"/>
    </w:rPr>
  </w:style>
  <w:style w:type="paragraph" w:styleId="12">
    <w:name w:val="Body Text Indent"/>
    <w:basedOn w:val="1"/>
    <w:next w:val="13"/>
    <w:qFormat/>
    <w:uiPriority w:val="0"/>
    <w:pPr>
      <w:spacing w:line="360" w:lineRule="auto"/>
      <w:ind w:firstLine="570"/>
    </w:pPr>
    <w:rPr>
      <w:rFonts w:eastAsia="仿宋_GB2312"/>
      <w:sz w:val="28"/>
    </w:rPr>
  </w:style>
  <w:style w:type="paragraph" w:customStyle="1" w:styleId="13">
    <w:name w:val="样式 正文文本缩进 + 行距: 1.5 倍行距"/>
    <w:basedOn w:val="1"/>
    <w:qFormat/>
    <w:uiPriority w:val="0"/>
    <w:pPr>
      <w:spacing w:after="120" w:line="360" w:lineRule="auto"/>
      <w:ind w:left="90" w:leftChars="32" w:firstLine="560"/>
    </w:pPr>
    <w:rPr>
      <w:rFonts w:cs="宋体"/>
    </w:rPr>
  </w:style>
  <w:style w:type="paragraph" w:styleId="14">
    <w:name w:val="Date"/>
    <w:basedOn w:val="1"/>
    <w:next w:val="1"/>
    <w:qFormat/>
    <w:uiPriority w:val="0"/>
    <w:pPr>
      <w:ind w:left="100" w:leftChars="2500"/>
    </w:pPr>
  </w:style>
  <w:style w:type="paragraph" w:styleId="15">
    <w:name w:val="Balloon Text"/>
    <w:basedOn w:val="1"/>
    <w:qFormat/>
    <w:uiPriority w:val="0"/>
    <w:rPr>
      <w:sz w:val="18"/>
      <w:szCs w:val="18"/>
    </w:rPr>
  </w:style>
  <w:style w:type="paragraph" w:styleId="16">
    <w:name w:val="footer"/>
    <w:basedOn w:val="1"/>
    <w:link w:val="37"/>
    <w:qFormat/>
    <w:uiPriority w:val="99"/>
    <w:pPr>
      <w:tabs>
        <w:tab w:val="center" w:pos="4153"/>
        <w:tab w:val="right" w:pos="8306"/>
      </w:tabs>
      <w:snapToGrid w:val="0"/>
    </w:pPr>
    <w:rPr>
      <w:sz w:val="18"/>
      <w:szCs w:val="18"/>
    </w:rPr>
  </w:style>
  <w:style w:type="paragraph" w:styleId="1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8">
    <w:name w:val="Normal (Web)"/>
    <w:qFormat/>
    <w:uiPriority w:val="0"/>
    <w:pPr>
      <w:spacing w:before="100" w:beforeAutospacing="1" w:after="100" w:afterAutospacing="1"/>
    </w:pPr>
    <w:rPr>
      <w:rFonts w:ascii="Arial Unicode MS" w:hAnsi="Arial Unicode MS" w:eastAsia="Arial Unicode MS" w:cs="Arial Unicode MS"/>
      <w:sz w:val="24"/>
      <w:szCs w:val="24"/>
      <w:lang w:val="en-US" w:eastAsia="zh-CN" w:bidi="ar-SA"/>
    </w:rPr>
  </w:style>
  <w:style w:type="paragraph" w:styleId="19">
    <w:name w:val="Body Text First Indent"/>
    <w:basedOn w:val="9"/>
    <w:link w:val="29"/>
    <w:qFormat/>
    <w:uiPriority w:val="0"/>
    <w:pPr>
      <w:adjustRightInd w:val="0"/>
      <w:snapToGrid w:val="0"/>
      <w:spacing w:after="0" w:line="360" w:lineRule="auto"/>
      <w:ind w:firstLine="200"/>
      <w:jc w:val="both"/>
    </w:pPr>
    <w:rPr>
      <w:kern w:val="2"/>
      <w:sz w:val="24"/>
    </w:rPr>
  </w:style>
  <w:style w:type="paragraph" w:styleId="20">
    <w:name w:val="Body Text First Indent 2"/>
    <w:basedOn w:val="12"/>
    <w:next w:val="1"/>
    <w:qFormat/>
    <w:uiPriority w:val="0"/>
    <w:pPr>
      <w:spacing w:after="120" w:line="240" w:lineRule="auto"/>
      <w:ind w:left="420" w:leftChars="200" w:firstLine="420"/>
    </w:pPr>
    <w:rPr>
      <w:rFonts w:ascii="Corbel" w:hAnsi="Corbel"/>
      <w:sz w:val="21"/>
    </w:rPr>
  </w:style>
  <w:style w:type="table" w:styleId="22">
    <w:name w:val="Table Grid"/>
    <w:basedOn w:val="21"/>
    <w:qFormat/>
    <w:uiPriority w:val="59"/>
    <w:pPr>
      <w:widowControl w:val="0"/>
      <w:ind w:firstLine="21" w:firstLineChars="20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page number"/>
    <w:basedOn w:val="23"/>
    <w:qFormat/>
    <w:uiPriority w:val="0"/>
  </w:style>
  <w:style w:type="character" w:styleId="25">
    <w:name w:val="annotation reference"/>
    <w:qFormat/>
    <w:uiPriority w:val="0"/>
    <w:rPr>
      <w:sz w:val="21"/>
      <w:szCs w:val="21"/>
    </w:rPr>
  </w:style>
  <w:style w:type="paragraph" w:customStyle="1" w:styleId="26">
    <w:name w:val="列出段落1"/>
    <w:basedOn w:val="1"/>
    <w:qFormat/>
    <w:uiPriority w:val="34"/>
    <w:pPr>
      <w:ind w:firstLine="420"/>
    </w:pPr>
  </w:style>
  <w:style w:type="character" w:customStyle="1" w:styleId="27">
    <w:name w:val="p0 Char"/>
    <w:basedOn w:val="23"/>
    <w:link w:val="28"/>
    <w:qFormat/>
    <w:uiPriority w:val="0"/>
    <w:rPr>
      <w:rFonts w:eastAsia="宋体"/>
      <w:sz w:val="32"/>
      <w:szCs w:val="32"/>
      <w:lang w:val="en-US" w:eastAsia="zh-CN" w:bidi="ar-SA"/>
    </w:rPr>
  </w:style>
  <w:style w:type="paragraph" w:customStyle="1" w:styleId="28">
    <w:name w:val="p0"/>
    <w:basedOn w:val="1"/>
    <w:link w:val="27"/>
    <w:qFormat/>
    <w:uiPriority w:val="0"/>
    <w:pPr>
      <w:widowControl/>
      <w:ind w:firstLine="0" w:firstLineChars="0"/>
      <w:jc w:val="both"/>
    </w:pPr>
    <w:rPr>
      <w:sz w:val="32"/>
      <w:szCs w:val="32"/>
    </w:rPr>
  </w:style>
  <w:style w:type="character" w:customStyle="1" w:styleId="29">
    <w:name w:val="正文文本首行缩进 字符"/>
    <w:basedOn w:val="23"/>
    <w:link w:val="19"/>
    <w:qFormat/>
    <w:uiPriority w:val="0"/>
    <w:rPr>
      <w:rFonts w:eastAsia="宋体"/>
      <w:kern w:val="2"/>
      <w:sz w:val="24"/>
      <w:lang w:val="en-US" w:eastAsia="zh-CN" w:bidi="ar-SA"/>
    </w:rPr>
  </w:style>
  <w:style w:type="character" w:customStyle="1" w:styleId="30">
    <w:name w:val="表格文字 Char"/>
    <w:link w:val="31"/>
    <w:qFormat/>
    <w:uiPriority w:val="0"/>
    <w:rPr>
      <w:rFonts w:eastAsia="宋体"/>
      <w:kern w:val="2"/>
      <w:sz w:val="21"/>
      <w:szCs w:val="21"/>
      <w:lang w:val="en-US" w:eastAsia="zh-CN" w:bidi="ar-SA"/>
    </w:rPr>
  </w:style>
  <w:style w:type="paragraph" w:customStyle="1" w:styleId="31">
    <w:name w:val="表格文字"/>
    <w:basedOn w:val="1"/>
    <w:link w:val="30"/>
    <w:qFormat/>
    <w:uiPriority w:val="0"/>
    <w:pPr>
      <w:widowControl/>
      <w:adjustRightInd w:val="0"/>
      <w:snapToGrid w:val="0"/>
      <w:ind w:firstLine="0" w:firstLineChars="0"/>
      <w:jc w:val="center"/>
    </w:pPr>
    <w:rPr>
      <w:kern w:val="2"/>
      <w:sz w:val="21"/>
      <w:szCs w:val="21"/>
    </w:rPr>
  </w:style>
  <w:style w:type="paragraph" w:customStyle="1" w:styleId="32">
    <w:name w:val="Char Char Char Char Char Char Char Char Char Char"/>
    <w:basedOn w:val="1"/>
    <w:qFormat/>
    <w:uiPriority w:val="0"/>
    <w:pPr>
      <w:widowControl/>
      <w:spacing w:after="160" w:line="240" w:lineRule="exact"/>
      <w:ind w:firstLine="0" w:firstLineChars="0"/>
    </w:pPr>
    <w:rPr>
      <w:rFonts w:ascii="Verdana" w:hAnsi="Verdana"/>
      <w:lang w:eastAsia="en-US"/>
    </w:rPr>
  </w:style>
  <w:style w:type="paragraph" w:customStyle="1" w:styleId="33">
    <w:name w:val="WPS Plain"/>
    <w:qFormat/>
    <w:uiPriority w:val="0"/>
    <w:rPr>
      <w:rFonts w:ascii="Times New Roman" w:hAnsi="Times New Roman" w:eastAsia="宋体" w:cs="Times New Roman"/>
      <w:lang w:val="en-US" w:eastAsia="zh-CN" w:bidi="ar-SA"/>
    </w:rPr>
  </w:style>
  <w:style w:type="paragraph" w:customStyle="1" w:styleId="34">
    <w:name w:val="特殊标题３"/>
    <w:basedOn w:val="1"/>
    <w:qFormat/>
    <w:uiPriority w:val="0"/>
    <w:pPr>
      <w:overflowPunct w:val="0"/>
      <w:autoSpaceDE w:val="0"/>
      <w:autoSpaceDN w:val="0"/>
      <w:adjustRightInd w:val="0"/>
      <w:spacing w:line="360" w:lineRule="auto"/>
      <w:textAlignment w:val="baseline"/>
    </w:pPr>
    <w:rPr>
      <w:rFonts w:eastAsia="仿宋_GB2312"/>
      <w:sz w:val="28"/>
    </w:rPr>
  </w:style>
  <w:style w:type="paragraph" w:customStyle="1" w:styleId="35">
    <w:name w:val="样式 首行缩进:  2 字符"/>
    <w:qFormat/>
    <w:uiPriority w:val="0"/>
    <w:pPr>
      <w:adjustRightInd w:val="0"/>
      <w:spacing w:line="360" w:lineRule="auto"/>
      <w:ind w:firstLine="560" w:firstLineChars="200"/>
    </w:pPr>
    <w:rPr>
      <w:rFonts w:ascii="Times New Roman" w:hAnsi="Times New Roman" w:eastAsia="宋体" w:cs="宋体"/>
      <w:sz w:val="24"/>
      <w:lang w:val="en-US" w:eastAsia="zh-CN" w:bidi="ar-SA"/>
    </w:rPr>
  </w:style>
  <w:style w:type="paragraph" w:customStyle="1" w:styleId="36">
    <w:name w:val="样式1"/>
    <w:next w:val="19"/>
    <w:qFormat/>
    <w:uiPriority w:val="0"/>
    <w:pPr>
      <w:widowControl w:val="0"/>
      <w:adjustRightInd w:val="0"/>
      <w:spacing w:line="312" w:lineRule="atLeast"/>
      <w:jc w:val="center"/>
      <w:textAlignment w:val="baseline"/>
    </w:pPr>
    <w:rPr>
      <w:rFonts w:ascii="Times New Roman" w:hAnsi="Times New Roman" w:eastAsia="宋体" w:cs="Times New Roman"/>
      <w:kern w:val="2"/>
      <w:sz w:val="28"/>
      <w:szCs w:val="24"/>
      <w:lang w:val="en-US" w:eastAsia="zh-CN" w:bidi="ar-SA"/>
    </w:rPr>
  </w:style>
  <w:style w:type="character" w:customStyle="1" w:styleId="37">
    <w:name w:val="页脚 字符"/>
    <w:basedOn w:val="23"/>
    <w:link w:val="16"/>
    <w:qFormat/>
    <w:uiPriority w:val="99"/>
    <w:rPr>
      <w:sz w:val="18"/>
      <w:szCs w:val="18"/>
    </w:rPr>
  </w:style>
  <w:style w:type="paragraph" w:customStyle="1" w:styleId="38">
    <w:name w:val="0"/>
    <w:basedOn w:val="1"/>
    <w:qFormat/>
    <w:uiPriority w:val="0"/>
    <w:pPr>
      <w:widowControl/>
      <w:snapToGrid w:val="0"/>
      <w:spacing w:line="365" w:lineRule="atLeast"/>
      <w:ind w:left="1" w:firstLine="0" w:firstLineChars="0"/>
      <w:jc w:val="both"/>
      <w:textAlignment w:val="bottom"/>
    </w:pPr>
  </w:style>
  <w:style w:type="paragraph" w:customStyle="1" w:styleId="39">
    <w:name w:val="表格"/>
    <w:basedOn w:val="1"/>
    <w:qFormat/>
    <w:uiPriority w:val="0"/>
    <w:pPr>
      <w:spacing w:line="300" w:lineRule="auto"/>
      <w:ind w:firstLine="0" w:firstLineChars="0"/>
      <w:jc w:val="center"/>
    </w:pPr>
    <w:rPr>
      <w:rFonts w:cs="宋体"/>
      <w:sz w:val="21"/>
      <w:szCs w:val="24"/>
      <w:lang w:eastAsia="en-US"/>
    </w:rPr>
  </w:style>
  <w:style w:type="paragraph" w:styleId="40">
    <w:name w:val="List Paragraph"/>
    <w:basedOn w:val="1"/>
    <w:qFormat/>
    <w:uiPriority w:val="99"/>
    <w:pPr>
      <w:ind w:firstLine="420"/>
    </w:pPr>
  </w:style>
  <w:style w:type="character" w:customStyle="1" w:styleId="41">
    <w:name w:val="正文内容 Char Char"/>
    <w:qFormat/>
    <w:uiPriority w:val="0"/>
    <w:rPr>
      <w:kern w:val="2"/>
      <w:sz w:val="24"/>
      <w:szCs w:val="24"/>
      <w:lang w:val="en-US" w:eastAsia="zh-CN" w:bidi="ar-SA"/>
    </w:rPr>
  </w:style>
  <w:style w:type="paragraph" w:customStyle="1" w:styleId="42">
    <w:name w:val="样式 10 磅"/>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表格内容"/>
    <w:qFormat/>
    <w:uiPriority w:val="0"/>
    <w:pPr>
      <w:widowControl w:val="0"/>
      <w:spacing w:line="240" w:lineRule="auto"/>
      <w:ind w:firstLine="0" w:firstLineChars="0"/>
      <w:jc w:val="center"/>
    </w:pPr>
    <w:rPr>
      <w:rFonts w:ascii="Times New Roman" w:hAnsi="Times New Roman" w:eastAsia="宋体" w:cs="Times New Roman"/>
      <w:snapToGrid w:val="0"/>
      <w:kern w:val="0"/>
      <w:sz w:val="21"/>
      <w:szCs w:val="24"/>
      <w:lang w:val="en-US" w:eastAsia="zh-CN" w:bidi="ar-SA"/>
    </w:rPr>
  </w:style>
  <w:style w:type="character" w:customStyle="1" w:styleId="44">
    <w:name w:val="表图标题 Char"/>
    <w:link w:val="45"/>
    <w:qFormat/>
    <w:uiPriority w:val="0"/>
    <w:rPr>
      <w:rFonts w:ascii="Times New Roman" w:hAnsi="Times New Roman" w:eastAsia="宋体"/>
      <w:b/>
      <w:bCs/>
      <w:kern w:val="2"/>
      <w:sz w:val="21"/>
      <w:szCs w:val="24"/>
      <w:lang w:val="en-US" w:eastAsia="zh-CN" w:bidi="ar-SA"/>
    </w:rPr>
  </w:style>
  <w:style w:type="paragraph" w:customStyle="1" w:styleId="45">
    <w:name w:val="表图标题"/>
    <w:link w:val="44"/>
    <w:qFormat/>
    <w:uiPriority w:val="0"/>
    <w:pPr>
      <w:widowControl w:val="0"/>
      <w:spacing w:line="240" w:lineRule="auto"/>
      <w:jc w:val="center"/>
    </w:pPr>
    <w:rPr>
      <w:rFonts w:ascii="Times New Roman" w:hAnsi="Times New Roman" w:eastAsia="宋体" w:cs="Times New Roman"/>
      <w:b/>
      <w:bCs/>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640923a3-571b-4b2f-b54a-a9513031be3d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30CB664F</paraID>
      <start>149</start>
      <end>150</end>
      <status>unmodified</status>
      <modifiedWord/>
      <trackRevisions>false</trackRevisions>
    </reviewItem>
    <reviewItem>
      <errorID>02d59012-55e2-42cc-9161-4703ae055ea6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30CB664F</paraID>
      <start>167</start>
      <end>168</end>
      <status>unmodified</status>
      <modifiedWord/>
      <trackRevisions>false</trackRevisions>
    </reviewItem>
    <reviewItem>
      <errorID>d1d67b97-d95e-4b0f-96f8-846ed73aae8a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30CB664F</paraID>
      <start>186</start>
      <end>187</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38e90f-9c7c-495d-8b3a-954afe4d799c}">
  <ds:schemaRefs/>
</ds:datastoreItem>
</file>

<file path=customXml/itemProps3.xml><?xml version="1.0" encoding="utf-8"?>
<ds:datastoreItem xmlns:ds="http://schemas.openxmlformats.org/officeDocument/2006/customXml" ds:itemID="{EBF80C2E-1E84-49DD-8C16-E9B161C8BD7D}">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Pages>
  <Words>2332</Words>
  <Characters>2547</Characters>
  <Lines>47</Lines>
  <Paragraphs>21</Paragraphs>
  <TotalTime>13</TotalTime>
  <ScaleCrop>false</ScaleCrop>
  <LinksUpToDate>false</LinksUpToDate>
  <CharactersWithSpaces>2547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2019-05-11T05:51:00Z</dcterms:created>
  <dc:creator>微软用户</dc:creator>
  <cp:lastModifiedBy>呱呱</cp:lastModifiedBy>
  <cp:lastPrinted>2026-09-16T01:44:46Z</cp:lastPrinted>
  <dcterms:modified xsi:type="dcterms:W3CDTF">2026-09-16T02:09:40Z</dcterms:modified>
  <dc:title>1、省道1825线湘阴至长沙公路岳阳段改建工程总投资12300万元</dc:title>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eyJoZGlkIjoiYzFlM2FmOGFmNDQ1ODkzMTAzZTU0MmJkMTljNzRjZDQiLCJ1c2VySWQiOiIxMTQxODUzNzMwIn0=</vt:lpwstr>
  </property>
  <property fmtid="{D5CDD505-2E9C-101B-9397-08002B2CF9AE}" pid="4" name="ICV">
    <vt:lpwstr>E1A8DE1A17A14F69B1704A0D922E9E86_13</vt:lpwstr>
  </property>
</Properties>
</file>