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BEFF4B">
      <w:pPr>
        <w:pStyle w:val="2"/>
        <w:bidi w:val="0"/>
        <w:rPr>
          <w:rFonts w:hint="default" w:ascii="Times New Roman" w:hAnsi="Times New Roman"/>
          <w:lang w:val="en-US" w:eastAsia="zh-CN"/>
        </w:rPr>
      </w:pPr>
      <w:r>
        <w:rPr>
          <w:rFonts w:ascii="Times New Roman" w:hAnsi="Times New Roman"/>
        </w:rPr>
        <w:t>关于</w:t>
      </w:r>
      <w:r>
        <w:rPr>
          <w:rFonts w:hint="eastAsia" w:ascii="Times New Roman" w:hAnsi="Times New Roman"/>
          <w:lang w:val="en-US" w:eastAsia="zh-CN"/>
        </w:rPr>
        <w:t>临湘市</w:t>
      </w:r>
      <w:r>
        <w:rPr>
          <w:rFonts w:ascii="Times New Roman" w:hAnsi="Times New Roman"/>
        </w:rPr>
        <w:t>划定水文监测环境保护范围的通告（征求意见稿）</w:t>
      </w:r>
    </w:p>
    <w:p w14:paraId="45CCC7C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为进一步加强我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市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水文设施设备管理，发挥水文工作在防汛抗旱、水资源管理和水生态保护中的重要作用，根据《中华人民共和国水文条例》《水文监测环境和设施保护办法》（水利部令第43号）、《湖南省水文条例》（2025年7月31日修订版）等法规要求，结合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临湘市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实际，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现将水文监测环境保护范围划定工作有关事项通告如下</w:t>
      </w:r>
      <w:r>
        <w:rPr>
          <w:rFonts w:hint="eastAsia" w:ascii="Times New Roman" w:hAnsi="Times New Roman" w:cs="Times New Roman"/>
          <w:kern w:val="2"/>
          <w:sz w:val="32"/>
          <w:szCs w:val="32"/>
          <w:lang w:val="en-US" w:eastAsia="zh-CN" w:bidi="ar"/>
        </w:rPr>
        <w:t>：</w:t>
      </w:r>
    </w:p>
    <w:p w14:paraId="3657584F">
      <w:pPr>
        <w:pStyle w:val="3"/>
        <w:bidi w:val="0"/>
        <w:rPr>
          <w:rFonts w:hint="default" w:ascii="Times New Roman" w:hAnsi="Times New Roman"/>
          <w:lang w:val="en-US"/>
        </w:rPr>
      </w:pPr>
      <w:r>
        <w:rPr>
          <w:rFonts w:hint="default" w:ascii="Times New Roman" w:hAnsi="Times New Roman"/>
          <w:lang w:val="en-US" w:eastAsia="zh-CN"/>
        </w:rPr>
        <w:t>水文监测</w:t>
      </w:r>
      <w:r>
        <w:rPr>
          <w:rFonts w:hint="eastAsia" w:ascii="Times New Roman" w:hAnsi="Times New Roman"/>
          <w:lang w:val="en-US" w:eastAsia="zh-CN"/>
        </w:rPr>
        <w:t>站点</w:t>
      </w:r>
    </w:p>
    <w:p w14:paraId="5C56D80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/>
          <w:lang w:val="en-US"/>
        </w:rPr>
      </w:pPr>
      <w:r>
        <w:rPr>
          <w:rFonts w:hint="default" w:ascii="Times New Roman" w:hAnsi="Times New Roman"/>
          <w:lang w:val="en-US"/>
        </w:rPr>
        <w:t>本次划定保护范围涉及我市境内各类水文监测站点，具体名单如下：</w:t>
      </w:r>
    </w:p>
    <w:p w14:paraId="5F74B7AA">
      <w:pPr>
        <w:bidi w:val="0"/>
        <w:rPr>
          <w:rFonts w:hint="default"/>
          <w:lang w:val="en-US"/>
        </w:rPr>
      </w:pPr>
      <w:r>
        <w:rPr>
          <w:rFonts w:hint="default"/>
          <w:b/>
          <w:bCs/>
          <w:lang w:val="en-US" w:eastAsia="zh-CN"/>
        </w:rPr>
        <w:t>（一）国家基本水文站：</w:t>
      </w:r>
      <w:r>
        <w:rPr>
          <w:rFonts w:hint="eastAsia"/>
          <w:lang w:val="en-US" w:eastAsia="zh-CN"/>
        </w:rPr>
        <w:t>桃林</w:t>
      </w:r>
      <w:r>
        <w:rPr>
          <w:rFonts w:hint="default"/>
          <w:lang w:val="en-US" w:eastAsia="zh-CN"/>
        </w:rPr>
        <w:t>（二）水文站。</w:t>
      </w:r>
    </w:p>
    <w:p w14:paraId="435246AB">
      <w:pPr>
        <w:bidi w:val="0"/>
        <w:rPr>
          <w:rFonts w:hint="default"/>
          <w:lang w:val="en-US"/>
        </w:rPr>
      </w:pPr>
      <w:r>
        <w:rPr>
          <w:rFonts w:hint="default"/>
          <w:b/>
          <w:bCs/>
          <w:lang w:val="en-US" w:eastAsia="zh-CN"/>
        </w:rPr>
        <w:t>（二）专用水文站：</w:t>
      </w:r>
      <w:r>
        <w:rPr>
          <w:rFonts w:hint="eastAsia"/>
          <w:lang w:val="en-US" w:eastAsia="zh-CN"/>
        </w:rPr>
        <w:t>聂市水文站</w:t>
      </w:r>
      <w:r>
        <w:rPr>
          <w:rFonts w:hint="default"/>
          <w:lang w:val="en-US" w:eastAsia="zh-CN"/>
        </w:rPr>
        <w:t>。</w:t>
      </w:r>
    </w:p>
    <w:p w14:paraId="38284C34">
      <w:pPr>
        <w:bidi w:val="0"/>
        <w:rPr>
          <w:rFonts w:hint="default"/>
          <w:lang w:val="en-US"/>
        </w:rPr>
      </w:pPr>
      <w:r>
        <w:rPr>
          <w:rFonts w:hint="default"/>
          <w:b/>
          <w:bCs/>
          <w:lang w:val="en-US" w:eastAsia="zh-CN"/>
        </w:rPr>
        <w:t>（三）水位站：</w:t>
      </w:r>
      <w:r>
        <w:rPr>
          <w:rFonts w:hint="eastAsia"/>
          <w:lang w:val="en-US" w:eastAsia="zh-CN"/>
        </w:rPr>
        <w:t>临湘水位站</w:t>
      </w:r>
      <w:r>
        <w:rPr>
          <w:rFonts w:hint="default"/>
          <w:lang w:val="en-US" w:eastAsia="zh-CN"/>
        </w:rPr>
        <w:t>。</w:t>
      </w:r>
    </w:p>
    <w:p w14:paraId="43C0E75A">
      <w:pPr>
        <w:bidi w:val="0"/>
        <w:rPr>
          <w:rFonts w:hint="default"/>
          <w:lang w:val="en-US"/>
        </w:rPr>
      </w:pPr>
      <w:r>
        <w:rPr>
          <w:rFonts w:hint="default"/>
          <w:b/>
          <w:bCs/>
          <w:lang w:val="en-US" w:eastAsia="zh-CN"/>
        </w:rPr>
        <w:t>（四）雨量站：</w:t>
      </w:r>
      <w:r>
        <w:rPr>
          <w:rFonts w:hint="eastAsia"/>
          <w:lang w:val="en-US" w:eastAsia="zh-CN"/>
        </w:rPr>
        <w:t>龙源、忠防、占桥、胜龙、羊楼司、长塘、红仕桥、源潭</w:t>
      </w:r>
      <w:r>
        <w:rPr>
          <w:rFonts w:hint="default"/>
          <w:lang w:val="en-US" w:eastAsia="zh-CN"/>
        </w:rPr>
        <w:t>。</w:t>
      </w:r>
    </w:p>
    <w:p w14:paraId="223B10C9">
      <w:pPr>
        <w:bidi w:val="0"/>
        <w:rPr>
          <w:rFonts w:hint="default"/>
          <w:lang w:val="en-US" w:eastAsia="zh-CN"/>
        </w:rPr>
      </w:pPr>
      <w:r>
        <w:rPr>
          <w:rFonts w:hint="default"/>
          <w:b/>
          <w:bCs/>
          <w:lang w:val="en-US" w:eastAsia="zh-CN"/>
        </w:rPr>
        <w:t>（五）墒情站：</w:t>
      </w:r>
      <w:r>
        <w:rPr>
          <w:rFonts w:hint="eastAsia"/>
          <w:lang w:val="en-US" w:eastAsia="zh-CN"/>
        </w:rPr>
        <w:t>江南、詹桥、新和、聂市、胜龙</w:t>
      </w:r>
      <w:r>
        <w:rPr>
          <w:rFonts w:hint="default"/>
          <w:lang w:val="en-US" w:eastAsia="zh-CN"/>
        </w:rPr>
        <w:t>。</w:t>
      </w:r>
    </w:p>
    <w:p w14:paraId="1133C18F">
      <w:pPr>
        <w:bidi w:val="0"/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（六）地下水监测站：</w:t>
      </w:r>
      <w:r>
        <w:rPr>
          <w:rFonts w:hint="eastAsia"/>
          <w:lang w:val="en-US" w:eastAsia="zh-CN"/>
        </w:rPr>
        <w:t>江南（水厂）。</w:t>
      </w:r>
    </w:p>
    <w:p w14:paraId="302C1B93">
      <w:pPr>
        <w:pStyle w:val="3"/>
        <w:bidi w:val="0"/>
        <w:rPr>
          <w:rFonts w:hint="default" w:ascii="Times New Roman" w:hAnsi="Times New Roman"/>
          <w:lang w:val="en-US"/>
        </w:rPr>
      </w:pPr>
      <w:r>
        <w:rPr>
          <w:rFonts w:hint="default" w:ascii="Times New Roman" w:hAnsi="Times New Roman"/>
          <w:lang w:val="en-US" w:eastAsia="zh-CN"/>
        </w:rPr>
        <w:t>保护范围划分的基本原则</w:t>
      </w:r>
    </w:p>
    <w:p w14:paraId="347059E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结合我市站点分布与河湖实际，</w:t>
      </w:r>
      <w:r>
        <w:rPr>
          <w:rFonts w:hint="eastAsia"/>
          <w:lang w:val="en-US" w:eastAsia="zh-CN"/>
        </w:rPr>
        <w:t>依据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《水文监测环境和设施保护办法》</w:t>
      </w:r>
      <w:r>
        <w:rPr>
          <w:rFonts w:hint="eastAsia" w:cs="Times New Roman"/>
          <w:kern w:val="2"/>
          <w:sz w:val="32"/>
          <w:szCs w:val="32"/>
          <w:lang w:val="en-US" w:eastAsia="zh-CN" w:bidi="ar"/>
        </w:rPr>
        <w:t>等法律法规，我市</w:t>
      </w:r>
      <w:r>
        <w:rPr>
          <w:rFonts w:hint="default"/>
          <w:lang w:val="en-US" w:eastAsia="zh-CN"/>
        </w:rPr>
        <w:t>水文监测保护范围划分遵循</w:t>
      </w:r>
      <w:r>
        <w:rPr>
          <w:rFonts w:hint="eastAsia"/>
          <w:lang w:val="en-US" w:eastAsia="zh-CN"/>
        </w:rPr>
        <w:t>“</w:t>
      </w:r>
      <w:r>
        <w:rPr>
          <w:rFonts w:hint="default"/>
          <w:lang w:val="en-US" w:eastAsia="zh-CN"/>
        </w:rPr>
        <w:t>纵</w:t>
      </w:r>
      <w:r>
        <w:rPr>
          <w:rFonts w:hint="eastAsia"/>
          <w:lang w:val="en-US" w:eastAsia="zh-CN"/>
        </w:rPr>
        <w:t>横</w:t>
      </w:r>
      <w:r>
        <w:rPr>
          <w:rFonts w:hint="default"/>
          <w:lang w:val="en-US" w:eastAsia="zh-CN"/>
        </w:rPr>
        <w:t>延伸、设施分类、新建参照</w:t>
      </w:r>
      <w:r>
        <w:rPr>
          <w:rFonts w:hint="eastAsia"/>
          <w:lang w:val="en-US" w:eastAsia="zh-CN"/>
        </w:rPr>
        <w:t>”</w:t>
      </w:r>
      <w:r>
        <w:rPr>
          <w:rFonts w:hint="default"/>
          <w:lang w:val="en-US" w:eastAsia="zh-CN"/>
        </w:rPr>
        <w:t>的基本原则</w:t>
      </w:r>
      <w:r>
        <w:rPr>
          <w:rFonts w:hint="eastAsia"/>
          <w:lang w:val="en-US" w:eastAsia="zh-CN"/>
        </w:rPr>
        <w:t>：</w:t>
      </w:r>
    </w:p>
    <w:p w14:paraId="48399BC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（一）水文监测河段周围环境保护范围：沿河纵向以水文基本监测断面上下游各一定距离为边界，不小于500米，不大于1000米；沿河横向以水文监测过河索道两岸固定建筑物外20米为边界，或者根据河道管理范围确定。</w:t>
      </w:r>
    </w:p>
    <w:p w14:paraId="5DB1334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（二）水文监测设施周围环境保护范围：以监测场地周围30米、其他监测设施周围20米为边界。</w:t>
      </w:r>
    </w:p>
    <w:p w14:paraId="59E9F0A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（三）</w:t>
      </w:r>
      <w:r>
        <w:rPr>
          <w:rFonts w:hint="default"/>
          <w:b w:val="0"/>
          <w:bCs w:val="0"/>
          <w:lang w:val="en-US" w:eastAsia="zh-CN"/>
        </w:rPr>
        <w:t>未来新建水文监测站点保护范围划定参照本方案执行。</w:t>
      </w:r>
    </w:p>
    <w:p w14:paraId="7FC8A446">
      <w:pPr>
        <w:pStyle w:val="3"/>
        <w:bidi w:val="0"/>
        <w:rPr>
          <w:rFonts w:hint="default" w:ascii="Times New Roman" w:hAnsi="Times New Roman"/>
          <w:lang w:val="en-US"/>
        </w:rPr>
      </w:pPr>
      <w:r>
        <w:rPr>
          <w:rFonts w:hint="eastAsia" w:ascii="Times New Roman" w:hAnsi="Times New Roman"/>
          <w:lang w:val="en-US" w:eastAsia="zh-CN"/>
        </w:rPr>
        <w:t>水文监测</w:t>
      </w:r>
      <w:r>
        <w:rPr>
          <w:rFonts w:hint="default" w:ascii="Times New Roman" w:hAnsi="Times New Roman"/>
          <w:lang w:val="en-US" w:eastAsia="zh-CN"/>
        </w:rPr>
        <w:t>保护范围</w:t>
      </w:r>
    </w:p>
    <w:p w14:paraId="44ABB137">
      <w:pPr>
        <w:pStyle w:val="4"/>
        <w:numPr>
          <w:ilvl w:val="0"/>
          <w:numId w:val="2"/>
        </w:numPr>
        <w:bidi w:val="0"/>
        <w:rPr>
          <w:rFonts w:hint="default" w:ascii="Times New Roman" w:hAnsi="Times New Roman"/>
          <w:lang w:val="en-US"/>
        </w:rPr>
      </w:pPr>
      <w:r>
        <w:rPr>
          <w:rFonts w:hint="default" w:ascii="Times New Roman" w:hAnsi="Times New Roman"/>
          <w:lang w:val="en-US" w:eastAsia="zh-CN"/>
        </w:rPr>
        <w:t>水文监测河段周围环境保护范围</w:t>
      </w:r>
    </w:p>
    <w:p w14:paraId="479F46FB">
      <w:pPr>
        <w:keepNext w:val="0"/>
        <w:keepLines w:val="0"/>
        <w:pageBreakBefore w:val="0"/>
        <w:widowControl w:val="0"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"/>
        </w:rPr>
        <w:t>国家基本水文站：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"/>
        </w:rPr>
        <w:t>桃林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（二）水文站沿河纵向以水文基本监测断面上下游各1000米处，沿河横向以水文监测过河索道两岸固定建筑物外20米为边界。</w:t>
      </w:r>
    </w:p>
    <w:p w14:paraId="4167F56B">
      <w:pPr>
        <w:keepNext w:val="0"/>
        <w:keepLines w:val="0"/>
        <w:pageBreakBefore w:val="0"/>
        <w:widowControl w:val="0"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"/>
        </w:rPr>
        <w:t>专用水文站：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聂市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水文站沿河纵向以水文基本监测断面上下游各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500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米处，沿河横向以水文监测过河索道（或桁梁）两岸固定建筑物外20米为边界。</w:t>
      </w:r>
    </w:p>
    <w:p w14:paraId="2D35B053">
      <w:pPr>
        <w:keepNext w:val="0"/>
        <w:keepLines w:val="0"/>
        <w:pageBreakBefore w:val="0"/>
        <w:widowControl w:val="0"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"/>
        </w:rPr>
        <w:t>水位站：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临湘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水位站沿河纵向以水文基本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水尺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断面上下游各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500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米处，沿河横向以水文固定建筑物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（站房对岸以堤顶）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外20米为边界。</w:t>
      </w:r>
    </w:p>
    <w:p w14:paraId="4ABE69C3">
      <w:pPr>
        <w:pStyle w:val="4"/>
        <w:bidi w:val="0"/>
        <w:rPr>
          <w:rFonts w:hint="default" w:ascii="Times New Roman" w:hAnsi="Times New Roman"/>
          <w:lang w:val="en-US"/>
        </w:rPr>
      </w:pPr>
      <w:r>
        <w:rPr>
          <w:rFonts w:hint="default" w:ascii="Times New Roman" w:hAnsi="Times New Roman"/>
          <w:lang w:val="en-US" w:eastAsia="zh-CN"/>
        </w:rPr>
        <w:t>（二）水文监测设施周围环境保护范围</w:t>
      </w:r>
    </w:p>
    <w:p w14:paraId="31F2CFD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"/>
        </w:rPr>
        <w:t>1. 国家基本水文站：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桃林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（二）水文站以降蒸观测场地周围30米、其他监测设施周围20米为边界。</w:t>
      </w:r>
    </w:p>
    <w:p w14:paraId="2C169F0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"/>
        </w:rPr>
        <w:t>2. 专用水文站：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聂市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水文站以水文监测设施周围20米为边界。</w:t>
      </w:r>
    </w:p>
    <w:p w14:paraId="502DBC3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"/>
        </w:rPr>
        <w:t>3. 水位站：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临湘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水位站以水文监测设施周围20米为边界。</w:t>
      </w:r>
    </w:p>
    <w:p w14:paraId="5DD90ED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"/>
        </w:rPr>
        <w:t>4. 雨量站：</w:t>
      </w:r>
      <w:r>
        <w:rPr>
          <w:rFonts w:hint="eastAsia"/>
          <w:lang w:val="en-US" w:eastAsia="zh-CN"/>
        </w:rPr>
        <w:t>（1）龙源、忠防、占桥、胜龙</w:t>
      </w:r>
      <w:r>
        <w:rPr>
          <w:rFonts w:hint="default"/>
          <w:lang w:val="en-US" w:eastAsia="zh-CN"/>
        </w:rPr>
        <w:t>等雨量站以雨量观测场地站点护栏内为边界。</w:t>
      </w:r>
      <w:r>
        <w:rPr>
          <w:rFonts w:hint="eastAsia"/>
          <w:lang w:val="en-US" w:eastAsia="zh-CN"/>
        </w:rPr>
        <w:t>（2）羊楼司、长塘、红仕桥、源潭雨量站不另划</w:t>
      </w:r>
      <w:r>
        <w:rPr>
          <w:rFonts w:hint="eastAsia" w:ascii="Times New Roman" w:hAnsi="Times New Roman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分保护范围，</w:t>
      </w:r>
      <w:r>
        <w:rPr>
          <w:rFonts w:hint="eastAsia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水文</w:t>
      </w:r>
      <w:r>
        <w:rPr>
          <w:rFonts w:hint="eastAsia" w:ascii="Times New Roman" w:hAnsi="Times New Roman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监测设施设备受保护。</w:t>
      </w:r>
    </w:p>
    <w:p w14:paraId="5F02476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"/>
        </w:rPr>
        <w:t>5. 墒情站：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江南、詹桥、新和、聂市、胜龙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以墒情监测场地站点护栏内为边界。</w:t>
      </w:r>
    </w:p>
    <w:p w14:paraId="46D19BF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"/>
        </w:rPr>
        <w:t>6.</w:t>
      </w:r>
      <w:r>
        <w:rPr>
          <w:rFonts w:hint="eastAsia" w:cs="Times New Roman"/>
          <w:b/>
          <w:bCs/>
          <w:kern w:val="2"/>
          <w:sz w:val="32"/>
          <w:szCs w:val="32"/>
          <w:lang w:val="en-US" w:eastAsia="zh-CN" w:bidi="ar"/>
        </w:rPr>
        <w:t xml:space="preserve"> </w:t>
      </w:r>
      <w:r>
        <w:rPr>
          <w:rFonts w:hint="eastAsia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"/>
        </w:rPr>
        <w:t>地下水监测站：</w:t>
      </w:r>
      <w:r>
        <w:rPr>
          <w:rFonts w:hint="eastAsia"/>
          <w:lang w:val="en-US" w:eastAsia="zh-CN"/>
        </w:rPr>
        <w:t>江南（水厂）地下水监测站不另划</w:t>
      </w:r>
      <w:r>
        <w:rPr>
          <w:rFonts w:hint="eastAsia" w:ascii="Times New Roman" w:hAnsi="Times New Roman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分保护范围，</w:t>
      </w:r>
      <w:r>
        <w:rPr>
          <w:rFonts w:hint="eastAsia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水文</w:t>
      </w:r>
      <w:r>
        <w:rPr>
          <w:rFonts w:hint="eastAsia" w:ascii="Times New Roman" w:hAnsi="Times New Roman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监测设施设备受保护。</w:t>
      </w:r>
    </w:p>
    <w:p w14:paraId="1A56285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eastAsia" w:cs="Times New Roman"/>
          <w:b/>
          <w:bCs/>
          <w:kern w:val="2"/>
          <w:sz w:val="32"/>
          <w:szCs w:val="32"/>
          <w:lang w:val="en-US" w:eastAsia="zh-CN" w:bidi="ar"/>
        </w:rPr>
        <w:t>7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"/>
        </w:rPr>
        <w:t xml:space="preserve">. </w:t>
      </w:r>
      <w:r>
        <w:rPr>
          <w:rFonts w:hint="eastAsia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"/>
        </w:rPr>
        <w:t>其他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"/>
        </w:rPr>
        <w:t>站</w:t>
      </w:r>
      <w:r>
        <w:rPr>
          <w:rFonts w:hint="eastAsia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"/>
        </w:rPr>
        <w:t>点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"/>
        </w:rPr>
        <w:t>：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未来新建水文监测站点参照本方案实施，不再另行发文确定保护范围。</w:t>
      </w:r>
    </w:p>
    <w:p w14:paraId="2B9B899F">
      <w:pPr>
        <w:pStyle w:val="3"/>
        <w:bidi w:val="0"/>
        <w:rPr>
          <w:rFonts w:hint="default"/>
          <w:lang w:val="en-US"/>
        </w:rPr>
      </w:pPr>
      <w:r>
        <w:rPr>
          <w:rFonts w:hint="default"/>
          <w:lang w:val="en-US" w:eastAsia="zh-CN"/>
        </w:rPr>
        <w:t>保护措施与法律责任</w:t>
      </w:r>
    </w:p>
    <w:p w14:paraId="381EB95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（一）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市水利局、市应急管理局、市财政局、市交通局、市发改委、长安街道、桃林镇、聂市镇、江南镇、詹桥镇、羊楼司镇、坦渡镇、忠防镇、长塘镇、源潭镇等</w:t>
      </w:r>
      <w:r>
        <w:rPr>
          <w:rFonts w:hint="eastAsia" w:ascii="Times New Roman" w:hAnsi="Times New Roman" w:cs="Times New Roman"/>
          <w:kern w:val="2"/>
          <w:sz w:val="32"/>
          <w:szCs w:val="32"/>
          <w:lang w:val="en-US" w:eastAsia="zh-CN" w:bidi="ar"/>
        </w:rPr>
        <w:t>相关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单位要协助做好水文设施的管理和保护工作，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划定范围内的水文测验河段、测报设施、测量标志、观测场地、站房、道路和通讯线路等设施设备，任何单位和个人不得侵占、毁坏、擅自移动或者擅自使用，不得干扰水文监测。</w:t>
      </w:r>
    </w:p>
    <w:p w14:paraId="58088C3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（二）在划定范围内，禁止从事下列活动：</w:t>
      </w:r>
    </w:p>
    <w:p w14:paraId="1712DA1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1. 种植高杆作物、堆放物料、修建建筑物；</w:t>
      </w:r>
    </w:p>
    <w:p w14:paraId="616C068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2. 取土、挖砂、采石、淘金、爆破和倾倒废弃物；</w:t>
      </w:r>
    </w:p>
    <w:p w14:paraId="393E75F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3. 在监测断面取水、排污或者在过河设备、观测场、监测断面的上空架设线路；</w:t>
      </w:r>
    </w:p>
    <w:p w14:paraId="19B272A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4. 其他对水文监测有影响的活动。</w:t>
      </w:r>
    </w:p>
    <w:p w14:paraId="5D4E3239">
      <w:pPr>
        <w:bidi w:val="0"/>
        <w:rPr>
          <w:rFonts w:hint="default" w:ascii="Times New Roman" w:hAnsi="Times New Roman"/>
          <w:lang w:val="en-US"/>
        </w:rPr>
      </w:pPr>
      <w:r>
        <w:rPr>
          <w:rFonts w:hint="default" w:ascii="Times New Roman" w:hAnsi="Times New Roman"/>
          <w:lang w:val="en-US" w:eastAsia="zh-CN"/>
        </w:rPr>
        <w:t>（三）对划定范围内需要搬迁水文设施的建设工程，以及其他影响水文监测功能的建设活动，应事先征得</w:t>
      </w:r>
      <w:r>
        <w:rPr>
          <w:rFonts w:hint="eastAsia" w:ascii="Times New Roman" w:hAnsi="Times New Roman"/>
          <w:lang w:val="en-US" w:eastAsia="zh-CN"/>
        </w:rPr>
        <w:t>市</w:t>
      </w:r>
      <w:r>
        <w:rPr>
          <w:rFonts w:hint="default" w:ascii="Times New Roman" w:hAnsi="Times New Roman"/>
          <w:lang w:val="en-US" w:eastAsia="zh-CN"/>
        </w:rPr>
        <w:t>水文部门同意，经上级主管部门批准后方可实施。相关水文设施的搬迁、建设费用由建设单位承担。</w:t>
      </w:r>
    </w:p>
    <w:p w14:paraId="16F37E34">
      <w:pPr>
        <w:bidi w:val="0"/>
        <w:rPr>
          <w:rFonts w:hint="default" w:ascii="Times New Roman" w:hAnsi="Times New Roman"/>
          <w:lang w:val="en-US"/>
        </w:rPr>
      </w:pPr>
      <w:r>
        <w:rPr>
          <w:rFonts w:hint="default" w:ascii="Times New Roman" w:hAnsi="Times New Roman"/>
          <w:lang w:val="en-US" w:eastAsia="zh-CN"/>
        </w:rPr>
        <w:t>（四）对违反相关法律法规规定的，依法严肃处理，情节严重构成犯罪的，移送司法机关追究相关责任。</w:t>
      </w:r>
    </w:p>
    <w:p w14:paraId="39911E66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例外情形</w:t>
      </w:r>
    </w:p>
    <w:p w14:paraId="1B4BF8A7">
      <w:pPr>
        <w:bidi w:val="0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在本通告划定水文监测环境保护范围前已合法存在的建筑物、设施或已纳入县级以上人民政府批准的规划项目，在不影响水文监测功能的前提下，经</w:t>
      </w:r>
      <w:r>
        <w:rPr>
          <w:rFonts w:hint="eastAsia" w:ascii="Times New Roman" w:hAnsi="Times New Roman"/>
          <w:lang w:val="en-US" w:eastAsia="zh-CN"/>
        </w:rPr>
        <w:t>县</w:t>
      </w:r>
      <w:r>
        <w:rPr>
          <w:rFonts w:hint="eastAsia" w:ascii="Times New Roman" w:hAnsi="Times New Roman"/>
        </w:rPr>
        <w:t>水文主管部门会同相关部门评估同意，可予以保留或继续建设。</w:t>
      </w:r>
    </w:p>
    <w:p w14:paraId="7016296D">
      <w:pPr>
        <w:pStyle w:val="3"/>
        <w:bidi w:val="0"/>
        <w:rPr>
          <w:rFonts w:hint="default"/>
          <w:lang w:val="en-US"/>
        </w:rPr>
      </w:pPr>
      <w:r>
        <w:rPr>
          <w:rFonts w:hint="eastAsia"/>
          <w:lang w:val="en-US" w:eastAsia="zh-CN"/>
        </w:rPr>
        <w:t>施行时间</w:t>
      </w:r>
    </w:p>
    <w:p w14:paraId="5B965FEB">
      <w:pPr>
        <w:bidi w:val="0"/>
        <w:rPr>
          <w:rFonts w:hint="default" w:ascii="Times New Roman" w:hAnsi="Times New Roman"/>
          <w:lang w:val="en-US" w:eastAsia="zh-CN"/>
        </w:rPr>
        <w:sectPr>
          <w:footerReference r:id="rId5" w:type="default"/>
          <w:pgSz w:w="11906" w:h="16838"/>
          <w:pgMar w:top="1440" w:right="1417" w:bottom="1440" w:left="1800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Times New Roman" w:hAnsi="Times New Roman"/>
          <w:lang w:val="en-US" w:eastAsia="zh-CN"/>
        </w:rPr>
        <w:t>本通告自发布之日起施行</w:t>
      </w:r>
      <w:r>
        <w:rPr>
          <w:rFonts w:hint="default" w:ascii="Times New Roman" w:hAnsi="Times New Roman"/>
          <w:lang w:val="en-US" w:eastAsia="zh-CN"/>
        </w:rPr>
        <w:t>。</w:t>
      </w:r>
    </w:p>
    <w:p w14:paraId="3DD6E265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kern w:val="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kern w:val="2"/>
          <w:lang w:eastAsia="zh-CN"/>
        </w:rPr>
        <w:t>附件</w:t>
      </w:r>
      <w:r>
        <w:rPr>
          <w:rFonts w:hint="eastAsia" w:eastAsia="黑体" w:cs="Times New Roman"/>
          <w:b w:val="0"/>
          <w:bCs w:val="0"/>
          <w:kern w:val="2"/>
          <w:lang w:val="en-US" w:eastAsia="zh-CN"/>
        </w:rPr>
        <w:t>1</w:t>
      </w:r>
    </w:p>
    <w:p w14:paraId="24BACF75">
      <w:pPr>
        <w:pStyle w:val="2"/>
        <w:bidi w:val="0"/>
        <w:rPr>
          <w:rFonts w:hint="default" w:ascii="Times New Roman" w:hAnsi="Times New Roman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临湘市</w:t>
      </w:r>
      <w:r>
        <w:rPr>
          <w:rFonts w:hint="default" w:ascii="Times New Roman" w:hAnsi="Times New Roman"/>
          <w:lang w:eastAsia="zh-CN"/>
        </w:rPr>
        <w:t>水文水位站</w:t>
      </w:r>
      <w:r>
        <w:rPr>
          <w:rFonts w:hint="eastAsia"/>
          <w:lang w:val="en-US" w:eastAsia="zh-CN"/>
        </w:rPr>
        <w:t>基本情况及划定保护范围</w:t>
      </w:r>
    </w:p>
    <w:tbl>
      <w:tblPr>
        <w:tblStyle w:val="12"/>
        <w:tblW w:w="499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715"/>
        <w:gridCol w:w="1187"/>
        <w:gridCol w:w="912"/>
        <w:gridCol w:w="1079"/>
        <w:gridCol w:w="1865"/>
        <w:gridCol w:w="1326"/>
        <w:gridCol w:w="1326"/>
        <w:gridCol w:w="1022"/>
        <w:gridCol w:w="5175"/>
      </w:tblGrid>
      <w:tr w14:paraId="73A3B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94" w:hRule="atLeast"/>
        </w:trPr>
        <w:tc>
          <w:tcPr>
            <w:tcW w:w="244" w:type="pct"/>
            <w:vMerge w:val="restart"/>
            <w:shd w:val="clear" w:color="auto" w:fill="auto"/>
            <w:vAlign w:val="center"/>
          </w:tcPr>
          <w:p w14:paraId="4BC5EF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406" w:type="pct"/>
            <w:vMerge w:val="restart"/>
            <w:shd w:val="clear" w:color="auto" w:fill="auto"/>
            <w:vAlign w:val="center"/>
          </w:tcPr>
          <w:p w14:paraId="125E0D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  <w:t>测站编码</w:t>
            </w:r>
          </w:p>
        </w:tc>
        <w:tc>
          <w:tcPr>
            <w:tcW w:w="312" w:type="pct"/>
            <w:vMerge w:val="restart"/>
            <w:shd w:val="clear" w:color="auto" w:fill="auto"/>
            <w:vAlign w:val="center"/>
          </w:tcPr>
          <w:p w14:paraId="3CD867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  <w:t>站名</w:t>
            </w:r>
          </w:p>
        </w:tc>
        <w:tc>
          <w:tcPr>
            <w:tcW w:w="369" w:type="pct"/>
            <w:vMerge w:val="restart"/>
            <w:shd w:val="clear" w:color="auto" w:fill="auto"/>
            <w:vAlign w:val="center"/>
          </w:tcPr>
          <w:p w14:paraId="668F3D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测站类别</w:t>
            </w:r>
          </w:p>
        </w:tc>
        <w:tc>
          <w:tcPr>
            <w:tcW w:w="638" w:type="pct"/>
            <w:vMerge w:val="restart"/>
            <w:shd w:val="clear" w:color="auto" w:fill="auto"/>
            <w:vAlign w:val="center"/>
          </w:tcPr>
          <w:p w14:paraId="65ED6A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测站断面位置</w:t>
            </w:r>
          </w:p>
        </w:tc>
        <w:tc>
          <w:tcPr>
            <w:tcW w:w="907" w:type="pct"/>
            <w:gridSpan w:val="2"/>
            <w:shd w:val="clear" w:color="auto" w:fill="auto"/>
            <w:vAlign w:val="center"/>
          </w:tcPr>
          <w:p w14:paraId="0566FB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  <w:t>坐标</w:t>
            </w:r>
          </w:p>
        </w:tc>
        <w:tc>
          <w:tcPr>
            <w:tcW w:w="349" w:type="pct"/>
            <w:vMerge w:val="restart"/>
            <w:shd w:val="clear" w:color="auto" w:fill="auto"/>
            <w:vAlign w:val="center"/>
          </w:tcPr>
          <w:p w14:paraId="7BF188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河流名称</w:t>
            </w:r>
          </w:p>
        </w:tc>
        <w:tc>
          <w:tcPr>
            <w:tcW w:w="1771" w:type="pct"/>
            <w:vMerge w:val="restart"/>
            <w:shd w:val="clear" w:color="auto" w:fill="auto"/>
            <w:vAlign w:val="center"/>
          </w:tcPr>
          <w:p w14:paraId="6C393F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保护范围</w:t>
            </w:r>
          </w:p>
        </w:tc>
      </w:tr>
      <w:tr w14:paraId="66B27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94" w:hRule="atLeast"/>
        </w:trPr>
        <w:tc>
          <w:tcPr>
            <w:tcW w:w="244" w:type="pct"/>
            <w:vMerge w:val="continue"/>
            <w:shd w:val="clear" w:color="auto" w:fill="auto"/>
            <w:vAlign w:val="center"/>
          </w:tcPr>
          <w:p w14:paraId="22770C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406" w:type="pct"/>
            <w:vMerge w:val="continue"/>
            <w:shd w:val="clear" w:color="auto" w:fill="auto"/>
            <w:vAlign w:val="center"/>
          </w:tcPr>
          <w:p w14:paraId="46D4CF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312" w:type="pct"/>
            <w:vMerge w:val="continue"/>
            <w:shd w:val="clear" w:color="auto" w:fill="auto"/>
            <w:vAlign w:val="center"/>
          </w:tcPr>
          <w:p w14:paraId="76775F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369" w:type="pct"/>
            <w:vMerge w:val="continue"/>
            <w:shd w:val="clear" w:color="auto" w:fill="auto"/>
            <w:vAlign w:val="center"/>
          </w:tcPr>
          <w:p w14:paraId="27491E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638" w:type="pct"/>
            <w:vMerge w:val="continue"/>
            <w:shd w:val="clear" w:color="auto" w:fill="auto"/>
            <w:vAlign w:val="center"/>
          </w:tcPr>
          <w:p w14:paraId="3147CF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14:paraId="40C9E0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  <w:t>东经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195B32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  <w:t>北纬</w:t>
            </w:r>
          </w:p>
        </w:tc>
        <w:tc>
          <w:tcPr>
            <w:tcW w:w="349" w:type="pct"/>
            <w:vMerge w:val="continue"/>
            <w:tcBorders/>
            <w:shd w:val="clear" w:color="auto" w:fill="auto"/>
            <w:vAlign w:val="center"/>
          </w:tcPr>
          <w:p w14:paraId="29E4C9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771" w:type="pct"/>
            <w:vMerge w:val="continue"/>
            <w:tcBorders/>
            <w:shd w:val="clear" w:color="auto" w:fill="auto"/>
            <w:vAlign w:val="center"/>
          </w:tcPr>
          <w:p w14:paraId="65ADFC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04146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244" w:type="pct"/>
            <w:vMerge w:val="restart"/>
            <w:shd w:val="clear" w:color="auto" w:fill="auto"/>
            <w:vAlign w:val="center"/>
          </w:tcPr>
          <w:p w14:paraId="37AC04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06" w:type="pct"/>
            <w:vMerge w:val="restart"/>
            <w:shd w:val="clear" w:color="auto" w:fill="auto"/>
            <w:vAlign w:val="center"/>
          </w:tcPr>
          <w:p w14:paraId="399CC8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61511500</w:t>
            </w:r>
          </w:p>
        </w:tc>
        <w:tc>
          <w:tcPr>
            <w:tcW w:w="312" w:type="pct"/>
            <w:vMerge w:val="restart"/>
            <w:shd w:val="clear" w:color="auto" w:fill="auto"/>
            <w:vAlign w:val="center"/>
          </w:tcPr>
          <w:p w14:paraId="532B86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桃林(二)</w:t>
            </w:r>
          </w:p>
        </w:tc>
        <w:tc>
          <w:tcPr>
            <w:tcW w:w="369" w:type="pct"/>
            <w:vMerge w:val="restart"/>
            <w:shd w:val="clear" w:color="auto" w:fill="auto"/>
            <w:vAlign w:val="center"/>
          </w:tcPr>
          <w:p w14:paraId="26EB39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国家基本水文站</w:t>
            </w:r>
          </w:p>
        </w:tc>
        <w:tc>
          <w:tcPr>
            <w:tcW w:w="638" w:type="pct"/>
            <w:vMerge w:val="restart"/>
            <w:shd w:val="clear" w:color="auto" w:fill="auto"/>
            <w:vAlign w:val="center"/>
          </w:tcPr>
          <w:p w14:paraId="41EFC8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湖南省岳阳市临湘市桃林镇元冲村</w:t>
            </w:r>
          </w:p>
        </w:tc>
        <w:tc>
          <w:tcPr>
            <w:tcW w:w="453" w:type="pct"/>
            <w:vMerge w:val="restart"/>
            <w:shd w:val="clear" w:color="auto" w:fill="auto"/>
            <w:vAlign w:val="center"/>
          </w:tcPr>
          <w:p w14:paraId="009681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113°24′40″</w:t>
            </w:r>
          </w:p>
        </w:tc>
        <w:tc>
          <w:tcPr>
            <w:tcW w:w="453" w:type="pct"/>
            <w:vMerge w:val="restart"/>
            <w:shd w:val="clear" w:color="auto" w:fill="auto"/>
            <w:vAlign w:val="center"/>
          </w:tcPr>
          <w:p w14:paraId="7F2B79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29°20′8″</w:t>
            </w:r>
          </w:p>
        </w:tc>
        <w:tc>
          <w:tcPr>
            <w:tcW w:w="349" w:type="pct"/>
            <w:vMerge w:val="restart"/>
            <w:shd w:val="clear" w:color="auto" w:fill="auto"/>
            <w:vAlign w:val="center"/>
          </w:tcPr>
          <w:p w14:paraId="2C7480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游港河</w:t>
            </w:r>
          </w:p>
        </w:tc>
        <w:tc>
          <w:tcPr>
            <w:tcW w:w="1771" w:type="pct"/>
            <w:shd w:val="clear" w:color="auto" w:fill="auto"/>
            <w:vAlign w:val="center"/>
          </w:tcPr>
          <w:p w14:paraId="09E258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河段</w:t>
            </w: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纵向：以水文站测流断面上下游各1000米为边界；</w:t>
            </w:r>
          </w:p>
          <w:p w14:paraId="2A08C9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河段</w:t>
            </w: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横向：以水文监测过河索道两岸固定建筑物外20米为边界。</w:t>
            </w:r>
          </w:p>
        </w:tc>
      </w:tr>
      <w:tr w14:paraId="578AC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244" w:type="pct"/>
            <w:vMerge w:val="continue"/>
            <w:shd w:val="clear" w:color="auto" w:fill="auto"/>
            <w:vAlign w:val="center"/>
          </w:tcPr>
          <w:p w14:paraId="0AFC9A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</w:pPr>
          </w:p>
        </w:tc>
        <w:tc>
          <w:tcPr>
            <w:tcW w:w="406" w:type="pct"/>
            <w:vMerge w:val="continue"/>
            <w:shd w:val="clear" w:color="auto" w:fill="auto"/>
            <w:vAlign w:val="center"/>
          </w:tcPr>
          <w:p w14:paraId="7AEA9E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</w:pPr>
          </w:p>
        </w:tc>
        <w:tc>
          <w:tcPr>
            <w:tcW w:w="312" w:type="pct"/>
            <w:vMerge w:val="continue"/>
            <w:shd w:val="clear" w:color="auto" w:fill="auto"/>
            <w:vAlign w:val="center"/>
          </w:tcPr>
          <w:p w14:paraId="49344F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</w:pPr>
          </w:p>
        </w:tc>
        <w:tc>
          <w:tcPr>
            <w:tcW w:w="369" w:type="pct"/>
            <w:vMerge w:val="continue"/>
            <w:shd w:val="clear" w:color="auto" w:fill="auto"/>
            <w:vAlign w:val="center"/>
          </w:tcPr>
          <w:p w14:paraId="4461A7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</w:pPr>
          </w:p>
        </w:tc>
        <w:tc>
          <w:tcPr>
            <w:tcW w:w="638" w:type="pct"/>
            <w:vMerge w:val="continue"/>
            <w:shd w:val="clear" w:color="auto" w:fill="auto"/>
            <w:vAlign w:val="center"/>
          </w:tcPr>
          <w:p w14:paraId="59A8BC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</w:pPr>
          </w:p>
        </w:tc>
        <w:tc>
          <w:tcPr>
            <w:tcW w:w="453" w:type="pct"/>
            <w:vMerge w:val="continue"/>
            <w:shd w:val="clear" w:color="auto" w:fill="auto"/>
            <w:vAlign w:val="center"/>
          </w:tcPr>
          <w:p w14:paraId="4FF3DF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</w:pPr>
          </w:p>
        </w:tc>
        <w:tc>
          <w:tcPr>
            <w:tcW w:w="453" w:type="pct"/>
            <w:vMerge w:val="continue"/>
            <w:shd w:val="clear" w:color="auto" w:fill="auto"/>
            <w:vAlign w:val="center"/>
          </w:tcPr>
          <w:p w14:paraId="5BC820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</w:pPr>
          </w:p>
        </w:tc>
        <w:tc>
          <w:tcPr>
            <w:tcW w:w="349" w:type="pct"/>
            <w:vMerge w:val="continue"/>
            <w:shd w:val="clear" w:color="auto" w:fill="auto"/>
            <w:vAlign w:val="center"/>
          </w:tcPr>
          <w:p w14:paraId="7AA1A3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</w:pPr>
          </w:p>
        </w:tc>
        <w:tc>
          <w:tcPr>
            <w:tcW w:w="1771" w:type="pct"/>
            <w:shd w:val="clear" w:color="auto" w:fill="auto"/>
            <w:vAlign w:val="center"/>
          </w:tcPr>
          <w:p w14:paraId="349A5D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监测设施周围环境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：</w:t>
            </w: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以降蒸观测场地周围30米、其他监测设施周围20米为边界。</w:t>
            </w:r>
          </w:p>
        </w:tc>
      </w:tr>
      <w:tr w14:paraId="5B567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244" w:type="pct"/>
            <w:vMerge w:val="restart"/>
            <w:shd w:val="clear" w:color="auto" w:fill="auto"/>
            <w:vAlign w:val="center"/>
          </w:tcPr>
          <w:p w14:paraId="791060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06" w:type="pct"/>
            <w:vMerge w:val="restart"/>
            <w:shd w:val="clear" w:color="auto" w:fill="auto"/>
            <w:vAlign w:val="center"/>
          </w:tcPr>
          <w:p w14:paraId="1B6B81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61511890</w:t>
            </w:r>
          </w:p>
        </w:tc>
        <w:tc>
          <w:tcPr>
            <w:tcW w:w="312" w:type="pct"/>
            <w:vMerge w:val="restart"/>
            <w:shd w:val="clear" w:color="auto" w:fill="auto"/>
            <w:vAlign w:val="center"/>
          </w:tcPr>
          <w:p w14:paraId="45DD0D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聂市</w:t>
            </w:r>
          </w:p>
        </w:tc>
        <w:tc>
          <w:tcPr>
            <w:tcW w:w="369" w:type="pct"/>
            <w:vMerge w:val="restart"/>
            <w:shd w:val="clear" w:color="auto" w:fill="auto"/>
            <w:vAlign w:val="center"/>
          </w:tcPr>
          <w:p w14:paraId="2F5EAA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湖南省专用水文站</w:t>
            </w:r>
          </w:p>
        </w:tc>
        <w:tc>
          <w:tcPr>
            <w:tcW w:w="638" w:type="pct"/>
            <w:vMerge w:val="restart"/>
            <w:shd w:val="clear" w:color="auto" w:fill="auto"/>
            <w:vAlign w:val="center"/>
          </w:tcPr>
          <w:p w14:paraId="367716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湖南省岳阳市临湘市聂市镇</w:t>
            </w:r>
          </w:p>
        </w:tc>
        <w:tc>
          <w:tcPr>
            <w:tcW w:w="453" w:type="pct"/>
            <w:vMerge w:val="restart"/>
            <w:shd w:val="clear" w:color="auto" w:fill="auto"/>
            <w:vAlign w:val="center"/>
          </w:tcPr>
          <w:p w14:paraId="713319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113°29′35″</w:t>
            </w:r>
          </w:p>
        </w:tc>
        <w:tc>
          <w:tcPr>
            <w:tcW w:w="453" w:type="pct"/>
            <w:vMerge w:val="restart"/>
            <w:shd w:val="clear" w:color="auto" w:fill="auto"/>
            <w:vAlign w:val="center"/>
          </w:tcPr>
          <w:p w14:paraId="51D464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29°34′09″</w:t>
            </w:r>
          </w:p>
        </w:tc>
        <w:tc>
          <w:tcPr>
            <w:tcW w:w="349" w:type="pct"/>
            <w:vMerge w:val="restart"/>
            <w:shd w:val="clear" w:color="auto" w:fill="auto"/>
            <w:vAlign w:val="center"/>
          </w:tcPr>
          <w:p w14:paraId="7CABB2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源潭河</w:t>
            </w:r>
          </w:p>
        </w:tc>
        <w:tc>
          <w:tcPr>
            <w:tcW w:w="1771" w:type="pct"/>
            <w:shd w:val="clear" w:color="auto" w:fill="auto"/>
            <w:vAlign w:val="center"/>
          </w:tcPr>
          <w:p w14:paraId="640C72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河段</w:t>
            </w: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纵向：以水文站测流断面上下游各500米为边界；</w:t>
            </w:r>
          </w:p>
          <w:p w14:paraId="5F4166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河段</w:t>
            </w: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横向：以水文监测过河索道(或衍梁)两岸固定建筑物外20米为边界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。</w:t>
            </w:r>
          </w:p>
        </w:tc>
      </w:tr>
      <w:tr w14:paraId="0486C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244" w:type="pct"/>
            <w:vMerge w:val="continue"/>
            <w:shd w:val="clear" w:color="auto" w:fill="auto"/>
            <w:vAlign w:val="center"/>
          </w:tcPr>
          <w:p w14:paraId="03ABAD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</w:pPr>
          </w:p>
        </w:tc>
        <w:tc>
          <w:tcPr>
            <w:tcW w:w="406" w:type="pct"/>
            <w:vMerge w:val="continue"/>
            <w:shd w:val="clear" w:color="auto" w:fill="auto"/>
            <w:vAlign w:val="center"/>
          </w:tcPr>
          <w:p w14:paraId="0DDA4D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</w:pPr>
          </w:p>
        </w:tc>
        <w:tc>
          <w:tcPr>
            <w:tcW w:w="312" w:type="pct"/>
            <w:vMerge w:val="continue"/>
            <w:shd w:val="clear" w:color="auto" w:fill="auto"/>
            <w:vAlign w:val="center"/>
          </w:tcPr>
          <w:p w14:paraId="5F12DC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</w:pPr>
          </w:p>
        </w:tc>
        <w:tc>
          <w:tcPr>
            <w:tcW w:w="369" w:type="pct"/>
            <w:vMerge w:val="continue"/>
            <w:shd w:val="clear" w:color="auto" w:fill="auto"/>
            <w:vAlign w:val="center"/>
          </w:tcPr>
          <w:p w14:paraId="178E72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</w:pPr>
          </w:p>
        </w:tc>
        <w:tc>
          <w:tcPr>
            <w:tcW w:w="638" w:type="pct"/>
            <w:vMerge w:val="continue"/>
            <w:shd w:val="clear" w:color="auto" w:fill="auto"/>
            <w:vAlign w:val="center"/>
          </w:tcPr>
          <w:p w14:paraId="04B693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</w:pPr>
          </w:p>
        </w:tc>
        <w:tc>
          <w:tcPr>
            <w:tcW w:w="453" w:type="pct"/>
            <w:vMerge w:val="continue"/>
            <w:shd w:val="clear" w:color="auto" w:fill="auto"/>
            <w:vAlign w:val="center"/>
          </w:tcPr>
          <w:p w14:paraId="0E97D8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</w:pPr>
          </w:p>
        </w:tc>
        <w:tc>
          <w:tcPr>
            <w:tcW w:w="453" w:type="pct"/>
            <w:vMerge w:val="continue"/>
            <w:shd w:val="clear" w:color="auto" w:fill="auto"/>
            <w:vAlign w:val="center"/>
          </w:tcPr>
          <w:p w14:paraId="71DA47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</w:pPr>
          </w:p>
        </w:tc>
        <w:tc>
          <w:tcPr>
            <w:tcW w:w="349" w:type="pct"/>
            <w:vMerge w:val="continue"/>
            <w:shd w:val="clear" w:color="auto" w:fill="auto"/>
            <w:vAlign w:val="center"/>
          </w:tcPr>
          <w:p w14:paraId="5EDDEA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</w:pPr>
          </w:p>
        </w:tc>
        <w:tc>
          <w:tcPr>
            <w:tcW w:w="1771" w:type="pct"/>
            <w:shd w:val="clear" w:color="auto" w:fill="auto"/>
            <w:vAlign w:val="center"/>
          </w:tcPr>
          <w:p w14:paraId="7D3B66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监测设施周围环境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：以水文监测设施周围20米为边界。</w:t>
            </w:r>
          </w:p>
        </w:tc>
      </w:tr>
      <w:tr w14:paraId="76E2B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244" w:type="pct"/>
            <w:vMerge w:val="restart"/>
            <w:shd w:val="clear" w:color="auto" w:fill="auto"/>
            <w:vAlign w:val="center"/>
          </w:tcPr>
          <w:p w14:paraId="3C4A86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06" w:type="pct"/>
            <w:vMerge w:val="restart"/>
            <w:shd w:val="clear" w:color="auto" w:fill="auto"/>
            <w:vAlign w:val="center"/>
          </w:tcPr>
          <w:p w14:paraId="40F028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617E2950</w:t>
            </w:r>
          </w:p>
        </w:tc>
        <w:tc>
          <w:tcPr>
            <w:tcW w:w="312" w:type="pct"/>
            <w:vMerge w:val="restart"/>
            <w:shd w:val="clear" w:color="auto" w:fill="auto"/>
            <w:vAlign w:val="center"/>
          </w:tcPr>
          <w:p w14:paraId="1A55AA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临湘</w:t>
            </w:r>
          </w:p>
        </w:tc>
        <w:tc>
          <w:tcPr>
            <w:tcW w:w="369" w:type="pct"/>
            <w:vMerge w:val="restart"/>
            <w:shd w:val="clear" w:color="auto" w:fill="auto"/>
            <w:vAlign w:val="center"/>
          </w:tcPr>
          <w:p w14:paraId="75E434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湖南省专用水位站</w:t>
            </w:r>
          </w:p>
        </w:tc>
        <w:tc>
          <w:tcPr>
            <w:tcW w:w="638" w:type="pct"/>
            <w:vMerge w:val="restart"/>
            <w:shd w:val="clear" w:color="auto" w:fill="auto"/>
            <w:vAlign w:val="center"/>
          </w:tcPr>
          <w:p w14:paraId="04171B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湖南省岳阳市临湘市长安镇飞跃村</w:t>
            </w:r>
          </w:p>
        </w:tc>
        <w:tc>
          <w:tcPr>
            <w:tcW w:w="453" w:type="pct"/>
            <w:vMerge w:val="restart"/>
            <w:shd w:val="clear" w:color="auto" w:fill="auto"/>
            <w:vAlign w:val="center"/>
          </w:tcPr>
          <w:p w14:paraId="176596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113°26′59″</w:t>
            </w:r>
          </w:p>
        </w:tc>
        <w:tc>
          <w:tcPr>
            <w:tcW w:w="453" w:type="pct"/>
            <w:vMerge w:val="restart"/>
            <w:shd w:val="clear" w:color="auto" w:fill="auto"/>
            <w:vAlign w:val="center"/>
          </w:tcPr>
          <w:p w14:paraId="7A2FE3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29°28′07″</w:t>
            </w:r>
          </w:p>
        </w:tc>
        <w:tc>
          <w:tcPr>
            <w:tcW w:w="349" w:type="pct"/>
            <w:vMerge w:val="restart"/>
            <w:shd w:val="clear" w:color="auto" w:fill="auto"/>
            <w:vAlign w:val="center"/>
          </w:tcPr>
          <w:p w14:paraId="16EA62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源潭河</w:t>
            </w:r>
          </w:p>
        </w:tc>
        <w:tc>
          <w:tcPr>
            <w:tcW w:w="1771" w:type="pct"/>
            <w:shd w:val="clear" w:color="auto" w:fill="auto"/>
            <w:vAlign w:val="center"/>
          </w:tcPr>
          <w:p w14:paraId="2B1C24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河段</w:t>
            </w: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纵向：以水位站基本水尺断面上下游各500米为边界；</w:t>
            </w:r>
          </w:p>
          <w:p w14:paraId="343C40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河段</w:t>
            </w: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横向：以两岸水文固定建筑物外20米为边界。</w:t>
            </w:r>
          </w:p>
        </w:tc>
      </w:tr>
      <w:tr w14:paraId="49E8A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244" w:type="pct"/>
            <w:vMerge w:val="continue"/>
            <w:shd w:val="clear" w:color="auto" w:fill="auto"/>
            <w:vAlign w:val="center"/>
          </w:tcPr>
          <w:p w14:paraId="4D5AB4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</w:pPr>
          </w:p>
        </w:tc>
        <w:tc>
          <w:tcPr>
            <w:tcW w:w="406" w:type="pct"/>
            <w:vMerge w:val="continue"/>
            <w:shd w:val="clear" w:color="auto" w:fill="auto"/>
            <w:vAlign w:val="center"/>
          </w:tcPr>
          <w:p w14:paraId="78B541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</w:pPr>
          </w:p>
        </w:tc>
        <w:tc>
          <w:tcPr>
            <w:tcW w:w="312" w:type="pct"/>
            <w:vMerge w:val="continue"/>
            <w:shd w:val="clear" w:color="auto" w:fill="auto"/>
            <w:vAlign w:val="center"/>
          </w:tcPr>
          <w:p w14:paraId="405502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</w:pPr>
          </w:p>
        </w:tc>
        <w:tc>
          <w:tcPr>
            <w:tcW w:w="369" w:type="pct"/>
            <w:vMerge w:val="continue"/>
            <w:shd w:val="clear" w:color="auto" w:fill="auto"/>
            <w:vAlign w:val="center"/>
          </w:tcPr>
          <w:p w14:paraId="5E2696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</w:pPr>
          </w:p>
        </w:tc>
        <w:tc>
          <w:tcPr>
            <w:tcW w:w="638" w:type="pct"/>
            <w:vMerge w:val="continue"/>
            <w:shd w:val="clear" w:color="auto" w:fill="auto"/>
            <w:vAlign w:val="center"/>
          </w:tcPr>
          <w:p w14:paraId="741581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</w:pPr>
          </w:p>
        </w:tc>
        <w:tc>
          <w:tcPr>
            <w:tcW w:w="453" w:type="pct"/>
            <w:vMerge w:val="continue"/>
            <w:shd w:val="clear" w:color="auto" w:fill="auto"/>
            <w:vAlign w:val="center"/>
          </w:tcPr>
          <w:p w14:paraId="64750A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</w:pPr>
          </w:p>
        </w:tc>
        <w:tc>
          <w:tcPr>
            <w:tcW w:w="453" w:type="pct"/>
            <w:vMerge w:val="continue"/>
            <w:shd w:val="clear" w:color="auto" w:fill="auto"/>
            <w:vAlign w:val="center"/>
          </w:tcPr>
          <w:p w14:paraId="2120F4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</w:pPr>
          </w:p>
        </w:tc>
        <w:tc>
          <w:tcPr>
            <w:tcW w:w="349" w:type="pct"/>
            <w:vMerge w:val="continue"/>
            <w:shd w:val="clear" w:color="auto" w:fill="auto"/>
            <w:vAlign w:val="center"/>
          </w:tcPr>
          <w:p w14:paraId="11B825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</w:pPr>
          </w:p>
        </w:tc>
        <w:tc>
          <w:tcPr>
            <w:tcW w:w="1771" w:type="pct"/>
            <w:shd w:val="clear" w:color="auto" w:fill="auto"/>
            <w:vAlign w:val="center"/>
          </w:tcPr>
          <w:p w14:paraId="2156F2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监测设施周围环境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：以水文监测设施周围20米为边界。</w:t>
            </w:r>
          </w:p>
        </w:tc>
      </w:tr>
    </w:tbl>
    <w:p w14:paraId="3192AA22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kern w:val="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kern w:val="2"/>
          <w:lang w:eastAsia="zh-CN"/>
        </w:rPr>
        <w:t>附件</w:t>
      </w:r>
      <w:r>
        <w:rPr>
          <w:rFonts w:hint="eastAsia" w:eastAsia="黑体" w:cs="Times New Roman"/>
          <w:b w:val="0"/>
          <w:bCs w:val="0"/>
          <w:kern w:val="2"/>
          <w:lang w:val="en-US" w:eastAsia="zh-CN"/>
        </w:rPr>
        <w:t>2</w:t>
      </w:r>
    </w:p>
    <w:p w14:paraId="4C269A89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临湘市</w:t>
      </w:r>
      <w:r>
        <w:rPr>
          <w:rFonts w:hint="default" w:ascii="Times New Roman" w:hAnsi="Times New Roman"/>
          <w:lang w:eastAsia="zh-CN"/>
        </w:rPr>
        <w:t>雨量站</w:t>
      </w:r>
      <w:r>
        <w:rPr>
          <w:rFonts w:hint="eastAsia"/>
          <w:lang w:val="en-US" w:eastAsia="zh-CN"/>
        </w:rPr>
        <w:t>基本情况及划定保护范围</w:t>
      </w:r>
    </w:p>
    <w:tbl>
      <w:tblPr>
        <w:tblStyle w:val="12"/>
        <w:tblW w:w="499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715"/>
        <w:gridCol w:w="1187"/>
        <w:gridCol w:w="912"/>
        <w:gridCol w:w="1947"/>
        <w:gridCol w:w="2316"/>
        <w:gridCol w:w="1309"/>
        <w:gridCol w:w="1310"/>
        <w:gridCol w:w="1500"/>
        <w:gridCol w:w="3411"/>
      </w:tblGrid>
      <w:tr w14:paraId="51DEF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</w:trPr>
        <w:tc>
          <w:tcPr>
            <w:tcW w:w="244" w:type="pct"/>
            <w:vMerge w:val="restart"/>
            <w:shd w:val="clear" w:color="auto" w:fill="auto"/>
            <w:vAlign w:val="center"/>
          </w:tcPr>
          <w:p w14:paraId="2DA5BD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406" w:type="pct"/>
            <w:vMerge w:val="restart"/>
            <w:shd w:val="clear" w:color="auto" w:fill="auto"/>
            <w:vAlign w:val="center"/>
          </w:tcPr>
          <w:p w14:paraId="048D4B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  <w:t>测站编码</w:t>
            </w:r>
          </w:p>
        </w:tc>
        <w:tc>
          <w:tcPr>
            <w:tcW w:w="312" w:type="pct"/>
            <w:vMerge w:val="restart"/>
            <w:shd w:val="clear" w:color="auto" w:fill="auto"/>
            <w:vAlign w:val="center"/>
          </w:tcPr>
          <w:p w14:paraId="410B61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  <w:t>站名</w:t>
            </w:r>
          </w:p>
        </w:tc>
        <w:tc>
          <w:tcPr>
            <w:tcW w:w="666" w:type="pct"/>
            <w:vMerge w:val="restart"/>
            <w:shd w:val="clear" w:color="auto" w:fill="auto"/>
            <w:vAlign w:val="center"/>
          </w:tcPr>
          <w:p w14:paraId="7ACA68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测站类别</w:t>
            </w:r>
          </w:p>
        </w:tc>
        <w:tc>
          <w:tcPr>
            <w:tcW w:w="792" w:type="pct"/>
            <w:vMerge w:val="restart"/>
            <w:shd w:val="clear" w:color="auto" w:fill="auto"/>
            <w:vAlign w:val="center"/>
          </w:tcPr>
          <w:p w14:paraId="10922E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测站位置</w:t>
            </w:r>
          </w:p>
        </w:tc>
        <w:tc>
          <w:tcPr>
            <w:tcW w:w="896" w:type="pct"/>
            <w:gridSpan w:val="2"/>
            <w:shd w:val="clear" w:color="auto" w:fill="auto"/>
            <w:vAlign w:val="center"/>
          </w:tcPr>
          <w:p w14:paraId="007297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  <w:t>坐标</w:t>
            </w:r>
          </w:p>
        </w:tc>
        <w:tc>
          <w:tcPr>
            <w:tcW w:w="513" w:type="pct"/>
            <w:vMerge w:val="restart"/>
            <w:shd w:val="clear" w:color="auto" w:fill="auto"/>
            <w:vAlign w:val="center"/>
          </w:tcPr>
          <w:p w14:paraId="3B2728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河流名称</w:t>
            </w:r>
          </w:p>
        </w:tc>
        <w:tc>
          <w:tcPr>
            <w:tcW w:w="1167" w:type="pct"/>
            <w:vMerge w:val="restart"/>
            <w:shd w:val="clear" w:color="auto" w:fill="auto"/>
            <w:vAlign w:val="center"/>
          </w:tcPr>
          <w:p w14:paraId="4FC992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保护范围</w:t>
            </w:r>
          </w:p>
        </w:tc>
      </w:tr>
      <w:tr w14:paraId="05962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</w:trPr>
        <w:tc>
          <w:tcPr>
            <w:tcW w:w="244" w:type="pct"/>
            <w:vMerge w:val="continue"/>
            <w:shd w:val="clear" w:color="auto" w:fill="auto"/>
            <w:vAlign w:val="center"/>
          </w:tcPr>
          <w:p w14:paraId="37CEF9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406" w:type="pct"/>
            <w:vMerge w:val="continue"/>
            <w:shd w:val="clear" w:color="auto" w:fill="auto"/>
            <w:vAlign w:val="center"/>
          </w:tcPr>
          <w:p w14:paraId="214688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312" w:type="pct"/>
            <w:vMerge w:val="continue"/>
            <w:shd w:val="clear" w:color="auto" w:fill="auto"/>
            <w:vAlign w:val="center"/>
          </w:tcPr>
          <w:p w14:paraId="62F926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666" w:type="pct"/>
            <w:vMerge w:val="continue"/>
            <w:shd w:val="clear" w:color="auto" w:fill="auto"/>
            <w:vAlign w:val="center"/>
          </w:tcPr>
          <w:p w14:paraId="1C82E5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792" w:type="pct"/>
            <w:vMerge w:val="continue"/>
            <w:shd w:val="clear" w:color="auto" w:fill="auto"/>
            <w:vAlign w:val="center"/>
          </w:tcPr>
          <w:p w14:paraId="0BF19D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448" w:type="pct"/>
            <w:shd w:val="clear" w:color="auto" w:fill="auto"/>
            <w:vAlign w:val="center"/>
          </w:tcPr>
          <w:p w14:paraId="5EAF64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  <w:t>东经</w:t>
            </w:r>
          </w:p>
        </w:tc>
        <w:tc>
          <w:tcPr>
            <w:tcW w:w="448" w:type="pct"/>
            <w:shd w:val="clear" w:color="auto" w:fill="auto"/>
            <w:vAlign w:val="center"/>
          </w:tcPr>
          <w:p w14:paraId="123234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  <w:t>北纬</w:t>
            </w:r>
          </w:p>
        </w:tc>
        <w:tc>
          <w:tcPr>
            <w:tcW w:w="513" w:type="pct"/>
            <w:vMerge w:val="continue"/>
            <w:shd w:val="clear" w:color="auto" w:fill="auto"/>
            <w:vAlign w:val="center"/>
          </w:tcPr>
          <w:p w14:paraId="155B69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167" w:type="pct"/>
            <w:vMerge w:val="continue"/>
            <w:shd w:val="clear" w:color="auto" w:fill="auto"/>
            <w:vAlign w:val="center"/>
          </w:tcPr>
          <w:p w14:paraId="00FA64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22986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</w:trPr>
        <w:tc>
          <w:tcPr>
            <w:tcW w:w="244" w:type="pct"/>
            <w:shd w:val="clear" w:color="auto" w:fill="auto"/>
            <w:vAlign w:val="center"/>
          </w:tcPr>
          <w:p w14:paraId="7548D8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4A79B9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61535400</w:t>
            </w:r>
          </w:p>
        </w:tc>
        <w:tc>
          <w:tcPr>
            <w:tcW w:w="312" w:type="pct"/>
            <w:shd w:val="clear" w:color="auto" w:fill="auto"/>
            <w:vAlign w:val="center"/>
          </w:tcPr>
          <w:p w14:paraId="11903C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24"/>
                <w:lang w:val="en-US" w:eastAsia="zh-CN"/>
              </w:rPr>
              <w:t>龙源</w:t>
            </w:r>
          </w:p>
        </w:tc>
        <w:tc>
          <w:tcPr>
            <w:tcW w:w="666" w:type="pct"/>
            <w:shd w:val="clear" w:color="auto" w:fill="auto"/>
            <w:vAlign w:val="center"/>
          </w:tcPr>
          <w:p w14:paraId="3D0798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国家基本雨量站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559049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24"/>
                <w:lang w:val="en-US" w:eastAsia="zh-CN"/>
              </w:rPr>
              <w:t>湖南省临湘市羊楼司镇文白村</w:t>
            </w:r>
          </w:p>
        </w:tc>
        <w:tc>
          <w:tcPr>
            <w:tcW w:w="448" w:type="pct"/>
            <w:shd w:val="clear" w:color="auto" w:fill="auto"/>
            <w:vAlign w:val="center"/>
          </w:tcPr>
          <w:p w14:paraId="2E70A9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113°37′00″</w:t>
            </w:r>
          </w:p>
        </w:tc>
        <w:tc>
          <w:tcPr>
            <w:tcW w:w="448" w:type="pct"/>
            <w:shd w:val="clear" w:color="auto" w:fill="auto"/>
            <w:vAlign w:val="center"/>
          </w:tcPr>
          <w:p w14:paraId="3D3A1F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29°28′00″</w:t>
            </w:r>
          </w:p>
        </w:tc>
        <w:tc>
          <w:tcPr>
            <w:tcW w:w="513" w:type="pct"/>
            <w:shd w:val="clear" w:color="auto" w:fill="auto"/>
            <w:vAlign w:val="center"/>
          </w:tcPr>
          <w:p w14:paraId="72D03A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游港河</w:t>
            </w:r>
          </w:p>
        </w:tc>
        <w:tc>
          <w:tcPr>
            <w:tcW w:w="1167" w:type="pct"/>
            <w:vMerge w:val="restart"/>
            <w:shd w:val="clear" w:color="auto" w:fill="auto"/>
            <w:vAlign w:val="center"/>
          </w:tcPr>
          <w:p w14:paraId="422569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站点护栏内</w:t>
            </w:r>
          </w:p>
        </w:tc>
      </w:tr>
      <w:tr w14:paraId="1BA08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</w:trPr>
        <w:tc>
          <w:tcPr>
            <w:tcW w:w="244" w:type="pct"/>
            <w:shd w:val="clear" w:color="auto" w:fill="auto"/>
            <w:vAlign w:val="center"/>
          </w:tcPr>
          <w:p w14:paraId="094C14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3D1C76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61535500</w:t>
            </w:r>
          </w:p>
        </w:tc>
        <w:tc>
          <w:tcPr>
            <w:tcW w:w="312" w:type="pct"/>
            <w:shd w:val="clear" w:color="auto" w:fill="auto"/>
            <w:vAlign w:val="center"/>
          </w:tcPr>
          <w:p w14:paraId="5C75A8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24"/>
                <w:lang w:val="en-US" w:eastAsia="zh-CN"/>
              </w:rPr>
              <w:t>忠防</w:t>
            </w:r>
          </w:p>
        </w:tc>
        <w:tc>
          <w:tcPr>
            <w:tcW w:w="666" w:type="pct"/>
            <w:shd w:val="clear" w:color="auto" w:fill="auto"/>
            <w:vAlign w:val="center"/>
          </w:tcPr>
          <w:p w14:paraId="4BF2F9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国家基本雨量站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3869CB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24"/>
                <w:lang w:val="en-US" w:eastAsia="zh-CN"/>
              </w:rPr>
              <w:t>湖南省临湘市忠防镇汀畈社区</w:t>
            </w:r>
          </w:p>
        </w:tc>
        <w:tc>
          <w:tcPr>
            <w:tcW w:w="448" w:type="pct"/>
            <w:shd w:val="clear" w:color="auto" w:fill="auto"/>
            <w:vAlign w:val="center"/>
          </w:tcPr>
          <w:p w14:paraId="0F47E3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113°31′00″</w:t>
            </w:r>
          </w:p>
        </w:tc>
        <w:tc>
          <w:tcPr>
            <w:tcW w:w="448" w:type="pct"/>
            <w:shd w:val="clear" w:color="auto" w:fill="auto"/>
            <w:vAlign w:val="center"/>
          </w:tcPr>
          <w:p w14:paraId="4CBFE9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29°22′00″</w:t>
            </w:r>
          </w:p>
        </w:tc>
        <w:tc>
          <w:tcPr>
            <w:tcW w:w="513" w:type="pct"/>
            <w:shd w:val="clear" w:color="auto" w:fill="auto"/>
            <w:vAlign w:val="center"/>
          </w:tcPr>
          <w:p w14:paraId="3DF956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游港河</w:t>
            </w:r>
          </w:p>
        </w:tc>
        <w:tc>
          <w:tcPr>
            <w:tcW w:w="1167" w:type="pct"/>
            <w:vMerge w:val="continue"/>
            <w:tcBorders/>
            <w:shd w:val="clear" w:color="auto" w:fill="auto"/>
            <w:vAlign w:val="center"/>
          </w:tcPr>
          <w:p w14:paraId="618583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</w:p>
        </w:tc>
      </w:tr>
      <w:tr w14:paraId="2F7F2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</w:trPr>
        <w:tc>
          <w:tcPr>
            <w:tcW w:w="244" w:type="pct"/>
            <w:shd w:val="clear" w:color="auto" w:fill="auto"/>
            <w:vAlign w:val="center"/>
          </w:tcPr>
          <w:p w14:paraId="1AE2BB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57D008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61535600</w:t>
            </w:r>
          </w:p>
        </w:tc>
        <w:tc>
          <w:tcPr>
            <w:tcW w:w="312" w:type="pct"/>
            <w:shd w:val="clear" w:color="auto" w:fill="auto"/>
            <w:vAlign w:val="center"/>
          </w:tcPr>
          <w:p w14:paraId="4BC35D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24"/>
                <w:lang w:val="en-US" w:eastAsia="zh-CN"/>
              </w:rPr>
              <w:t>占桥</w:t>
            </w:r>
          </w:p>
        </w:tc>
        <w:tc>
          <w:tcPr>
            <w:tcW w:w="666" w:type="pct"/>
            <w:shd w:val="clear" w:color="auto" w:fill="auto"/>
            <w:vAlign w:val="center"/>
          </w:tcPr>
          <w:p w14:paraId="33327B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国家基本雨量站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5CB5E6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24"/>
                <w:lang w:val="en-US" w:eastAsia="zh-CN"/>
              </w:rPr>
              <w:t>湖南省临湘市詹桥镇印石村</w:t>
            </w:r>
          </w:p>
        </w:tc>
        <w:tc>
          <w:tcPr>
            <w:tcW w:w="448" w:type="pct"/>
            <w:shd w:val="clear" w:color="auto" w:fill="auto"/>
            <w:vAlign w:val="center"/>
          </w:tcPr>
          <w:p w14:paraId="6672C4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113°36′00″</w:t>
            </w:r>
          </w:p>
        </w:tc>
        <w:tc>
          <w:tcPr>
            <w:tcW w:w="448" w:type="pct"/>
            <w:shd w:val="clear" w:color="auto" w:fill="auto"/>
            <w:vAlign w:val="center"/>
          </w:tcPr>
          <w:p w14:paraId="5A185F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29°18′00″</w:t>
            </w:r>
          </w:p>
        </w:tc>
        <w:tc>
          <w:tcPr>
            <w:tcW w:w="513" w:type="pct"/>
            <w:shd w:val="clear" w:color="auto" w:fill="auto"/>
            <w:vAlign w:val="center"/>
          </w:tcPr>
          <w:p w14:paraId="29F07D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游港河</w:t>
            </w:r>
          </w:p>
        </w:tc>
        <w:tc>
          <w:tcPr>
            <w:tcW w:w="1167" w:type="pct"/>
            <w:vMerge w:val="continue"/>
            <w:tcBorders/>
            <w:shd w:val="clear" w:color="auto" w:fill="auto"/>
            <w:vAlign w:val="center"/>
          </w:tcPr>
          <w:p w14:paraId="215AE5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</w:p>
        </w:tc>
      </w:tr>
      <w:tr w14:paraId="31DF3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</w:trPr>
        <w:tc>
          <w:tcPr>
            <w:tcW w:w="244" w:type="pct"/>
            <w:shd w:val="clear" w:color="auto" w:fill="auto"/>
            <w:vAlign w:val="center"/>
          </w:tcPr>
          <w:p w14:paraId="04278C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1ABF55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61723000</w:t>
            </w:r>
          </w:p>
        </w:tc>
        <w:tc>
          <w:tcPr>
            <w:tcW w:w="312" w:type="pct"/>
            <w:shd w:val="clear" w:color="auto" w:fill="auto"/>
            <w:vAlign w:val="center"/>
          </w:tcPr>
          <w:p w14:paraId="4670AF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24"/>
                <w:lang w:val="en-US" w:eastAsia="zh-CN"/>
              </w:rPr>
              <w:t>胜龙</w:t>
            </w:r>
          </w:p>
        </w:tc>
        <w:tc>
          <w:tcPr>
            <w:tcW w:w="666" w:type="pct"/>
            <w:shd w:val="clear" w:color="auto" w:fill="auto"/>
            <w:vAlign w:val="center"/>
          </w:tcPr>
          <w:p w14:paraId="465B4B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国家基本雨量站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3186FD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24"/>
                <w:lang w:val="en-US" w:eastAsia="zh-CN"/>
              </w:rPr>
              <w:t>湖南省临湘市坦渡镇桐梓铺居委会</w:t>
            </w:r>
          </w:p>
        </w:tc>
        <w:tc>
          <w:tcPr>
            <w:tcW w:w="448" w:type="pct"/>
            <w:shd w:val="clear" w:color="auto" w:fill="auto"/>
            <w:vAlign w:val="center"/>
          </w:tcPr>
          <w:p w14:paraId="749B05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113°41′00″</w:t>
            </w:r>
          </w:p>
        </w:tc>
        <w:tc>
          <w:tcPr>
            <w:tcW w:w="448" w:type="pct"/>
            <w:shd w:val="clear" w:color="auto" w:fill="auto"/>
            <w:vAlign w:val="center"/>
          </w:tcPr>
          <w:p w14:paraId="4ECB12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29°35′00″</w:t>
            </w:r>
          </w:p>
        </w:tc>
        <w:tc>
          <w:tcPr>
            <w:tcW w:w="513" w:type="pct"/>
            <w:shd w:val="clear" w:color="auto" w:fill="auto"/>
            <w:vAlign w:val="center"/>
          </w:tcPr>
          <w:p w14:paraId="6420BA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坦渡河</w:t>
            </w:r>
          </w:p>
        </w:tc>
        <w:tc>
          <w:tcPr>
            <w:tcW w:w="1167" w:type="pct"/>
            <w:vMerge w:val="continue"/>
            <w:tcBorders/>
            <w:shd w:val="clear" w:color="auto" w:fill="auto"/>
            <w:vAlign w:val="center"/>
          </w:tcPr>
          <w:p w14:paraId="2B037A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</w:p>
        </w:tc>
      </w:tr>
      <w:tr w14:paraId="55030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</w:trPr>
        <w:tc>
          <w:tcPr>
            <w:tcW w:w="244" w:type="pct"/>
            <w:shd w:val="clear" w:color="auto" w:fill="auto"/>
            <w:vAlign w:val="center"/>
          </w:tcPr>
          <w:p w14:paraId="54A0EF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2E6B2D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61533898</w:t>
            </w:r>
          </w:p>
        </w:tc>
        <w:tc>
          <w:tcPr>
            <w:tcW w:w="312" w:type="pct"/>
            <w:shd w:val="clear" w:color="auto" w:fill="auto"/>
            <w:vAlign w:val="center"/>
          </w:tcPr>
          <w:p w14:paraId="0EFD5B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24"/>
                <w:lang w:val="en-US" w:eastAsia="zh-CN"/>
              </w:rPr>
              <w:t>羊楼司</w:t>
            </w:r>
          </w:p>
        </w:tc>
        <w:tc>
          <w:tcPr>
            <w:tcW w:w="666" w:type="pct"/>
            <w:shd w:val="clear" w:color="auto" w:fill="auto"/>
            <w:vAlign w:val="center"/>
          </w:tcPr>
          <w:p w14:paraId="7693DD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中小河流雨量站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71F3E6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24"/>
                <w:lang w:val="en-US" w:eastAsia="zh-CN"/>
              </w:rPr>
              <w:t>湖南省临湘市羊楼司镇政府</w:t>
            </w:r>
          </w:p>
        </w:tc>
        <w:tc>
          <w:tcPr>
            <w:tcW w:w="448" w:type="pct"/>
            <w:shd w:val="clear" w:color="auto" w:fill="auto"/>
            <w:vAlign w:val="center"/>
          </w:tcPr>
          <w:p w14:paraId="339196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113°</w:t>
            </w:r>
            <w:r>
              <w:rPr>
                <w:rFonts w:hint="eastAsia" w:ascii="Times New Roman" w:hAnsi="Times New Roman"/>
                <w:color w:val="auto"/>
                <w:sz w:val="24"/>
                <w:szCs w:val="24"/>
                <w:lang w:val="en-US" w:eastAsia="zh-CN"/>
              </w:rPr>
              <w:t>36</w:t>
            </w: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′</w:t>
            </w:r>
            <w:r>
              <w:rPr>
                <w:rFonts w:hint="eastAsia" w:ascii="Times New Roman" w:hAnsi="Times New Roman"/>
                <w:color w:val="auto"/>
                <w:sz w:val="24"/>
                <w:szCs w:val="24"/>
                <w:lang w:val="en-US" w:eastAsia="zh-CN"/>
              </w:rPr>
              <w:t>37</w:t>
            </w: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″</w:t>
            </w:r>
          </w:p>
        </w:tc>
        <w:tc>
          <w:tcPr>
            <w:tcW w:w="448" w:type="pct"/>
            <w:shd w:val="clear" w:color="auto" w:fill="auto"/>
            <w:vAlign w:val="center"/>
          </w:tcPr>
          <w:p w14:paraId="15F6A6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24"/>
                <w:lang w:val="en-US" w:eastAsia="zh-CN"/>
              </w:rPr>
              <w:t>29</w:t>
            </w: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°3</w:t>
            </w:r>
            <w:r>
              <w:rPr>
                <w:rFonts w:hint="eastAsia" w:ascii="Times New Roman" w:hAnsi="Times New Roman"/>
                <w:color w:val="auto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′</w:t>
            </w:r>
            <w:r>
              <w:rPr>
                <w:rFonts w:hint="eastAsia" w:ascii="Times New Roman" w:hAnsi="Times New Roman"/>
                <w:color w:val="auto"/>
                <w:sz w:val="24"/>
                <w:szCs w:val="24"/>
                <w:lang w:val="en-US" w:eastAsia="zh-CN"/>
              </w:rPr>
              <w:t>53</w:t>
            </w: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″</w:t>
            </w:r>
          </w:p>
        </w:tc>
        <w:tc>
          <w:tcPr>
            <w:tcW w:w="513" w:type="pct"/>
            <w:shd w:val="clear" w:color="auto" w:fill="auto"/>
            <w:vAlign w:val="center"/>
          </w:tcPr>
          <w:p w14:paraId="65E9D2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游港河</w:t>
            </w:r>
          </w:p>
        </w:tc>
        <w:tc>
          <w:tcPr>
            <w:tcW w:w="1167" w:type="pct"/>
            <w:vMerge w:val="restart"/>
            <w:shd w:val="clear" w:color="auto" w:fill="auto"/>
            <w:vAlign w:val="center"/>
          </w:tcPr>
          <w:p w14:paraId="1EF0CF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该站所处位置为水文部门</w:t>
            </w:r>
          </w:p>
          <w:p w14:paraId="31FA35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租赁当地百姓土地，且己</w:t>
            </w:r>
          </w:p>
          <w:p w14:paraId="37486E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聘请专人看守，不划分保</w:t>
            </w:r>
          </w:p>
          <w:p w14:paraId="3481E9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护范围。水文监测设施设</w:t>
            </w:r>
          </w:p>
          <w:p w14:paraId="0BB091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备受保护。</w:t>
            </w:r>
          </w:p>
        </w:tc>
      </w:tr>
      <w:tr w14:paraId="1EE2C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</w:trPr>
        <w:tc>
          <w:tcPr>
            <w:tcW w:w="244" w:type="pct"/>
            <w:shd w:val="clear" w:color="auto" w:fill="auto"/>
            <w:vAlign w:val="center"/>
          </w:tcPr>
          <w:p w14:paraId="383DD5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246FC4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61535850</w:t>
            </w:r>
          </w:p>
        </w:tc>
        <w:tc>
          <w:tcPr>
            <w:tcW w:w="312" w:type="pct"/>
            <w:shd w:val="clear" w:color="auto" w:fill="auto"/>
            <w:vAlign w:val="center"/>
          </w:tcPr>
          <w:p w14:paraId="24EF05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24"/>
                <w:lang w:val="en-US" w:eastAsia="zh-CN"/>
              </w:rPr>
              <w:t>长塘</w:t>
            </w:r>
          </w:p>
        </w:tc>
        <w:tc>
          <w:tcPr>
            <w:tcW w:w="666" w:type="pct"/>
            <w:shd w:val="clear" w:color="auto" w:fill="auto"/>
            <w:vAlign w:val="center"/>
          </w:tcPr>
          <w:p w14:paraId="45CD05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中小河流雨量站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51B5D0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24"/>
                <w:lang w:val="en-US" w:eastAsia="zh-CN"/>
              </w:rPr>
              <w:t>湖南省岳阳市临湘市长塘镇</w:t>
            </w:r>
          </w:p>
        </w:tc>
        <w:tc>
          <w:tcPr>
            <w:tcW w:w="448" w:type="pct"/>
            <w:shd w:val="clear" w:color="auto" w:fill="auto"/>
            <w:vAlign w:val="center"/>
          </w:tcPr>
          <w:p w14:paraId="0FE197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113°</w:t>
            </w:r>
            <w:r>
              <w:rPr>
                <w:rFonts w:hint="eastAsia" w:ascii="Times New Roman" w:hAnsi="Times New Roman"/>
                <w:color w:val="auto"/>
                <w:sz w:val="24"/>
                <w:szCs w:val="24"/>
                <w:lang w:val="en-US" w:eastAsia="zh-CN"/>
              </w:rPr>
              <w:t>13</w:t>
            </w: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′</w:t>
            </w:r>
            <w:r>
              <w:rPr>
                <w:rFonts w:hint="eastAsia" w:ascii="Times New Roman" w:hAnsi="Times New Roman"/>
                <w:color w:val="auto"/>
                <w:sz w:val="24"/>
                <w:szCs w:val="24"/>
                <w:lang w:val="en-US" w:eastAsia="zh-CN"/>
              </w:rPr>
              <w:t>01</w:t>
            </w: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″</w:t>
            </w:r>
          </w:p>
        </w:tc>
        <w:tc>
          <w:tcPr>
            <w:tcW w:w="448" w:type="pct"/>
            <w:shd w:val="clear" w:color="auto" w:fill="auto"/>
            <w:vAlign w:val="center"/>
          </w:tcPr>
          <w:p w14:paraId="2E4AA8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24"/>
                <w:lang w:val="en-US" w:eastAsia="zh-CN"/>
              </w:rPr>
              <w:t>29</w:t>
            </w: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°</w:t>
            </w:r>
            <w:r>
              <w:rPr>
                <w:rFonts w:hint="eastAsia" w:ascii="Times New Roman" w:hAnsi="Times New Roman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′</w:t>
            </w:r>
            <w:r>
              <w:rPr>
                <w:rFonts w:hint="eastAsia" w:ascii="Times New Roman" w:hAnsi="Times New Roman"/>
                <w:color w:val="auto"/>
                <w:sz w:val="24"/>
                <w:szCs w:val="24"/>
                <w:lang w:val="en-US" w:eastAsia="zh-CN"/>
              </w:rPr>
              <w:t>01</w:t>
            </w: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″</w:t>
            </w:r>
          </w:p>
        </w:tc>
        <w:tc>
          <w:tcPr>
            <w:tcW w:w="513" w:type="pct"/>
            <w:shd w:val="clear" w:color="auto" w:fill="auto"/>
            <w:vAlign w:val="center"/>
          </w:tcPr>
          <w:p w14:paraId="2202C2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新墙河</w:t>
            </w:r>
          </w:p>
        </w:tc>
        <w:tc>
          <w:tcPr>
            <w:tcW w:w="1167" w:type="pct"/>
            <w:vMerge w:val="continue"/>
            <w:tcBorders/>
            <w:shd w:val="clear" w:color="auto" w:fill="auto"/>
            <w:vAlign w:val="center"/>
          </w:tcPr>
          <w:p w14:paraId="03C338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</w:p>
        </w:tc>
      </w:tr>
      <w:tr w14:paraId="0182E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</w:trPr>
        <w:tc>
          <w:tcPr>
            <w:tcW w:w="244" w:type="pct"/>
            <w:shd w:val="clear" w:color="auto" w:fill="auto"/>
            <w:vAlign w:val="center"/>
          </w:tcPr>
          <w:p w14:paraId="562717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306709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615E8220</w:t>
            </w:r>
          </w:p>
        </w:tc>
        <w:tc>
          <w:tcPr>
            <w:tcW w:w="312" w:type="pct"/>
            <w:shd w:val="clear" w:color="auto" w:fill="auto"/>
            <w:vAlign w:val="center"/>
          </w:tcPr>
          <w:p w14:paraId="0F6D14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24"/>
                <w:lang w:val="en-US" w:eastAsia="zh-CN"/>
              </w:rPr>
              <w:t>红仕桥</w:t>
            </w:r>
          </w:p>
        </w:tc>
        <w:tc>
          <w:tcPr>
            <w:tcW w:w="666" w:type="pct"/>
            <w:shd w:val="clear" w:color="auto" w:fill="auto"/>
            <w:vAlign w:val="center"/>
          </w:tcPr>
          <w:p w14:paraId="4094D9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中小河流雨量站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4B93B3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24"/>
                <w:lang w:val="en-US" w:eastAsia="zh-CN"/>
              </w:rPr>
              <w:t>湖南省岳阳市临湘市聂市镇红仕村</w:t>
            </w:r>
          </w:p>
        </w:tc>
        <w:tc>
          <w:tcPr>
            <w:tcW w:w="448" w:type="pct"/>
            <w:shd w:val="clear" w:color="auto" w:fill="auto"/>
            <w:vAlign w:val="center"/>
          </w:tcPr>
          <w:p w14:paraId="164C7E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113°</w:t>
            </w:r>
            <w:r>
              <w:rPr>
                <w:rFonts w:hint="eastAsia" w:ascii="Times New Roman" w:hAnsi="Times New Roman"/>
                <w:color w:val="auto"/>
                <w:sz w:val="24"/>
                <w:szCs w:val="24"/>
                <w:lang w:val="en-US" w:eastAsia="zh-CN"/>
              </w:rPr>
              <w:t>25</w:t>
            </w: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′</w:t>
            </w:r>
            <w:r>
              <w:rPr>
                <w:rFonts w:hint="eastAsia" w:ascii="Times New Roman" w:hAnsi="Times New Roman"/>
                <w:color w:val="auto"/>
                <w:sz w:val="24"/>
                <w:szCs w:val="24"/>
                <w:lang w:val="en-US" w:eastAsia="zh-CN"/>
              </w:rPr>
              <w:t>24</w:t>
            </w: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″</w:t>
            </w:r>
          </w:p>
        </w:tc>
        <w:tc>
          <w:tcPr>
            <w:tcW w:w="448" w:type="pct"/>
            <w:shd w:val="clear" w:color="auto" w:fill="auto"/>
            <w:vAlign w:val="center"/>
          </w:tcPr>
          <w:p w14:paraId="0EED04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24"/>
                <w:lang w:val="en-US" w:eastAsia="zh-CN"/>
              </w:rPr>
              <w:t>29</w:t>
            </w: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°3</w:t>
            </w:r>
            <w:r>
              <w:rPr>
                <w:rFonts w:hint="eastAsia" w:ascii="Times New Roman" w:hAnsi="Times New Roman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′</w:t>
            </w:r>
            <w:r>
              <w:rPr>
                <w:rFonts w:hint="eastAsia" w:ascii="Times New Roman" w:hAnsi="Times New Roman"/>
                <w:color w:val="auto"/>
                <w:sz w:val="24"/>
                <w:szCs w:val="24"/>
                <w:lang w:val="en-US" w:eastAsia="zh-CN"/>
              </w:rPr>
              <w:t>58</w:t>
            </w: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″</w:t>
            </w:r>
          </w:p>
        </w:tc>
        <w:tc>
          <w:tcPr>
            <w:tcW w:w="513" w:type="pct"/>
            <w:shd w:val="clear" w:color="auto" w:fill="auto"/>
            <w:vAlign w:val="center"/>
          </w:tcPr>
          <w:p w14:paraId="52B4C2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鸭栏河</w:t>
            </w:r>
          </w:p>
        </w:tc>
        <w:tc>
          <w:tcPr>
            <w:tcW w:w="1167" w:type="pct"/>
            <w:vMerge w:val="continue"/>
            <w:tcBorders/>
            <w:shd w:val="clear" w:color="auto" w:fill="auto"/>
            <w:vAlign w:val="center"/>
          </w:tcPr>
          <w:p w14:paraId="6B42BB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</w:p>
        </w:tc>
      </w:tr>
      <w:tr w14:paraId="04024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</w:trPr>
        <w:tc>
          <w:tcPr>
            <w:tcW w:w="244" w:type="pct"/>
            <w:shd w:val="clear" w:color="auto" w:fill="auto"/>
            <w:vAlign w:val="center"/>
          </w:tcPr>
          <w:p w14:paraId="754C4A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325E79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61723050</w:t>
            </w:r>
          </w:p>
        </w:tc>
        <w:tc>
          <w:tcPr>
            <w:tcW w:w="312" w:type="pct"/>
            <w:shd w:val="clear" w:color="auto" w:fill="auto"/>
            <w:vAlign w:val="center"/>
          </w:tcPr>
          <w:p w14:paraId="1CC2A3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24"/>
                <w:lang w:val="en-US" w:eastAsia="zh-CN"/>
              </w:rPr>
              <w:t>源潭</w:t>
            </w:r>
          </w:p>
        </w:tc>
        <w:tc>
          <w:tcPr>
            <w:tcW w:w="666" w:type="pct"/>
            <w:shd w:val="clear" w:color="auto" w:fill="auto"/>
            <w:vAlign w:val="center"/>
          </w:tcPr>
          <w:p w14:paraId="7EE4C7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中小河流雨量站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66D94F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24"/>
                <w:lang w:val="en-US" w:eastAsia="zh-CN"/>
              </w:rPr>
              <w:t>湖南省临湘市源潭镇黄盖村</w:t>
            </w:r>
          </w:p>
        </w:tc>
        <w:tc>
          <w:tcPr>
            <w:tcW w:w="448" w:type="pct"/>
            <w:shd w:val="clear" w:color="auto" w:fill="auto"/>
            <w:vAlign w:val="center"/>
          </w:tcPr>
          <w:p w14:paraId="7A723C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113°</w:t>
            </w:r>
            <w:r>
              <w:rPr>
                <w:rFonts w:hint="eastAsia" w:ascii="Times New Roman" w:hAnsi="Times New Roman"/>
                <w:color w:val="auto"/>
                <w:sz w:val="24"/>
                <w:szCs w:val="24"/>
                <w:lang w:val="en-US" w:eastAsia="zh-CN"/>
              </w:rPr>
              <w:t>29</w:t>
            </w: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′</w:t>
            </w:r>
            <w:r>
              <w:rPr>
                <w:rFonts w:hint="eastAsia" w:ascii="Times New Roman" w:hAnsi="Times New Roman"/>
                <w:color w:val="auto"/>
                <w:sz w:val="24"/>
                <w:szCs w:val="24"/>
                <w:lang w:val="en-US" w:eastAsia="zh-CN"/>
              </w:rPr>
              <w:t>38</w:t>
            </w: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″</w:t>
            </w:r>
          </w:p>
        </w:tc>
        <w:tc>
          <w:tcPr>
            <w:tcW w:w="448" w:type="pct"/>
            <w:shd w:val="clear" w:color="auto" w:fill="auto"/>
            <w:vAlign w:val="center"/>
          </w:tcPr>
          <w:p w14:paraId="19A62C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zCs w:val="24"/>
                <w:lang w:val="en-US" w:eastAsia="zh-CN"/>
              </w:rPr>
              <w:t>29</w:t>
            </w: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°3</w:t>
            </w:r>
            <w:r>
              <w:rPr>
                <w:rFonts w:hint="eastAsia" w:ascii="Times New Roman" w:hAnsi="Times New Roman"/>
                <w:color w:val="auto"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′</w:t>
            </w:r>
            <w:r>
              <w:rPr>
                <w:rFonts w:hint="eastAsia" w:ascii="Times New Roman" w:hAnsi="Times New Roman"/>
                <w:color w:val="auto"/>
                <w:sz w:val="24"/>
                <w:szCs w:val="24"/>
                <w:lang w:val="en-US" w:eastAsia="zh-CN"/>
              </w:rPr>
              <w:t>21</w:t>
            </w:r>
            <w:r>
              <w:rPr>
                <w:rFonts w:hint="default" w:ascii="Times New Roman" w:hAnsi="Times New Roman"/>
                <w:color w:val="auto"/>
                <w:sz w:val="24"/>
                <w:szCs w:val="24"/>
                <w:lang w:val="en-US" w:eastAsia="zh-CN"/>
              </w:rPr>
              <w:t>″</w:t>
            </w:r>
          </w:p>
        </w:tc>
        <w:tc>
          <w:tcPr>
            <w:tcW w:w="513" w:type="pct"/>
            <w:shd w:val="clear" w:color="auto" w:fill="auto"/>
            <w:vAlign w:val="center"/>
          </w:tcPr>
          <w:p w14:paraId="20EA4A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源潭河</w:t>
            </w:r>
          </w:p>
        </w:tc>
        <w:tc>
          <w:tcPr>
            <w:tcW w:w="1167" w:type="pct"/>
            <w:vMerge w:val="continue"/>
            <w:tcBorders/>
            <w:shd w:val="clear" w:color="auto" w:fill="auto"/>
            <w:vAlign w:val="center"/>
          </w:tcPr>
          <w:p w14:paraId="323608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</w:p>
        </w:tc>
      </w:tr>
    </w:tbl>
    <w:p w14:paraId="560B1262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left="0" w:leftChars="0" w:firstLine="0" w:firstLineChars="0"/>
        <w:jc w:val="both"/>
        <w:textAlignment w:val="auto"/>
        <w:rPr>
          <w:rFonts w:hint="eastAsia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kern w:val="2"/>
          <w:lang w:eastAsia="zh-CN"/>
        </w:rPr>
        <w:t>附件</w:t>
      </w:r>
      <w:r>
        <w:rPr>
          <w:rFonts w:hint="eastAsia" w:ascii="Times New Roman" w:hAnsi="Times New Roman" w:eastAsia="黑体" w:cs="Times New Roman"/>
          <w:b w:val="0"/>
          <w:bCs w:val="0"/>
          <w:kern w:val="2"/>
          <w:lang w:val="en-US" w:eastAsia="zh-CN"/>
        </w:rPr>
        <w:t>3</w:t>
      </w:r>
    </w:p>
    <w:p w14:paraId="5E244477">
      <w:pPr>
        <w:bidi w:val="0"/>
        <w:rPr>
          <w:rFonts w:hint="eastAsia"/>
          <w:lang w:val="en-US" w:eastAsia="zh-CN"/>
        </w:rPr>
      </w:pPr>
    </w:p>
    <w:p w14:paraId="5E7BAA5B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临湘市地下水监测站基本情况及划定保护范围</w:t>
      </w:r>
    </w:p>
    <w:tbl>
      <w:tblPr>
        <w:tblStyle w:val="12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796"/>
        <w:gridCol w:w="1323"/>
        <w:gridCol w:w="1015"/>
        <w:gridCol w:w="2171"/>
        <w:gridCol w:w="2280"/>
        <w:gridCol w:w="1612"/>
        <w:gridCol w:w="1615"/>
        <w:gridCol w:w="3808"/>
      </w:tblGrid>
      <w:tr w14:paraId="2C2F3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</w:trPr>
        <w:tc>
          <w:tcPr>
            <w:tcW w:w="272" w:type="pct"/>
            <w:vMerge w:val="restart"/>
            <w:shd w:val="clear" w:color="auto" w:fill="auto"/>
            <w:vAlign w:val="center"/>
          </w:tcPr>
          <w:p w14:paraId="4C5DD7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</w:tcPr>
          <w:p w14:paraId="740017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  <w:t>测站编码</w:t>
            </w:r>
          </w:p>
        </w:tc>
        <w:tc>
          <w:tcPr>
            <w:tcW w:w="347" w:type="pct"/>
            <w:vMerge w:val="restart"/>
            <w:shd w:val="clear" w:color="auto" w:fill="auto"/>
            <w:vAlign w:val="center"/>
          </w:tcPr>
          <w:p w14:paraId="17CA5E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  <w:t>站名</w:t>
            </w:r>
          </w:p>
        </w:tc>
        <w:tc>
          <w:tcPr>
            <w:tcW w:w="742" w:type="pct"/>
            <w:vMerge w:val="restart"/>
            <w:shd w:val="clear" w:color="auto" w:fill="auto"/>
            <w:vAlign w:val="center"/>
          </w:tcPr>
          <w:p w14:paraId="5472B4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测站类别</w:t>
            </w:r>
          </w:p>
        </w:tc>
        <w:tc>
          <w:tcPr>
            <w:tcW w:w="779" w:type="pct"/>
            <w:vMerge w:val="restart"/>
            <w:shd w:val="clear" w:color="auto" w:fill="auto"/>
            <w:vAlign w:val="center"/>
          </w:tcPr>
          <w:p w14:paraId="0C443C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测站位置</w:t>
            </w:r>
          </w:p>
        </w:tc>
        <w:tc>
          <w:tcPr>
            <w:tcW w:w="1103" w:type="pct"/>
            <w:gridSpan w:val="2"/>
            <w:shd w:val="clear" w:color="auto" w:fill="auto"/>
            <w:vAlign w:val="center"/>
          </w:tcPr>
          <w:p w14:paraId="78EEEA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  <w:t>坐标</w:t>
            </w:r>
          </w:p>
        </w:tc>
        <w:tc>
          <w:tcPr>
            <w:tcW w:w="1301" w:type="pct"/>
            <w:vMerge w:val="restart"/>
            <w:shd w:val="clear" w:color="auto" w:fill="auto"/>
            <w:vAlign w:val="center"/>
          </w:tcPr>
          <w:p w14:paraId="4FCF11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保护范围</w:t>
            </w:r>
          </w:p>
        </w:tc>
      </w:tr>
      <w:tr w14:paraId="4BF2C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</w:trPr>
        <w:tc>
          <w:tcPr>
            <w:tcW w:w="272" w:type="pct"/>
            <w:vMerge w:val="continue"/>
            <w:shd w:val="clear" w:color="auto" w:fill="auto"/>
            <w:vAlign w:val="center"/>
          </w:tcPr>
          <w:p w14:paraId="361B48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452" w:type="pct"/>
            <w:vMerge w:val="continue"/>
            <w:shd w:val="clear" w:color="auto" w:fill="auto"/>
            <w:vAlign w:val="center"/>
          </w:tcPr>
          <w:p w14:paraId="3ABE56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347" w:type="pct"/>
            <w:vMerge w:val="continue"/>
            <w:shd w:val="clear" w:color="auto" w:fill="auto"/>
            <w:vAlign w:val="center"/>
          </w:tcPr>
          <w:p w14:paraId="541B42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742" w:type="pct"/>
            <w:vMerge w:val="continue"/>
            <w:shd w:val="clear" w:color="auto" w:fill="auto"/>
            <w:vAlign w:val="center"/>
          </w:tcPr>
          <w:p w14:paraId="01CA56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779" w:type="pct"/>
            <w:vMerge w:val="continue"/>
            <w:shd w:val="clear" w:color="auto" w:fill="auto"/>
            <w:vAlign w:val="center"/>
          </w:tcPr>
          <w:p w14:paraId="76534D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551" w:type="pct"/>
            <w:shd w:val="clear" w:color="auto" w:fill="auto"/>
            <w:vAlign w:val="center"/>
          </w:tcPr>
          <w:p w14:paraId="7AAB5D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  <w:t>东经</w:t>
            </w:r>
          </w:p>
        </w:tc>
        <w:tc>
          <w:tcPr>
            <w:tcW w:w="551" w:type="pct"/>
            <w:shd w:val="clear" w:color="auto" w:fill="auto"/>
            <w:vAlign w:val="center"/>
          </w:tcPr>
          <w:p w14:paraId="01459E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  <w:t>北纬</w:t>
            </w:r>
          </w:p>
        </w:tc>
        <w:tc>
          <w:tcPr>
            <w:tcW w:w="1301" w:type="pct"/>
            <w:vMerge w:val="continue"/>
            <w:shd w:val="clear" w:color="auto" w:fill="auto"/>
            <w:vAlign w:val="center"/>
          </w:tcPr>
          <w:p w14:paraId="3E851B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0730B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34" w:hRule="atLeast"/>
        </w:trPr>
        <w:tc>
          <w:tcPr>
            <w:tcW w:w="272" w:type="pct"/>
            <w:shd w:val="clear" w:color="auto" w:fill="auto"/>
            <w:vAlign w:val="center"/>
          </w:tcPr>
          <w:p w14:paraId="3129AE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25236C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61569500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6D7B3D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江南</w:t>
            </w:r>
          </w:p>
          <w:p w14:paraId="590EE9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（水厂）</w:t>
            </w:r>
          </w:p>
        </w:tc>
        <w:tc>
          <w:tcPr>
            <w:tcW w:w="742" w:type="pct"/>
            <w:shd w:val="clear" w:color="auto" w:fill="auto"/>
            <w:vAlign w:val="center"/>
          </w:tcPr>
          <w:p w14:paraId="6447B2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国家基本监测站</w:t>
            </w:r>
          </w:p>
        </w:tc>
        <w:tc>
          <w:tcPr>
            <w:tcW w:w="779" w:type="pct"/>
            <w:shd w:val="clear" w:color="auto" w:fill="auto"/>
            <w:vAlign w:val="center"/>
          </w:tcPr>
          <w:p w14:paraId="6E50F1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湖南省岳阳市临湘市江南镇江南村</w:t>
            </w:r>
          </w:p>
        </w:tc>
        <w:tc>
          <w:tcPr>
            <w:tcW w:w="551" w:type="pct"/>
            <w:shd w:val="clear" w:color="auto" w:fill="auto"/>
            <w:vAlign w:val="center"/>
          </w:tcPr>
          <w:p w14:paraId="6A0F24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113°26′04.28″</w:t>
            </w:r>
          </w:p>
        </w:tc>
        <w:tc>
          <w:tcPr>
            <w:tcW w:w="551" w:type="pct"/>
            <w:shd w:val="clear" w:color="auto" w:fill="auto"/>
            <w:vAlign w:val="center"/>
          </w:tcPr>
          <w:p w14:paraId="7CF37D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29°44′05.24″</w:t>
            </w:r>
          </w:p>
        </w:tc>
        <w:tc>
          <w:tcPr>
            <w:tcW w:w="1301" w:type="pct"/>
            <w:shd w:val="clear" w:color="auto" w:fill="auto"/>
            <w:vAlign w:val="center"/>
          </w:tcPr>
          <w:p w14:paraId="289D37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位于江南镇自来水厂内，不另划分保护范围，站点护栏内，监测设施设备受保护。</w:t>
            </w:r>
          </w:p>
        </w:tc>
      </w:tr>
    </w:tbl>
    <w:p w14:paraId="4643585F">
      <w:pPr>
        <w:ind w:left="0" w:leftChars="0" w:firstLine="0" w:firstLineChars="0"/>
        <w:rPr>
          <w:rFonts w:hint="default"/>
          <w:lang w:val="en-US" w:eastAsia="zh-CN"/>
        </w:rPr>
      </w:pPr>
    </w:p>
    <w:p w14:paraId="2E0FB72A">
      <w:pPr>
        <w:keepNext w:val="0"/>
        <w:keepLines w:val="0"/>
        <w:widowControl w:val="0"/>
        <w:suppressLineNumbers w:val="0"/>
        <w:wordWrap/>
        <w:spacing w:before="0" w:beforeAutospacing="0" w:after="0" w:afterAutospacing="0" w:line="570" w:lineRule="exact"/>
        <w:ind w:left="0" w:right="0" w:firstLine="640" w:firstLineChars="200"/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/>
        </w:rPr>
      </w:pPr>
    </w:p>
    <w:p w14:paraId="09BEE00F">
      <w:pPr>
        <w:keepNext w:val="0"/>
        <w:keepLines w:val="0"/>
        <w:widowControl w:val="0"/>
        <w:suppressLineNumbers w:val="0"/>
        <w:wordWrap/>
        <w:spacing w:before="0" w:beforeAutospacing="0" w:after="0" w:afterAutospacing="0" w:line="570" w:lineRule="exact"/>
        <w:ind w:left="0" w:right="0" w:firstLine="640" w:firstLineChars="200"/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/>
        </w:rPr>
      </w:pPr>
    </w:p>
    <w:p w14:paraId="31BE7081">
      <w:pPr>
        <w:keepNext w:val="0"/>
        <w:keepLines w:val="0"/>
        <w:widowControl w:val="0"/>
        <w:suppressLineNumbers w:val="0"/>
        <w:wordWrap/>
        <w:spacing w:before="0" w:beforeAutospacing="0" w:after="0" w:afterAutospacing="0" w:line="570" w:lineRule="exact"/>
        <w:ind w:left="0" w:right="0" w:firstLine="640" w:firstLineChars="200"/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/>
        </w:rPr>
      </w:pPr>
    </w:p>
    <w:p w14:paraId="42780012">
      <w:pPr>
        <w:keepNext w:val="0"/>
        <w:keepLines w:val="0"/>
        <w:widowControl w:val="0"/>
        <w:suppressLineNumbers w:val="0"/>
        <w:wordWrap/>
        <w:spacing w:before="0" w:beforeAutospacing="0" w:after="0" w:afterAutospacing="0" w:line="570" w:lineRule="exact"/>
        <w:ind w:left="0" w:right="0" w:firstLine="640" w:firstLineChars="200"/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/>
        </w:rPr>
      </w:pPr>
    </w:p>
    <w:p w14:paraId="3A0FEB77">
      <w:pPr>
        <w:keepNext w:val="0"/>
        <w:keepLines w:val="0"/>
        <w:widowControl w:val="0"/>
        <w:suppressLineNumbers w:val="0"/>
        <w:wordWrap/>
        <w:spacing w:before="0" w:beforeAutospacing="0" w:after="0" w:afterAutospacing="0" w:line="570" w:lineRule="exact"/>
        <w:ind w:left="0" w:right="0" w:firstLine="640" w:firstLineChars="200"/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/>
        </w:rPr>
      </w:pPr>
    </w:p>
    <w:p w14:paraId="35113A6C">
      <w:pPr>
        <w:keepNext w:val="0"/>
        <w:keepLines w:val="0"/>
        <w:widowControl w:val="0"/>
        <w:suppressLineNumbers w:val="0"/>
        <w:wordWrap/>
        <w:spacing w:before="0" w:beforeAutospacing="0" w:after="0" w:afterAutospacing="0" w:line="570" w:lineRule="exact"/>
        <w:ind w:left="0" w:right="0" w:firstLine="640" w:firstLineChars="200"/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/>
        </w:rPr>
      </w:pPr>
    </w:p>
    <w:p w14:paraId="1BBE90B4">
      <w:pPr>
        <w:keepNext w:val="0"/>
        <w:keepLines w:val="0"/>
        <w:widowControl w:val="0"/>
        <w:suppressLineNumbers w:val="0"/>
        <w:wordWrap/>
        <w:spacing w:before="0" w:beforeAutospacing="0" w:after="0" w:afterAutospacing="0" w:line="570" w:lineRule="exact"/>
        <w:ind w:left="0" w:right="0" w:firstLine="640" w:firstLineChars="200"/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/>
        </w:rPr>
      </w:pPr>
    </w:p>
    <w:p w14:paraId="5C90D2EF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kern w:val="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kern w:val="2"/>
          <w:lang w:eastAsia="zh-CN"/>
        </w:rPr>
        <w:t>附件</w:t>
      </w:r>
      <w:r>
        <w:rPr>
          <w:rFonts w:hint="eastAsia" w:eastAsia="黑体" w:cs="Times New Roman"/>
          <w:b w:val="0"/>
          <w:bCs w:val="0"/>
          <w:kern w:val="2"/>
          <w:lang w:val="en-US" w:eastAsia="zh-CN"/>
        </w:rPr>
        <w:t>4</w:t>
      </w:r>
    </w:p>
    <w:p w14:paraId="0076F5CD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临湘市墒情</w:t>
      </w:r>
      <w:r>
        <w:rPr>
          <w:rFonts w:hint="default"/>
          <w:lang w:eastAsia="zh-CN"/>
        </w:rPr>
        <w:t>站地理坐标信息</w:t>
      </w:r>
      <w:r>
        <w:rPr>
          <w:rFonts w:hint="eastAsia"/>
          <w:lang w:val="en-US" w:eastAsia="zh-CN"/>
        </w:rPr>
        <w:t>及划定保护范围</w:t>
      </w:r>
    </w:p>
    <w:tbl>
      <w:tblPr>
        <w:tblStyle w:val="12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792"/>
        <w:gridCol w:w="1322"/>
        <w:gridCol w:w="1015"/>
        <w:gridCol w:w="2170"/>
        <w:gridCol w:w="2279"/>
        <w:gridCol w:w="1612"/>
        <w:gridCol w:w="1615"/>
        <w:gridCol w:w="3809"/>
      </w:tblGrid>
      <w:tr w14:paraId="32BA8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</w:trPr>
        <w:tc>
          <w:tcPr>
            <w:tcW w:w="271" w:type="pct"/>
            <w:vMerge w:val="restart"/>
            <w:shd w:val="clear" w:color="auto" w:fill="auto"/>
            <w:vAlign w:val="center"/>
          </w:tcPr>
          <w:p w14:paraId="2651B1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452" w:type="pct"/>
            <w:vMerge w:val="restart"/>
            <w:shd w:val="clear" w:color="auto" w:fill="auto"/>
            <w:vAlign w:val="center"/>
          </w:tcPr>
          <w:p w14:paraId="0019DD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  <w:t>测站编码</w:t>
            </w:r>
          </w:p>
        </w:tc>
        <w:tc>
          <w:tcPr>
            <w:tcW w:w="347" w:type="pct"/>
            <w:vMerge w:val="restart"/>
            <w:shd w:val="clear" w:color="auto" w:fill="auto"/>
            <w:vAlign w:val="center"/>
          </w:tcPr>
          <w:p w14:paraId="5D58C5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  <w:t>站名</w:t>
            </w:r>
          </w:p>
        </w:tc>
        <w:tc>
          <w:tcPr>
            <w:tcW w:w="742" w:type="pct"/>
            <w:vMerge w:val="restart"/>
            <w:shd w:val="clear" w:color="auto" w:fill="auto"/>
            <w:vAlign w:val="center"/>
          </w:tcPr>
          <w:p w14:paraId="0FABC8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测站类别</w:t>
            </w:r>
          </w:p>
        </w:tc>
        <w:tc>
          <w:tcPr>
            <w:tcW w:w="779" w:type="pct"/>
            <w:vMerge w:val="restart"/>
            <w:shd w:val="clear" w:color="auto" w:fill="auto"/>
            <w:vAlign w:val="center"/>
          </w:tcPr>
          <w:p w14:paraId="3C4506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测站位置</w:t>
            </w:r>
          </w:p>
        </w:tc>
        <w:tc>
          <w:tcPr>
            <w:tcW w:w="1103" w:type="pct"/>
            <w:gridSpan w:val="2"/>
            <w:shd w:val="clear" w:color="auto" w:fill="auto"/>
            <w:vAlign w:val="center"/>
          </w:tcPr>
          <w:p w14:paraId="7F72C1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  <w:t>坐标</w:t>
            </w:r>
          </w:p>
        </w:tc>
        <w:tc>
          <w:tcPr>
            <w:tcW w:w="1302" w:type="pct"/>
            <w:vMerge w:val="restart"/>
            <w:shd w:val="clear" w:color="auto" w:fill="auto"/>
            <w:vAlign w:val="center"/>
          </w:tcPr>
          <w:p w14:paraId="56DC1B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保护范围</w:t>
            </w:r>
          </w:p>
        </w:tc>
      </w:tr>
      <w:tr w14:paraId="2F73A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</w:trPr>
        <w:tc>
          <w:tcPr>
            <w:tcW w:w="271" w:type="pct"/>
            <w:vMerge w:val="continue"/>
            <w:shd w:val="clear" w:color="auto" w:fill="auto"/>
            <w:vAlign w:val="center"/>
          </w:tcPr>
          <w:p w14:paraId="4A81BB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452" w:type="pct"/>
            <w:vMerge w:val="continue"/>
            <w:shd w:val="clear" w:color="auto" w:fill="auto"/>
            <w:vAlign w:val="center"/>
          </w:tcPr>
          <w:p w14:paraId="1DB6F6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347" w:type="pct"/>
            <w:vMerge w:val="continue"/>
            <w:shd w:val="clear" w:color="auto" w:fill="auto"/>
            <w:vAlign w:val="center"/>
          </w:tcPr>
          <w:p w14:paraId="56033E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742" w:type="pct"/>
            <w:vMerge w:val="continue"/>
            <w:shd w:val="clear" w:color="auto" w:fill="auto"/>
            <w:vAlign w:val="center"/>
          </w:tcPr>
          <w:p w14:paraId="3D42DA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779" w:type="pct"/>
            <w:vMerge w:val="continue"/>
            <w:shd w:val="clear" w:color="auto" w:fill="auto"/>
            <w:vAlign w:val="center"/>
          </w:tcPr>
          <w:p w14:paraId="51A3F0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551" w:type="pct"/>
            <w:shd w:val="clear" w:color="auto" w:fill="auto"/>
            <w:vAlign w:val="center"/>
          </w:tcPr>
          <w:p w14:paraId="1889BA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  <w:t>东经</w:t>
            </w:r>
          </w:p>
        </w:tc>
        <w:tc>
          <w:tcPr>
            <w:tcW w:w="552" w:type="pct"/>
            <w:shd w:val="clear" w:color="auto" w:fill="auto"/>
            <w:vAlign w:val="center"/>
          </w:tcPr>
          <w:p w14:paraId="6291FA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  <w:t>北纬</w:t>
            </w:r>
          </w:p>
        </w:tc>
        <w:tc>
          <w:tcPr>
            <w:tcW w:w="1302" w:type="pct"/>
            <w:vMerge w:val="continue"/>
            <w:shd w:val="clear" w:color="auto" w:fill="auto"/>
            <w:vAlign w:val="center"/>
          </w:tcPr>
          <w:p w14:paraId="51D985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03B9B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64" w:hRule="atLeast"/>
        </w:trPr>
        <w:tc>
          <w:tcPr>
            <w:tcW w:w="271" w:type="pct"/>
            <w:shd w:val="clear" w:color="auto" w:fill="auto"/>
            <w:vAlign w:val="center"/>
          </w:tcPr>
          <w:p w14:paraId="73FB4A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041FFA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61569500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45581E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江南</w:t>
            </w:r>
          </w:p>
        </w:tc>
        <w:tc>
          <w:tcPr>
            <w:tcW w:w="742" w:type="pct"/>
            <w:shd w:val="clear" w:color="auto" w:fill="auto"/>
            <w:vAlign w:val="center"/>
          </w:tcPr>
          <w:p w14:paraId="391A35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墒情站</w:t>
            </w:r>
          </w:p>
        </w:tc>
        <w:tc>
          <w:tcPr>
            <w:tcW w:w="779" w:type="pct"/>
            <w:shd w:val="clear" w:color="auto" w:fill="auto"/>
            <w:vAlign w:val="center"/>
          </w:tcPr>
          <w:p w14:paraId="1D7A7A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江南镇208省道</w:t>
            </w:r>
          </w:p>
        </w:tc>
        <w:tc>
          <w:tcPr>
            <w:tcW w:w="551" w:type="pct"/>
            <w:shd w:val="clear" w:color="auto" w:fill="auto"/>
            <w:vAlign w:val="center"/>
          </w:tcPr>
          <w:p w14:paraId="0CA396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113°25′57.82″</w:t>
            </w:r>
          </w:p>
        </w:tc>
        <w:tc>
          <w:tcPr>
            <w:tcW w:w="552" w:type="pct"/>
            <w:shd w:val="clear" w:color="auto" w:fill="auto"/>
            <w:vAlign w:val="center"/>
          </w:tcPr>
          <w:p w14:paraId="5BEC5A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29°44′18.91″</w:t>
            </w:r>
          </w:p>
        </w:tc>
        <w:tc>
          <w:tcPr>
            <w:tcW w:w="1302" w:type="pct"/>
            <w:vMerge w:val="restart"/>
            <w:shd w:val="clear" w:color="auto" w:fill="auto"/>
            <w:vAlign w:val="center"/>
          </w:tcPr>
          <w:p w14:paraId="09E732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站点护栏内</w:t>
            </w:r>
          </w:p>
        </w:tc>
      </w:tr>
      <w:tr w14:paraId="1AC46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64" w:hRule="atLeast"/>
        </w:trPr>
        <w:tc>
          <w:tcPr>
            <w:tcW w:w="271" w:type="pct"/>
            <w:shd w:val="clear" w:color="auto" w:fill="auto"/>
            <w:vAlign w:val="center"/>
          </w:tcPr>
          <w:p w14:paraId="25D555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153152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615A4160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4D0DDA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詹桥</w:t>
            </w:r>
          </w:p>
        </w:tc>
        <w:tc>
          <w:tcPr>
            <w:tcW w:w="742" w:type="pct"/>
            <w:shd w:val="clear" w:color="auto" w:fill="auto"/>
            <w:vAlign w:val="center"/>
          </w:tcPr>
          <w:p w14:paraId="209B8E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墒情站</w:t>
            </w:r>
          </w:p>
        </w:tc>
        <w:tc>
          <w:tcPr>
            <w:tcW w:w="779" w:type="pct"/>
            <w:shd w:val="clear" w:color="auto" w:fill="auto"/>
            <w:vAlign w:val="center"/>
          </w:tcPr>
          <w:p w14:paraId="6A4665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詹桥镇/印石村</w:t>
            </w:r>
          </w:p>
        </w:tc>
        <w:tc>
          <w:tcPr>
            <w:tcW w:w="551" w:type="pct"/>
            <w:shd w:val="clear" w:color="auto" w:fill="auto"/>
            <w:vAlign w:val="center"/>
          </w:tcPr>
          <w:p w14:paraId="6CFCEA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113°35′41.15″</w:t>
            </w:r>
          </w:p>
        </w:tc>
        <w:tc>
          <w:tcPr>
            <w:tcW w:w="552" w:type="pct"/>
            <w:shd w:val="clear" w:color="auto" w:fill="auto"/>
            <w:vAlign w:val="center"/>
          </w:tcPr>
          <w:p w14:paraId="0C8785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29°19′11.09″</w:t>
            </w:r>
          </w:p>
        </w:tc>
        <w:tc>
          <w:tcPr>
            <w:tcW w:w="1302" w:type="pct"/>
            <w:vMerge w:val="continue"/>
            <w:tcBorders/>
            <w:shd w:val="clear" w:color="auto" w:fill="auto"/>
            <w:vAlign w:val="center"/>
          </w:tcPr>
          <w:p w14:paraId="572535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</w:p>
        </w:tc>
      </w:tr>
      <w:tr w14:paraId="61C1C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64" w:hRule="atLeast"/>
        </w:trPr>
        <w:tc>
          <w:tcPr>
            <w:tcW w:w="271" w:type="pct"/>
            <w:shd w:val="clear" w:color="auto" w:fill="auto"/>
            <w:vAlign w:val="center"/>
          </w:tcPr>
          <w:p w14:paraId="371310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1A0578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615A4190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31E557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新和</w:t>
            </w:r>
          </w:p>
        </w:tc>
        <w:tc>
          <w:tcPr>
            <w:tcW w:w="742" w:type="pct"/>
            <w:shd w:val="clear" w:color="auto" w:fill="auto"/>
            <w:vAlign w:val="center"/>
          </w:tcPr>
          <w:p w14:paraId="5A0D4E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墒情站</w:t>
            </w:r>
          </w:p>
        </w:tc>
        <w:tc>
          <w:tcPr>
            <w:tcW w:w="779" w:type="pct"/>
            <w:shd w:val="clear" w:color="auto" w:fill="auto"/>
            <w:vAlign w:val="center"/>
          </w:tcPr>
          <w:p w14:paraId="5B7DA3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羊楼司镇/新和村</w:t>
            </w:r>
          </w:p>
        </w:tc>
        <w:tc>
          <w:tcPr>
            <w:tcW w:w="551" w:type="pct"/>
            <w:shd w:val="clear" w:color="auto" w:fill="auto"/>
            <w:vAlign w:val="center"/>
          </w:tcPr>
          <w:p w14:paraId="2171C2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113°36′23.03″</w:t>
            </w:r>
          </w:p>
        </w:tc>
        <w:tc>
          <w:tcPr>
            <w:tcW w:w="552" w:type="pct"/>
            <w:shd w:val="clear" w:color="auto" w:fill="auto"/>
            <w:vAlign w:val="center"/>
          </w:tcPr>
          <w:p w14:paraId="5D0452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29°30′14.58″</w:t>
            </w:r>
          </w:p>
        </w:tc>
        <w:tc>
          <w:tcPr>
            <w:tcW w:w="1302" w:type="pct"/>
            <w:vMerge w:val="continue"/>
            <w:tcBorders/>
            <w:shd w:val="clear" w:color="auto" w:fill="auto"/>
            <w:vAlign w:val="center"/>
          </w:tcPr>
          <w:p w14:paraId="3C44AC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</w:p>
        </w:tc>
      </w:tr>
      <w:tr w14:paraId="71075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64" w:hRule="atLeast"/>
        </w:trPr>
        <w:tc>
          <w:tcPr>
            <w:tcW w:w="271" w:type="pct"/>
            <w:shd w:val="clear" w:color="auto" w:fill="auto"/>
            <w:vAlign w:val="center"/>
          </w:tcPr>
          <w:p w14:paraId="197452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612BC0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61711890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770B3D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聂市</w:t>
            </w:r>
          </w:p>
        </w:tc>
        <w:tc>
          <w:tcPr>
            <w:tcW w:w="742" w:type="pct"/>
            <w:shd w:val="clear" w:color="auto" w:fill="auto"/>
            <w:vAlign w:val="center"/>
          </w:tcPr>
          <w:p w14:paraId="18D185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墒情站</w:t>
            </w:r>
          </w:p>
        </w:tc>
        <w:tc>
          <w:tcPr>
            <w:tcW w:w="779" w:type="pct"/>
            <w:shd w:val="clear" w:color="auto" w:fill="auto"/>
            <w:vAlign w:val="center"/>
          </w:tcPr>
          <w:p w14:paraId="085D9D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聂市镇206省道</w:t>
            </w:r>
          </w:p>
        </w:tc>
        <w:tc>
          <w:tcPr>
            <w:tcW w:w="551" w:type="pct"/>
            <w:shd w:val="clear" w:color="auto" w:fill="auto"/>
            <w:vAlign w:val="center"/>
          </w:tcPr>
          <w:p w14:paraId="3D9604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113°29′27.08″</w:t>
            </w:r>
          </w:p>
        </w:tc>
        <w:tc>
          <w:tcPr>
            <w:tcW w:w="552" w:type="pct"/>
            <w:shd w:val="clear" w:color="auto" w:fill="auto"/>
            <w:vAlign w:val="center"/>
          </w:tcPr>
          <w:p w14:paraId="6ED73A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29°34′15.60″</w:t>
            </w:r>
          </w:p>
        </w:tc>
        <w:tc>
          <w:tcPr>
            <w:tcW w:w="1302" w:type="pct"/>
            <w:vMerge w:val="continue"/>
            <w:tcBorders/>
            <w:shd w:val="clear" w:color="auto" w:fill="auto"/>
            <w:vAlign w:val="center"/>
          </w:tcPr>
          <w:p w14:paraId="6F2A00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</w:p>
        </w:tc>
      </w:tr>
      <w:tr w14:paraId="0AA29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64" w:hRule="atLeast"/>
        </w:trPr>
        <w:tc>
          <w:tcPr>
            <w:tcW w:w="271" w:type="pct"/>
            <w:shd w:val="clear" w:color="auto" w:fill="auto"/>
            <w:vAlign w:val="center"/>
          </w:tcPr>
          <w:p w14:paraId="72A18A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66E481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61723000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7FB994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胜龙</w:t>
            </w:r>
          </w:p>
        </w:tc>
        <w:tc>
          <w:tcPr>
            <w:tcW w:w="742" w:type="pct"/>
            <w:shd w:val="clear" w:color="auto" w:fill="auto"/>
            <w:vAlign w:val="center"/>
          </w:tcPr>
          <w:p w14:paraId="695D09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墒情站</w:t>
            </w:r>
          </w:p>
        </w:tc>
        <w:tc>
          <w:tcPr>
            <w:tcW w:w="779" w:type="pct"/>
            <w:shd w:val="clear" w:color="auto" w:fill="auto"/>
            <w:vAlign w:val="center"/>
          </w:tcPr>
          <w:p w14:paraId="1DD96B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坦渡镇金英家俬</w:t>
            </w:r>
          </w:p>
        </w:tc>
        <w:tc>
          <w:tcPr>
            <w:tcW w:w="551" w:type="pct"/>
            <w:shd w:val="clear" w:color="auto" w:fill="auto"/>
            <w:vAlign w:val="center"/>
          </w:tcPr>
          <w:p w14:paraId="535AB5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113°41′15.49″</w:t>
            </w:r>
          </w:p>
        </w:tc>
        <w:tc>
          <w:tcPr>
            <w:tcW w:w="552" w:type="pct"/>
            <w:shd w:val="clear" w:color="auto" w:fill="auto"/>
            <w:vAlign w:val="center"/>
          </w:tcPr>
          <w:p w14:paraId="207CE6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29°35′14.52″</w:t>
            </w:r>
          </w:p>
        </w:tc>
        <w:tc>
          <w:tcPr>
            <w:tcW w:w="1302" w:type="pct"/>
            <w:vMerge w:val="continue"/>
            <w:tcBorders/>
            <w:shd w:val="clear" w:color="auto" w:fill="auto"/>
            <w:vAlign w:val="center"/>
          </w:tcPr>
          <w:p w14:paraId="4AD70B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</w:p>
        </w:tc>
      </w:tr>
    </w:tbl>
    <w:p w14:paraId="182A17B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0" w:leftChars="0" w:firstLine="0" w:firstLineChars="0"/>
        <w:jc w:val="both"/>
        <w:textAlignment w:val="baseline"/>
        <w:rPr>
          <w:rFonts w:hint="eastAsia" w:ascii="Times New Roman" w:hAnsi="Times New Roman" w:eastAsia="仿宋_GB2312" w:cs="仿宋_GB2312"/>
          <w:sz w:val="30"/>
          <w:szCs w:val="30"/>
        </w:rPr>
      </w:pPr>
    </w:p>
    <w:sectPr>
      <w:pgSz w:w="16838" w:h="11906" w:orient="landscape"/>
      <w:pgMar w:top="1440" w:right="1134" w:bottom="1440" w:left="1134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342B9A5-47DA-4FDB-9F1C-8BB226176A8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44AF2688-6AA6-47FF-82D0-188BCABB19F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D5849E08-FC7A-41BF-8421-52DC26C576E4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B94F1C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0FF955"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0FF955"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79D332"/>
    <w:multiLevelType w:val="multilevel"/>
    <w:tmpl w:val="AF79D332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abstractNum w:abstractNumId="1">
    <w:nsid w:val="E5804092"/>
    <w:multiLevelType w:val="singleLevel"/>
    <w:tmpl w:val="E5804092"/>
    <w:lvl w:ilvl="0" w:tentative="0">
      <w:start w:val="1"/>
      <w:numFmt w:val="chineseCounting"/>
      <w:pStyle w:val="3"/>
      <w:suff w:val="nothing"/>
      <w:lvlText w:val="%1、"/>
      <w:lvlJc w:val="left"/>
      <w:pPr>
        <w:ind w:left="-524"/>
      </w:pPr>
      <w:rPr>
        <w:rFonts w:hint="eastAsia"/>
      </w:rPr>
    </w:lvl>
  </w:abstractNum>
  <w:abstractNum w:abstractNumId="2">
    <w:nsid w:val="EFC050A3"/>
    <w:multiLevelType w:val="singleLevel"/>
    <w:tmpl w:val="EFC050A3"/>
    <w:lvl w:ilvl="0" w:tentative="0">
      <w:start w:val="1"/>
      <w:numFmt w:val="decimal"/>
      <w:suff w:val="space"/>
      <w:lvlText w:val="%1."/>
      <w:lvlJc w:val="left"/>
      <w:rPr>
        <w:rFonts w:hint="default"/>
        <w:b/>
        <w:bCs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FD1877"/>
    <w:rsid w:val="0C171A0D"/>
    <w:rsid w:val="195A572B"/>
    <w:rsid w:val="1B4548E5"/>
    <w:rsid w:val="1F0769E6"/>
    <w:rsid w:val="22655882"/>
    <w:rsid w:val="231F3C6E"/>
    <w:rsid w:val="25BC39F6"/>
    <w:rsid w:val="2B6909BB"/>
    <w:rsid w:val="330459A4"/>
    <w:rsid w:val="335B2774"/>
    <w:rsid w:val="46846BD5"/>
    <w:rsid w:val="47E473BB"/>
    <w:rsid w:val="524B278B"/>
    <w:rsid w:val="52897ECB"/>
    <w:rsid w:val="566E28D7"/>
    <w:rsid w:val="56B5557B"/>
    <w:rsid w:val="59283389"/>
    <w:rsid w:val="5AEE74A6"/>
    <w:rsid w:val="5C760417"/>
    <w:rsid w:val="5DAF75FB"/>
    <w:rsid w:val="5DF52041"/>
    <w:rsid w:val="5F1F19F8"/>
    <w:rsid w:val="668448B2"/>
    <w:rsid w:val="68347C10"/>
    <w:rsid w:val="68961CEF"/>
    <w:rsid w:val="6A4E3ABD"/>
    <w:rsid w:val="6CD26C28"/>
    <w:rsid w:val="70972D4C"/>
    <w:rsid w:val="726E2F4F"/>
    <w:rsid w:val="72C144DC"/>
    <w:rsid w:val="743B1556"/>
    <w:rsid w:val="7755292F"/>
    <w:rsid w:val="78FD1877"/>
    <w:rsid w:val="7AA11D77"/>
    <w:rsid w:val="7E97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64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0"/>
    <w:pPr>
      <w:keepNext/>
      <w:keepLines/>
      <w:snapToGrid w:val="0"/>
      <w:spacing w:line="240" w:lineRule="auto"/>
      <w:ind w:firstLine="0" w:firstLineChars="0"/>
      <w:jc w:val="center"/>
      <w:outlineLvl w:val="0"/>
    </w:pPr>
    <w:rPr>
      <w:rFonts w:ascii="Times New Roman" w:hAnsi="Times New Roman" w:eastAsia="方正小标宋简体" w:cs="Times New Roman"/>
      <w:color w:val="000000"/>
      <w:kern w:val="44"/>
      <w:sz w:val="44"/>
      <w:szCs w:val="2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numPr>
        <w:ilvl w:val="0"/>
        <w:numId w:val="1"/>
      </w:numPr>
      <w:ind w:left="0" w:firstLine="1164"/>
      <w:outlineLvl w:val="1"/>
    </w:pPr>
    <w:rPr>
      <w:rFonts w:ascii="Times New Roman" w:hAnsi="Times New Roman" w:eastAsia="黑体"/>
      <w:bCs/>
      <w:szCs w:val="32"/>
    </w:rPr>
  </w:style>
  <w:style w:type="paragraph" w:styleId="4">
    <w:name w:val="heading 3"/>
    <w:basedOn w:val="1"/>
    <w:next w:val="1"/>
    <w:link w:val="16"/>
    <w:unhideWhenUsed/>
    <w:qFormat/>
    <w:uiPriority w:val="0"/>
    <w:pPr>
      <w:keepNext/>
      <w:keepLines/>
      <w:spacing w:before="0" w:beforeLines="0" w:beforeAutospacing="0" w:after="0" w:afterLines="0" w:afterAutospacing="0" w:line="600" w:lineRule="exact"/>
      <w:ind w:firstLine="1601" w:firstLineChars="200"/>
      <w:outlineLvl w:val="2"/>
    </w:pPr>
    <w:rPr>
      <w:rFonts w:ascii="Times New Roman" w:hAnsi="Times New Roman" w:eastAsia="楷体_GB2312"/>
      <w:b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link w:val="18"/>
    <w:unhideWhenUsed/>
    <w:qFormat/>
    <w:uiPriority w:val="0"/>
    <w:pPr>
      <w:spacing w:line="360" w:lineRule="auto"/>
      <w:jc w:val="center"/>
      <w:outlineLvl w:val="9"/>
    </w:pPr>
    <w:rPr>
      <w:rFonts w:ascii="Times New Roman" w:hAnsi="Times New Roman" w:eastAsia="楷体_GB2312" w:cs="Times New Roman"/>
      <w:kern w:val="2"/>
      <w:sz w:val="24"/>
      <w:szCs w:val="10"/>
      <w:lang w:val="en-US" w:eastAsia="zh-CN" w:bidi="ar-SA"/>
    </w:rPr>
  </w:style>
  <w:style w:type="paragraph" w:styleId="6">
    <w:name w:val="Document Map"/>
    <w:next w:val="7"/>
    <w:link w:val="15"/>
    <w:qFormat/>
    <w:uiPriority w:val="0"/>
    <w:pPr>
      <w:shd w:val="clear" w:color="auto" w:fill="000080"/>
    </w:pPr>
    <w:rPr>
      <w:rFonts w:ascii="Arial" w:hAnsi="Arial" w:eastAsia="宋体" w:cs="Times New Roman"/>
      <w:kern w:val="2"/>
      <w:sz w:val="28"/>
      <w:szCs w:val="28"/>
      <w:lang w:val="en-US" w:eastAsia="zh-CN" w:bidi="ar-SA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Body Text"/>
    <w:basedOn w:val="1"/>
    <w:qFormat/>
    <w:uiPriority w:val="0"/>
    <w:pPr>
      <w:spacing w:after="120" w:afterLines="0" w:afterAutospacing="0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table of figures"/>
    <w:basedOn w:val="1"/>
    <w:next w:val="1"/>
    <w:qFormat/>
    <w:uiPriority w:val="0"/>
    <w:pPr>
      <w:ind w:leftChars="200" w:hanging="200" w:hangingChars="200"/>
    </w:pPr>
  </w:style>
  <w:style w:type="table" w:styleId="12">
    <w:name w:val="Table Grid"/>
    <w:basedOn w:val="1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paragraph" w:customStyle="1" w:styleId="14">
    <w:name w:val="图表文字"/>
    <w:basedOn w:val="10"/>
    <w:next w:val="1"/>
    <w:qFormat/>
    <w:uiPriority w:val="0"/>
    <w:pPr>
      <w:spacing w:line="240" w:lineRule="auto"/>
      <w:ind w:firstLine="0" w:firstLineChars="0"/>
      <w:jc w:val="center"/>
    </w:pPr>
    <w:rPr>
      <w:rFonts w:eastAsia="黑体" w:cs="楷体"/>
      <w:color w:val="FFFFFF"/>
      <w:szCs w:val="24"/>
    </w:rPr>
  </w:style>
  <w:style w:type="character" w:customStyle="1" w:styleId="15">
    <w:name w:val="文档结构图 字符"/>
    <w:link w:val="6"/>
    <w:semiHidden/>
    <w:qFormat/>
    <w:locked/>
    <w:uiPriority w:val="99"/>
    <w:rPr>
      <w:rFonts w:ascii="Arial" w:hAnsi="Arial" w:eastAsia="宋体" w:cs="Times New Roman"/>
      <w:kern w:val="2"/>
      <w:sz w:val="28"/>
      <w:szCs w:val="28"/>
      <w:lang w:val="en-US" w:eastAsia="zh-CN" w:bidi="ar-SA"/>
    </w:rPr>
  </w:style>
  <w:style w:type="character" w:customStyle="1" w:styleId="16">
    <w:name w:val="标题 3 Char"/>
    <w:link w:val="4"/>
    <w:qFormat/>
    <w:uiPriority w:val="0"/>
    <w:rPr>
      <w:rFonts w:ascii="Times New Roman" w:hAnsi="Times New Roman" w:eastAsia="楷体_GB2312"/>
      <w:b/>
    </w:rPr>
  </w:style>
  <w:style w:type="character" w:customStyle="1" w:styleId="17">
    <w:name w:val="标题 1 Char"/>
    <w:link w:val="2"/>
    <w:qFormat/>
    <w:uiPriority w:val="0"/>
    <w:rPr>
      <w:rFonts w:ascii="Times New Roman" w:hAnsi="Times New Roman" w:eastAsia="方正小标宋简体" w:cs="Times New Roman"/>
      <w:color w:val="000000"/>
      <w:kern w:val="44"/>
      <w:sz w:val="44"/>
      <w:szCs w:val="24"/>
    </w:rPr>
  </w:style>
  <w:style w:type="character" w:customStyle="1" w:styleId="18">
    <w:name w:val="题注 Char"/>
    <w:link w:val="5"/>
    <w:qFormat/>
    <w:uiPriority w:val="0"/>
    <w:rPr>
      <w:rFonts w:ascii="Times New Roman" w:hAnsi="Times New Roman" w:eastAsia="楷体_GB2312" w:cs="Times New Roman"/>
      <w:kern w:val="2"/>
      <w:sz w:val="24"/>
      <w:szCs w:val="10"/>
      <w:lang w:val="en-US" w:eastAsia="zh-CN" w:bidi="ar-SA"/>
    </w:rPr>
  </w:style>
  <w:style w:type="paragraph" w:customStyle="1" w:styleId="19">
    <w:name w:val="表格文字"/>
    <w:basedOn w:val="14"/>
    <w:next w:val="1"/>
    <w:qFormat/>
    <w:uiPriority w:val="0"/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2135</Words>
  <Characters>2479</Characters>
  <Lines>0</Lines>
  <Paragraphs>0</Paragraphs>
  <TotalTime>9</TotalTime>
  <ScaleCrop>false</ScaleCrop>
  <LinksUpToDate>false</LinksUpToDate>
  <CharactersWithSpaces>2489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2026-09-16T08:15:00Z</dcterms:created>
  <dc:creator>彧</dc:creator>
  <cp:lastModifiedBy>WPS_1506347426</cp:lastModifiedBy>
  <dcterms:modified xsi:type="dcterms:W3CDTF">2026-09-17T06:35:41Z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9DA205185E4C4658B9ACA326748CC88B_13</vt:lpwstr>
  </property>
  <property fmtid="{D5CDD505-2E9C-101B-9397-08002B2CF9AE}" pid="4" name="KSOTemplateDocerSaveRecord">
    <vt:lpwstr>eyJoZGlkIjoiZjYxZDY3ZDcxYThiMTA5Y2NmMmJkZDQ3NzQ2NDdkNGIiLCJ1c2VySWQiOiIzMDcwMzc0MjQifQ==</vt:lpwstr>
  </property>
</Properties>
</file>