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833" w:type="dxa"/>
        <w:jc w:val="center"/>
        <w:tblLayout w:type="fixed"/>
        <w:tblCellMar>
          <w:top w:w="0" w:type="dxa"/>
          <w:left w:w="108" w:type="dxa"/>
          <w:bottom w:w="0" w:type="dxa"/>
          <w:right w:w="108" w:type="dxa"/>
        </w:tblCellMar>
      </w:tblPr>
      <w:tblGrid>
        <w:gridCol w:w="7833"/>
      </w:tblGrid>
      <w:tr>
        <w:tblPrEx>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FFFF"/>
                <w:w w:val="66"/>
                <w:sz w:val="122"/>
                <w:szCs w:val="122"/>
              </w:rPr>
            </w:pPr>
            <w:bookmarkStart w:id="0" w:name="_GoBack"/>
            <w:bookmarkEnd w:id="0"/>
            <w:r>
              <w:rPr>
                <w:rFonts w:hint="eastAsia" w:ascii="Times New Roman" w:hAnsi="Times New Roman" w:eastAsia="仿宋_GB2312" w:cs="Times New Roman"/>
                <w:sz w:val="32"/>
                <w:szCs w:val="32"/>
                <w:lang w:eastAsia="zh-CN"/>
              </w:rPr>
              <w:drawing>
                <wp:anchor distT="0" distB="0" distL="114300" distR="114300" simplePos="0" relativeHeight="251660288" behindDoc="0" locked="0" layoutInCell="1" allowOverlap="1">
                  <wp:simplePos x="0" y="0"/>
                  <wp:positionH relativeFrom="column">
                    <wp:posOffset>-1016000</wp:posOffset>
                  </wp:positionH>
                  <wp:positionV relativeFrom="paragraph">
                    <wp:posOffset>-1048385</wp:posOffset>
                  </wp:positionV>
                  <wp:extent cx="7353300" cy="10320655"/>
                  <wp:effectExtent l="0" t="0" r="0" b="4445"/>
                  <wp:wrapNone/>
                  <wp:docPr id="2" name="图片 3" descr="SKM_454e211028032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KM_454e21102803240_0001"/>
                          <pic:cNvPicPr>
                            <a:picLocks noChangeAspect="1"/>
                          </pic:cNvPicPr>
                        </pic:nvPicPr>
                        <pic:blipFill>
                          <a:blip r:embed="rId5"/>
                          <a:srcRect l="369" t="1143"/>
                          <a:stretch>
                            <a:fillRect/>
                          </a:stretch>
                        </pic:blipFill>
                        <pic:spPr>
                          <a:xfrm>
                            <a:off x="0" y="0"/>
                            <a:ext cx="7353300" cy="10320655"/>
                          </a:xfrm>
                          <a:prstGeom prst="rect">
                            <a:avLst/>
                          </a:prstGeom>
                          <a:noFill/>
                          <a:ln w="9525">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-503555</wp:posOffset>
                      </wp:positionH>
                      <wp:positionV relativeFrom="paragraph">
                        <wp:posOffset>-99060</wp:posOffset>
                      </wp:positionV>
                      <wp:extent cx="1828800" cy="396240"/>
                      <wp:effectExtent l="0" t="0" r="0" b="3810"/>
                      <wp:wrapNone/>
                      <wp:docPr id="1" name="文本框 2"/>
                      <wp:cNvGraphicFramePr/>
                      <a:graphic xmlns:a="http://schemas.openxmlformats.org/drawingml/2006/main">
                        <a:graphicData uri="http://schemas.microsoft.com/office/word/2010/wordprocessingShape">
                          <wps:wsp>
                            <wps:cNvSpPr txBox="1"/>
                            <wps:spPr>
                              <a:xfrm>
                                <a:off x="0" y="0"/>
                                <a:ext cx="1828800" cy="396240"/>
                              </a:xfrm>
                              <a:prstGeom prst="rect">
                                <a:avLst/>
                              </a:prstGeom>
                              <a:solidFill>
                                <a:srgbClr val="FFFFFF"/>
                              </a:solidFill>
                              <a:ln w="9525">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HNPR-2021-08002</w:t>
                                  </w:r>
                                </w:p>
                              </w:txbxContent>
                            </wps:txbx>
                            <wps:bodyPr upright="1"/>
                          </wps:wsp>
                        </a:graphicData>
                      </a:graphic>
                    </wp:anchor>
                  </w:drawing>
                </mc:Choice>
                <mc:Fallback>
                  <w:pict>
                    <v:shape id="文本框 2" o:spid="_x0000_s1026" o:spt="202" type="#_x0000_t202" style="position:absolute;left:0pt;margin-left:-39.65pt;margin-top:-7.8pt;height:31.2pt;width:144pt;z-index:251659264;mso-width-relative:page;mso-height-relative:page;" fillcolor="#FFFFFF" filled="t" stroked="f" coordsize="21600,21600"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KzUrZAAAACgEAAA8AAAAAAAAAAQAgAAAAIgAAAGRycy9k&#10;b3ducmV2LnhtbFBLAQIUABQAAAAIAIdO4kAC2U+qyAEAAIADAAAOAAAAAAAAAAEAIAAAACgBAABk&#10;cnMvZTJvRG9jLnhtbFBLBQYAAAAABgAGAFkBAABiBQ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HNPR-2021-08002</w:t>
                            </w:r>
                          </w:p>
                        </w:txbxContent>
                      </v:textbox>
                    </v:shape>
                  </w:pict>
                </mc:Fallback>
              </mc:AlternateContent>
            </w:r>
            <w:r>
              <w:rPr>
                <w:rFonts w:hint="eastAsia" w:ascii="Times New Roman" w:hAnsi="Times New Roman" w:eastAsia="方正大标宋简体" w:cs="方正大标宋简体"/>
                <w:color w:val="FFFFFF"/>
                <w:w w:val="66"/>
                <w:sz w:val="122"/>
                <w:szCs w:val="122"/>
              </w:rPr>
              <w:t>湖南省民政厅文件</w:t>
            </w:r>
          </w:p>
        </w:tc>
      </w:tr>
    </w:tbl>
    <w:p>
      <w:pPr>
        <w:rPr>
          <w:rFonts w:ascii="Times New Roman" w:hAnsi="Times New Roman" w:cs="Times New Roman"/>
        </w:rPr>
      </w:pPr>
    </w:p>
    <w:p>
      <w:pPr>
        <w:rPr>
          <w:rFonts w:ascii="Times New Roman" w:hAnsi="Times New Roman" w:cs="Times New Roman"/>
        </w:rPr>
      </w:pPr>
    </w:p>
    <w:tbl>
      <w:tblPr>
        <w:tblStyle w:val="5"/>
        <w:tblW w:w="9060" w:type="dxa"/>
        <w:jc w:val="center"/>
        <w:tblLayout w:type="fixed"/>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jc w:val="center"/>
        </w:trPr>
        <w:tc>
          <w:tcPr>
            <w:tcW w:w="9060" w:type="dxa"/>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34</w:t>
            </w:r>
            <w:r>
              <w:rPr>
                <w:rFonts w:hint="eastAsia" w:ascii="Times New Roman" w:hAnsi="Times New Roman" w:eastAsia="仿宋_GB2312" w:cs="仿宋_GB2312"/>
                <w:sz w:val="32"/>
                <w:szCs w:val="32"/>
              </w:rPr>
              <w:t>号</w:t>
            </w:r>
          </w:p>
        </w:tc>
      </w:tr>
    </w:tbl>
    <w:p>
      <w:pPr>
        <w:spacing w:line="600" w:lineRule="exact"/>
        <w:ind w:firstLine="420" w:firstLineChars="200"/>
        <w:jc w:val="center"/>
        <w:rPr>
          <w:rFonts w:ascii="Times New Roman" w:hAnsi="Times New Roman" w:cs="Times New Roman"/>
        </w:rPr>
      </w:pPr>
    </w:p>
    <w:p>
      <w:pPr>
        <w:spacing w:line="600" w:lineRule="exact"/>
        <w:ind w:firstLine="420" w:firstLineChars="200"/>
        <w:rPr>
          <w:rFonts w:ascii="Times New Roman" w:hAnsi="Times New Roman" w:eastAsia="仿宋" w:cs="Times New Roman"/>
          <w:kern w:val="36"/>
        </w:rPr>
      </w:pPr>
    </w:p>
    <w:p>
      <w:pPr>
        <w:pStyle w:val="12"/>
        <w:spacing w:line="600" w:lineRule="exact"/>
        <w:jc w:val="center"/>
        <w:rPr>
          <w:rFonts w:eastAsia="方正小标宋简体"/>
          <w:color w:val="000000"/>
          <w:sz w:val="44"/>
          <w:szCs w:val="44"/>
        </w:rPr>
      </w:pPr>
      <w:r>
        <w:rPr>
          <w:rFonts w:hint="eastAsia" w:hAnsi="方正小标宋简体" w:eastAsia="方正小标宋简体" w:cs="方正小标宋简体"/>
          <w:color w:val="000000"/>
          <w:sz w:val="44"/>
          <w:szCs w:val="44"/>
        </w:rPr>
        <w:t>湖南省民政厅关于印发</w:t>
      </w:r>
    </w:p>
    <w:p>
      <w:pPr>
        <w:pStyle w:val="12"/>
        <w:spacing w:line="600" w:lineRule="exact"/>
        <w:jc w:val="center"/>
        <w:rPr>
          <w:rFonts w:eastAsia="方正小标宋简体"/>
          <w:color w:val="000000"/>
          <w:sz w:val="32"/>
          <w:szCs w:val="32"/>
        </w:rPr>
      </w:pPr>
      <w:r>
        <w:rPr>
          <w:rFonts w:hint="eastAsia" w:hAnsi="方正小标宋简体" w:eastAsia="方正小标宋简体" w:cs="方正小标宋简体"/>
          <w:color w:val="000000"/>
          <w:sz w:val="44"/>
          <w:szCs w:val="44"/>
        </w:rPr>
        <w:t>《湖南省最低生活保障审核确认办法》的通知</w:t>
      </w:r>
    </w:p>
    <w:p>
      <w:pPr>
        <w:spacing w:line="600" w:lineRule="exact"/>
        <w:ind w:firstLine="640"/>
        <w:rPr>
          <w:rFonts w:ascii="Times New Roman" w:hAnsi="Times New Roman" w:cs="Times New Roman"/>
          <w:sz w:val="32"/>
          <w:szCs w:val="32"/>
        </w:rPr>
      </w:pPr>
    </w:p>
    <w:p>
      <w:pPr>
        <w:pStyle w:val="12"/>
        <w:autoSpaceDN w:val="0"/>
        <w:spacing w:line="600" w:lineRule="exact"/>
        <w:rPr>
          <w:rFonts w:eastAsia="仿宋_GB2312"/>
          <w:sz w:val="32"/>
          <w:szCs w:val="32"/>
        </w:rPr>
      </w:pPr>
      <w:r>
        <w:rPr>
          <w:rFonts w:hint="eastAsia" w:eastAsia="仿宋_GB2312" w:cs="仿宋_GB2312"/>
          <w:sz w:val="32"/>
          <w:szCs w:val="32"/>
        </w:rPr>
        <w:t>各市州、县市区民政局：</w:t>
      </w:r>
    </w:p>
    <w:p>
      <w:pPr>
        <w:snapToGrid w:val="0"/>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《湖南省最低生活保障审核确认办法》已经省民政厅厅长办公会议审议通过，现印发给你们，请结合实际遵照执行。</w:t>
      </w:r>
    </w:p>
    <w:p>
      <w:pPr>
        <w:snapToGrid w:val="0"/>
        <w:spacing w:line="600" w:lineRule="exact"/>
        <w:rPr>
          <w:rFonts w:ascii="Times New Roman" w:hAnsi="Times New Roman" w:eastAsia="仿宋_GB2312" w:cs="Times New Roman"/>
          <w:sz w:val="32"/>
          <w:szCs w:val="32"/>
        </w:rPr>
      </w:pPr>
    </w:p>
    <w:p>
      <w:pPr>
        <w:snapToGrid w:val="0"/>
        <w:spacing w:line="600" w:lineRule="exact"/>
        <w:rPr>
          <w:rFonts w:hint="eastAsia" w:ascii="Times New Roman" w:hAnsi="Times New Roman" w:eastAsia="仿宋_GB2312" w:cs="Times New Roman"/>
          <w:sz w:val="32"/>
          <w:szCs w:val="32"/>
          <w:lang w:eastAsia="zh-CN"/>
        </w:rPr>
      </w:pPr>
    </w:p>
    <w:p>
      <w:pPr>
        <w:snapToGrid w:val="0"/>
        <w:spacing w:line="600" w:lineRule="exact"/>
        <w:ind w:firstLine="3779" w:firstLineChars="1181"/>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湖南省民政厅</w:t>
      </w:r>
    </w:p>
    <w:p>
      <w:pPr>
        <w:snapToGrid w:val="0"/>
        <w:spacing w:line="600" w:lineRule="exact"/>
        <w:ind w:firstLine="3779" w:firstLineChars="118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napToGrid w:val="0"/>
        <w:spacing w:line="580" w:lineRule="exact"/>
        <w:ind w:firstLine="3779" w:firstLineChars="1181"/>
        <w:jc w:val="center"/>
        <w:rPr>
          <w:rFonts w:ascii="Times New Roman" w:hAnsi="Times New Roman" w:eastAsia="方正小标宋简体" w:cs="Times New Roman"/>
          <w:sz w:val="44"/>
          <w:szCs w:val="44"/>
        </w:rPr>
      </w:pPr>
      <w:r>
        <w:rPr>
          <w:rFonts w:ascii="Times New Roman" w:hAnsi="Times New Roman" w:eastAsia="仿宋_GB2312" w:cs="Times New Roman"/>
          <w:sz w:val="32"/>
          <w:szCs w:val="32"/>
        </w:rPr>
        <w:br w:type="page"/>
      </w:r>
    </w:p>
    <w:p>
      <w:pPr>
        <w:autoSpaceDN w:val="0"/>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湖南省最低生活保障审核确认办法</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第一条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为改革完善社会救助制度，进一步规范最低生活保障审核确认工作，根据中共中央办公厅</w:t>
      </w:r>
      <w:r>
        <w:rPr>
          <w:rFonts w:ascii="Times New Roman" w:hAnsi="Times New Roman" w:eastAsia="仿宋_GB2312" w:cs="Times New Roman"/>
        </w:rPr>
        <w:t xml:space="preserve"> </w:t>
      </w:r>
      <w:r>
        <w:rPr>
          <w:rFonts w:hint="eastAsia" w:ascii="Times New Roman" w:hAnsi="Times New Roman" w:eastAsia="仿宋_GB2312" w:cs="仿宋_GB2312"/>
        </w:rPr>
        <w:t>国务院办公厅关于改革完善社会救助制度的相关要求和《社会救助暂行办法》（中华人民共和国国务院令第</w:t>
      </w:r>
      <w:r>
        <w:rPr>
          <w:rFonts w:ascii="Times New Roman" w:hAnsi="Times New Roman" w:eastAsia="仿宋_GB2312" w:cs="Times New Roman"/>
        </w:rPr>
        <w:t>649</w:t>
      </w:r>
      <w:r>
        <w:rPr>
          <w:rFonts w:hint="eastAsia" w:ascii="Times New Roman" w:hAnsi="Times New Roman" w:eastAsia="仿宋_GB2312" w:cs="仿宋_GB2312"/>
        </w:rPr>
        <w:t>号）《民政部关于印发〈最低生活保障审核确认办法〉的通知》（民发〔</w:t>
      </w:r>
      <w:r>
        <w:rPr>
          <w:rFonts w:ascii="Times New Roman" w:hAnsi="Times New Roman" w:eastAsia="仿宋_GB2312" w:cs="Times New Roman"/>
        </w:rPr>
        <w:t>2021</w:t>
      </w:r>
      <w:r>
        <w:rPr>
          <w:rFonts w:hint="eastAsia" w:ascii="Times New Roman" w:hAnsi="Times New Roman" w:eastAsia="仿宋_GB2312" w:cs="仿宋_GB2312"/>
        </w:rPr>
        <w:t>〕</w:t>
      </w:r>
      <w:r>
        <w:rPr>
          <w:rFonts w:ascii="Times New Roman" w:hAnsi="Times New Roman" w:eastAsia="仿宋_GB2312" w:cs="Times New Roman"/>
        </w:rPr>
        <w:t>57</w:t>
      </w:r>
      <w:r>
        <w:rPr>
          <w:rFonts w:hint="eastAsia" w:ascii="Times New Roman" w:hAnsi="Times New Roman" w:eastAsia="仿宋_GB2312" w:cs="仿宋_GB2312"/>
        </w:rPr>
        <w:t>号）和《中共湖南省委办公厅</w:t>
      </w:r>
      <w:r>
        <w:rPr>
          <w:rFonts w:ascii="Times New Roman" w:hAnsi="Times New Roman" w:eastAsia="仿宋_GB2312" w:cs="Times New Roman"/>
        </w:rPr>
        <w:t xml:space="preserve"> </w:t>
      </w:r>
      <w:r>
        <w:rPr>
          <w:rFonts w:hint="eastAsia" w:ascii="Times New Roman" w:hAnsi="Times New Roman" w:eastAsia="仿宋_GB2312" w:cs="仿宋_GB2312"/>
        </w:rPr>
        <w:t>湖南省人民政府办公厅印发〈关于改革完善社会救助制度的实施意见〉的通知》（湘办发〔</w:t>
      </w:r>
      <w:r>
        <w:rPr>
          <w:rFonts w:ascii="Times New Roman" w:hAnsi="Times New Roman" w:eastAsia="仿宋_GB2312" w:cs="Times New Roman"/>
        </w:rPr>
        <w:t>2020</w:t>
      </w:r>
      <w:r>
        <w:rPr>
          <w:rFonts w:hint="eastAsia" w:ascii="Times New Roman" w:hAnsi="Times New Roman" w:eastAsia="仿宋_GB2312" w:cs="仿宋_GB2312"/>
        </w:rPr>
        <w:t>〕</w:t>
      </w:r>
      <w:r>
        <w:rPr>
          <w:rFonts w:ascii="Times New Roman" w:hAnsi="Times New Roman" w:eastAsia="仿宋_GB2312" w:cs="Times New Roman"/>
        </w:rPr>
        <w:t>25</w:t>
      </w:r>
      <w:r>
        <w:rPr>
          <w:rFonts w:hint="eastAsia" w:ascii="Times New Roman" w:hAnsi="Times New Roman" w:eastAsia="仿宋_GB2312" w:cs="仿宋_GB2312"/>
        </w:rPr>
        <w:t>号）等相关规定，结合我省实际，制定本办法。</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第二条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最低生活保障的审核确认，应遵循以下原则：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（二）精准规范、高效便民；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（三）应保尽保、应退尽退；</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仿宋_GB2312" w:cs="仿宋_GB2312"/>
        </w:rPr>
        <w:t>（四）公开、公平、公正。</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第三条</w:t>
      </w:r>
      <w:r>
        <w:rPr>
          <w:rFonts w:ascii="Times New Roman" w:hAnsi="Times New Roman" w:eastAsia="仿宋_GB2312" w:cs="Times New Roman"/>
        </w:rPr>
        <w:t xml:space="preserve">  </w:t>
      </w:r>
      <w:r>
        <w:rPr>
          <w:rFonts w:hint="eastAsia" w:ascii="Times New Roman" w:hAnsi="Times New Roman" w:eastAsia="仿宋_GB2312" w:cs="仿宋_GB2312"/>
        </w:rPr>
        <w:t>县级人民政府民政部门负责最低生活保障的审核确认工作，乡镇人民政府（街道办事处）负责最低生活保障的受理、初审工作。村（居）民委员会协助做好相关工作。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有条件的地方可依法依规按程序将最低生活保障审核确认权限下放至乡镇人民政府（街道办事处），县级人民政府民政部门加强监督指导。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县级以上人民政府民政部门应当加强本辖区内最低生活保障审核确认工作的规范管理和相关服务，促进最低生活保障工作健康有序运行。</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申请和受理</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共同生活的家庭成员申请有困难的，由其法定监护人代为提出申请；无法定监护人的，可以委托户籍所在地村（居）民委员会或者其他人代为提出申请。委托申请的，应当办理相应委托手续。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乡镇人民政府（街道办事处）、村（居）民委员会在工作中发现困难家庭可能符合条件，但是未提出最低生活保障申请的，应当主动告知其共同生活的家庭成员相关政策。</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共同生活的家庭成员包括：</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（一）配偶；</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（二）未成年子女；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（三）已成年但不能独立生活的子女，包括在校接受全日制本科及以下学历教育的子女；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（四）其他具有法定赡养、扶养、抚养义务关系并长期共同居住的人员。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下列人员不计入共同生活的家庭成员：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（一）连续三年以上（含三年）脱离家庭独立生活的宗教教职人员；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（二）在监狱内服刑、在戒毒所强制隔离戒毒的人员；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（三）人民法院宣告失踪人员；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（四）现役军人中的义务兵。</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符合下列情形之一的人员，可以单独提出申请：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（一）最低生活保障边缘家庭中持有中华人民共和国残疾人证的一级、二级重度残疾人和三级智力残疾人、三级精神残疾人；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（二）最低生活保障边缘家庭中患有当地有关部门认定的重特大疾病的人员；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（三）脱离家庭、在宗教场所居住三年以上（含三年）的生活困难的宗教教职人员；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（四）县级以上人民政府民政部门规定的其他特殊困难人员。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倍（有条件的地方可以放宽到</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倍），且家庭财产状况符合当地相关规定的家庭。</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有条件的地区可以有序推进持有居住证人员在居住地申办最低生活保障。</w:t>
      </w:r>
      <w:r>
        <w:rPr>
          <w:rFonts w:ascii="Times New Roman" w:hAnsi="Times New Roman" w:eastAsia="仿宋_GB2312" w:cs="Times New Roman"/>
          <w:sz w:val="32"/>
          <w:szCs w:val="32"/>
        </w:rPr>
        <w:t xml:space="preserve"> </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申请最低生活保障，共同生活的家庭成员应当履行以下义务：</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（二）承诺所提供的信息真实、完整；</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（三）履行授权核对其家庭经济状况的相关手续；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（四）积极配合开展家庭经济状况调查。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对于已经受理的最低生活保障家庭申请，共同生活的家庭成员与最低生活保障经办人员或者村（居）民委员会成员有近亲属关系的，乡镇人民政府（街道办事处）应当单独登记备案。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最低生活保障经办人员指负责或具体办理最低生活保障受理、家庭经济状况调查、审核确认等事项的县级人民政府民政部门及乡镇人民政府（街道办事处）工作人员。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近亲属指配偶、父母、子女、兄弟姐妹、祖父母、外祖父母、孙子女、外孙子女。</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家庭经济状况指共同生活的家庭成员拥有的全部家庭收入和家庭财产。</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家庭收入指共同生活的家庭成员在规定期限内的获得的全部现金及实物收入。主要包括：</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（一）工资性收入。</w:t>
      </w:r>
      <w:r>
        <w:rPr>
          <w:rFonts w:hint="eastAsia" w:ascii="Times New Roman" w:hAnsi="Times New Roman" w:eastAsia="仿宋_GB2312" w:cs="仿宋_GB2312"/>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（二）经营净收入。</w:t>
      </w:r>
      <w:r>
        <w:rPr>
          <w:rFonts w:hint="eastAsia" w:ascii="Times New Roman" w:hAnsi="Times New Roman" w:eastAsia="仿宋_GB2312" w:cs="仿宋_GB2312"/>
          <w:sz w:val="32"/>
          <w:szCs w:val="32"/>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（三）财产净收入。</w:t>
      </w:r>
      <w:r>
        <w:rPr>
          <w:rFonts w:hint="eastAsia" w:ascii="Times New Roman" w:hAnsi="Times New Roman" w:eastAsia="仿宋_GB2312" w:cs="仿宋_GB2312"/>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（四）转移净收入。</w:t>
      </w:r>
      <w:r>
        <w:rPr>
          <w:rFonts w:hint="eastAsia" w:ascii="Times New Roman" w:hAnsi="Times New Roman" w:eastAsia="仿宋_GB2312" w:cs="仿宋_GB2312"/>
          <w:sz w:val="32"/>
          <w:szCs w:val="32"/>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（五）其他应当计入家庭收入的项目。</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家庭财产指共同生活的家庭成员拥有的全部动产和不动产。动产主要包括银行存款、证券、基金、商业保险、债权、互联网金融资产以及车辆等。不动产主要包括房屋、林木等定着物。</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对家庭经济状况的核算评估按照《湖南省民政厅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w:t>
      </w:r>
      <w:r>
        <w:rPr>
          <w:rFonts w:hint="eastAsia" w:ascii="Times New Roman" w:hAnsi="Times New Roman" w:eastAsia="仿宋_GB2312" w:cs="仿宋_GB2312"/>
          <w:color w:val="000000"/>
          <w:sz w:val="32"/>
          <w:szCs w:val="32"/>
        </w:rPr>
        <w:t>家庭经济状况核</w:t>
      </w:r>
      <w:r>
        <w:rPr>
          <w:rFonts w:hint="eastAsia" w:ascii="Times New Roman" w:hAnsi="Times New Roman" w:eastAsia="仿宋_GB2312" w:cs="仿宋_GB2312"/>
          <w:sz w:val="32"/>
          <w:szCs w:val="32"/>
        </w:rPr>
        <w:t>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乡镇人民政府（街道办事处）应当自受理最低生活保障申请之日起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个工作日内，提请县级人民政府民政部门居民家庭经济状况核对工作机构开展家庭经济状况信息核对，同时通过入户调查、邻里访问、信函索证等方式进行家庭经济状况调查。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县级人民政府民政部门可以根据当地实际情况，通过家庭用水、用电、燃气、通讯等日常生活费用支出，以及是否存在高收费学校就读（含入托、出国留学）、出国旅游等情况，对家庭经济状况进行辅助评估。</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乡镇人民政府（街道办事处）可以在村（居）民委员会协助下，通过下列方式对申请家庭的经济状况和实际生活情况予以调查核实。</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（一）入户调查。调查人员到申请家庭中了解家庭收入、财产情况和吃、穿、住、用及其他家庭支出等实际生活情况。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（二）邻里访问。调查人员到申请家庭所在村（居）民委员会和社区，走访了解其家庭收入、支出、财产和实际生活状况。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（三）信函索证。调查人员以信函等方式向相关单位和部门索取有关佐证材料。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（四）其他调查方式。</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入户调查和邻里访问调查核实人员不得少于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人，调查完毕应当出具调查结果，由调查人员和在场的申请家庭共同生活的家庭成员分别签字或按指纹确认。</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发生重大突发事件不便于实地调查核实时，前款规定的入户调查、邻里访问可以采取电话、视频等非接触方式进行。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经家庭经济状况调查，不符合条件的最低生活保障申请，乡镇人民政府（街道办事处）应当自得出调查结果后</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个工作日内告知申请人。</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申请人有异议的，应当提供相关佐证材料；乡镇人民政府（街道办事处）应当组织开展复查。</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乡镇人民政府（街道办事处）应当根据家庭经济状况调查核实情况，提出初审意见，并在申请家庭所在村（社区）村（居）务公开栏进行公示。公示期为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r>
        <w:rPr>
          <w:rFonts w:hint="eastAsia" w:ascii="Times New Roman" w:hAnsi="Times New Roman" w:eastAsia="仿宋_GB2312" w:cs="仿宋_GB2312"/>
          <w:spacing w:val="-7"/>
          <w:sz w:val="32"/>
          <w:szCs w:val="32"/>
        </w:rPr>
        <w:t>公示期满无异议的，乡镇人民政府（街道办事处）应当</w:t>
      </w:r>
      <w:r>
        <w:rPr>
          <w:rFonts w:hint="eastAsia" w:ascii="Times New Roman" w:hAnsi="Times New Roman" w:eastAsia="仿宋_GB2312" w:cs="仿宋_GB2312"/>
          <w:sz w:val="32"/>
          <w:szCs w:val="32"/>
        </w:rPr>
        <w:t>在</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个工作日内将申请材料、家庭经济状况调查核实结果、初审意见等相关材料报送县级人民政府民政部门。</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县级人民政府民政部门应当自收到乡镇人民政府（街道办事处）上报的申请材料、家庭经济状况调查核实结果和初审意见等材料后</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对单独登记备案或者在审核确认阶段接到投诉、举报的最低生活保障申请，县级人民政府民政部门应当入户调查。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第二十五条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个工作日内，通过乡镇人民政府（街道办事处）书面告知申请人并说明理由。</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年底全部实行差额计算。</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街道办事处）公章。</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最低生活保障金原则上通过惠民惠农财政补贴资金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实行社会化发放，按月支付到最低生活保障家庭的账户。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对获得最低生活保障后生活仍有困难的老年人、未成年人、重度残疾人和重病患者，县级以上人民政府应当采取适当提高保障标准水平等必要措施给予生活保障。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未经申请受理、家庭经济状况调查、审核确认等程序，不得将任何家庭或者个人直接纳入最低生活保障范围。</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第三十三条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共同生活的家庭成员无正当理由拒不配合最低生活保障审核确认工作的，县级人民政府民政部门和乡镇人民政府（街道办事处）可以终止审核确认程序。</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最低生活保障家庭的人口状况、收入状况和财产状况发生变化的，其共同生活的家庭成员应当在变化发生后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日内告知受理最低生活保障申请的乡镇人民政府（街道办事处）。</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县级人民政府民政部门应当每年组织开展最低生活保障家庭经济状况核查，对乡镇人民政府（街道办事处）核查结果进行随机抽查。</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乡镇人民政府（街道办事处）应当对最低生活保障家庭的经济状况定期核查，并根据核查情况及时报县级人民政府民政部门办理最低生活保障金增发、减发、停发手续。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短期内经济状况变化不大的最低生活保障家庭，乡镇人民政府（街道办事处）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发生重大突发事件时，前款规定的核查期限可以适当延长。</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鼓励具备就业能力的最低生活保障家庭成员积极就业。对就业后家庭人均收入超过当地最低生活保障标准的最低生活保障家庭，县级人民政府民政部门可以根据实际情况给予不超过一年的渐退期。</w:t>
      </w:r>
    </w:p>
    <w:p>
      <w:pPr>
        <w:autoSpaceDN w:val="0"/>
        <w:spacing w:line="58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最低生活保障家庭中有就业能力但未就业的成员，应当接受人力资源社会保障等有关部门介绍的工作；无正当理由，连续</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次拒绝接受介绍与其健康状况、劳动能力、家庭状况等相适应的工作的，县级人民政府民政部门应当决定减发或者停发其本人的最低生活保障金。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省级人民政府民政部门对全省最低生活保障审核确认工作进行抽查、检查和评估。市州、县市区人民政府民政部门应当加强对最低生活保障审核确认工作的监督检查，建立和完善相关监督检查制度。鼓励通过政府购买服务聘请第三方机构参与评估、监督最低生活保障审核确认工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政务服务便民热线，受理业务咨询、求助、举报、投诉和意见建议，并按要求办结、落实和反馈，接受社会和群众对最低生活保障审核确认工作的监督。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县级以上人民政府民政部门和乡镇人民政府（街道办事处）对接到的实名举报，应当逐一核查，并及时向举报人反馈核查处理结果。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申请或者已经获得最低生活保障的家庭成员对于民政部门作出的具体行政行为不服的，可以依法申请行政复议或者提起行政诉讼。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工作人员应当做到勤勉尽责、敬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tbl>
      <w:tblPr>
        <w:tblStyle w:val="5"/>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2021</w:t>
            </w:r>
            <w:r>
              <w:rPr>
                <w:rFonts w:hint="eastAsia" w:ascii="Times New Roman" w:hAnsi="Times New Roman" w:eastAsia="仿宋_GB2312" w:cs="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cs="仿宋_GB2312"/>
                <w:sz w:val="28"/>
                <w:szCs w:val="28"/>
              </w:rPr>
              <w:t>月</w:t>
            </w:r>
            <w:r>
              <w:rPr>
                <w:rFonts w:ascii="Times New Roman" w:hAnsi="Times New Roman" w:eastAsia="仿宋_GB2312" w:cs="Times New Roman"/>
                <w:sz w:val="28"/>
                <w:szCs w:val="28"/>
              </w:rPr>
              <w:t>28</w:t>
            </w:r>
            <w:r>
              <w:rPr>
                <w:rFonts w:hint="eastAsia" w:ascii="Times New Roman" w:hAnsi="Times New Roman" w:eastAsia="仿宋_GB2312" w:cs="仿宋_GB2312"/>
                <w:sz w:val="28"/>
                <w:szCs w:val="28"/>
              </w:rPr>
              <w:t>日印发</w:t>
            </w:r>
          </w:p>
        </w:tc>
      </w:tr>
    </w:tbl>
    <w:p>
      <w:pPr>
        <w:spacing w:line="20" w:lineRule="exact"/>
        <w:rPr>
          <w:rFonts w:cs="Times New Roman"/>
        </w:rPr>
      </w:pPr>
    </w:p>
    <w:p>
      <w:pPr>
        <w:autoSpaceDN w:val="0"/>
        <w:spacing w:line="20" w:lineRule="exact"/>
        <w:ind w:firstLine="640" w:firstLineChars="200"/>
        <w:rPr>
          <w:rFonts w:ascii="Times New Roman" w:hAnsi="Times New Roman" w:eastAsia="仿宋_GB2312" w:cs="Times New Roman"/>
          <w:sz w:val="32"/>
          <w:szCs w:val="32"/>
        </w:rPr>
      </w:pPr>
    </w:p>
    <w:sectPr>
      <w:footerReference r:id="rId3" w:type="default"/>
      <w:pgSz w:w="11906" w:h="16838"/>
      <w:pgMar w:top="2155" w:right="1474" w:bottom="1361" w:left="1588" w:header="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方正大标宋简体">
    <w:panose1 w:val="02000000000000000000"/>
    <w:charset w:val="86"/>
    <w:family w:val="script"/>
    <w:pitch w:val="default"/>
    <w:sig w:usb0="A00002BF" w:usb1="184F6CFA" w:usb2="00000012"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cs="Times New Roman"/>
        <w:sz w:val="28"/>
        <w:szCs w:val="28"/>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15</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06B03"/>
    <w:rsid w:val="00124A34"/>
    <w:rsid w:val="00153537"/>
    <w:rsid w:val="0023201D"/>
    <w:rsid w:val="00764717"/>
    <w:rsid w:val="00C86F56"/>
    <w:rsid w:val="00D43FC0"/>
    <w:rsid w:val="00D70822"/>
    <w:rsid w:val="00DF30D0"/>
    <w:rsid w:val="0807778B"/>
    <w:rsid w:val="182B7042"/>
    <w:rsid w:val="1E064B6B"/>
    <w:rsid w:val="35617EB5"/>
    <w:rsid w:val="42FA5E94"/>
    <w:rsid w:val="4A206B03"/>
    <w:rsid w:val="54B623A6"/>
    <w:rsid w:val="67C03CA2"/>
    <w:rsid w:val="794155B0"/>
    <w:rsid w:val="7A5A3E45"/>
    <w:rsid w:val="7DC9426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8"/>
    <w:qFormat/>
    <w:uiPriority w:val="99"/>
    <w:pPr>
      <w:keepNext/>
      <w:keepLines/>
      <w:spacing w:before="260" w:after="260" w:line="413" w:lineRule="auto"/>
      <w:outlineLvl w:val="2"/>
    </w:pPr>
    <w:rPr>
      <w:b/>
      <w:bCs/>
      <w:sz w:val="32"/>
      <w:szCs w:val="32"/>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7">
    <w:name w:val="page number"/>
    <w:basedOn w:val="6"/>
    <w:uiPriority w:val="99"/>
  </w:style>
  <w:style w:type="character" w:customStyle="1" w:styleId="8">
    <w:name w:val="Heading 3 Char"/>
    <w:basedOn w:val="6"/>
    <w:link w:val="2"/>
    <w:qFormat/>
    <w:locked/>
    <w:uiPriority w:val="99"/>
    <w:rPr>
      <w:rFonts w:ascii="方正仿宋_GBK" w:hAnsi="方正仿宋_GBK" w:eastAsia="仿宋" w:cs="方正仿宋_GBK"/>
      <w:b/>
      <w:bCs/>
      <w:kern w:val="2"/>
      <w:sz w:val="32"/>
      <w:szCs w:val="32"/>
    </w:rPr>
  </w:style>
  <w:style w:type="character" w:customStyle="1" w:styleId="9">
    <w:name w:val="Footer Char"/>
    <w:basedOn w:val="6"/>
    <w:link w:val="3"/>
    <w:qFormat/>
    <w:locked/>
    <w:uiPriority w:val="99"/>
    <w:rPr>
      <w:rFonts w:ascii="方正仿宋_GBK" w:hAnsi="方正仿宋_GBK" w:eastAsia="仿宋" w:cs="方正仿宋_GBK"/>
      <w:kern w:val="2"/>
      <w:sz w:val="18"/>
      <w:szCs w:val="18"/>
    </w:rPr>
  </w:style>
  <w:style w:type="character" w:customStyle="1" w:styleId="10">
    <w:name w:val="Header Char"/>
    <w:basedOn w:val="6"/>
    <w:link w:val="4"/>
    <w:semiHidden/>
    <w:uiPriority w:val="99"/>
    <w:rPr>
      <w:rFonts w:ascii="Calibri" w:hAnsi="Calibri" w:eastAsia="宋体" w:cs="Calibri"/>
      <w:sz w:val="18"/>
      <w:szCs w:val="18"/>
    </w:rPr>
  </w:style>
  <w:style w:type="paragraph" w:customStyle="1" w:styleId="11">
    <w:name w:val="列出段落1"/>
    <w:basedOn w:val="1"/>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paragraph" w:customStyle="1" w:styleId="12">
    <w:name w:val="p0"/>
    <w:basedOn w:val="1"/>
    <w:uiPriority w:val="99"/>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15</Pages>
  <Words>6735</Words>
  <Characters>6779</Characters>
  <Lines>0</Lines>
  <Paragraphs>0</Paragraphs>
  <TotalTime>0</TotalTime>
  <ScaleCrop>false</ScaleCrop>
  <LinksUpToDate>false</LinksUpToDate>
  <CharactersWithSpaces>6917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2021-09-30T00:51:00Z</dcterms:created>
  <dc:creator>Administrator</dc:creator>
  <cp:lastModifiedBy>小雨</cp:lastModifiedBy>
  <cp:lastPrinted>2021-10-28T07:13:00Z</cp:lastPrinted>
  <dcterms:modified xsi:type="dcterms:W3CDTF">2022-08-11T02:11:33Z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F4EEEADE9F8E44A794545815BD2B7B9F</vt:lpwstr>
  </property>
</Properties>
</file>