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hint="eastAsia" w:ascii="方正小标宋简体" w:hAnsi="方正小标宋简体" w:eastAsia="方正小标宋简体" w:cs="方正小标宋简体"/>
          <w:bCs/>
          <w:sz w:val="44"/>
          <w:szCs w:val="44"/>
        </w:rPr>
      </w:pPr>
    </w:p>
    <w:p>
      <w:pPr>
        <w:pStyle w:val="2"/>
        <w:keepNext w:val="0"/>
        <w:keepLines w:val="0"/>
        <w:pageBreakBefore w:val="0"/>
        <w:widowControl w:val="0"/>
        <w:kinsoku/>
        <w:wordWrap/>
        <w:overflowPunct/>
        <w:topLinePunct w:val="0"/>
        <w:autoSpaceDE/>
        <w:autoSpaceDN/>
        <w:bidi w:val="0"/>
        <w:adjustRightInd/>
        <w:snapToGrid/>
        <w:spacing w:before="625" w:beforeLines="200" w:beforeAutospacing="0"/>
        <w:textAlignment w:val="auto"/>
        <w:rPr>
          <w:rFonts w:hint="eastAsia"/>
        </w:rPr>
      </w:pPr>
    </w:p>
    <w:p>
      <w:pPr>
        <w:spacing w:line="576" w:lineRule="exact"/>
        <w:jc w:val="center"/>
        <w:rPr>
          <w:rFonts w:hint="eastAsia" w:ascii="方正小标宋简体" w:hAnsi="方正小标宋简体" w:eastAsia="方正小标宋简体" w:cs="方正小标宋简体"/>
          <w:bCs/>
          <w:sz w:val="44"/>
          <w:szCs w:val="44"/>
        </w:rPr>
      </w:pPr>
    </w:p>
    <w:p>
      <w:pPr>
        <w:spacing w:line="576" w:lineRule="exact"/>
        <w:jc w:val="center"/>
        <w:rPr>
          <w:rFonts w:hint="eastAsia" w:ascii="方正小标宋简体" w:hAnsi="方正小标宋简体" w:eastAsia="方正小标宋简体" w:cs="方正小标宋简体"/>
          <w:bCs/>
          <w:sz w:val="44"/>
          <w:szCs w:val="44"/>
        </w:rPr>
      </w:pPr>
    </w:p>
    <w:p>
      <w:pPr>
        <w:spacing w:line="576" w:lineRule="exact"/>
        <w:jc w:val="center"/>
        <w:rPr>
          <w:rFonts w:hint="eastAsia" w:ascii="方正小标宋简体" w:hAnsi="方正小标宋简体" w:eastAsia="方正小标宋简体" w:cs="方正小标宋简体"/>
          <w:bCs/>
          <w:sz w:val="44"/>
          <w:szCs w:val="44"/>
        </w:rPr>
      </w:pPr>
    </w:p>
    <w:p>
      <w:pPr>
        <w:spacing w:line="540" w:lineRule="exact"/>
        <w:jc w:val="center"/>
        <w:rPr>
          <w:rFonts w:hint="eastAsia" w:ascii="方正小标宋简体" w:hAnsi="方正小标宋简体" w:eastAsia="方正小标宋简体" w:cs="方正小标宋简体"/>
          <w:bCs/>
          <w:sz w:val="44"/>
          <w:szCs w:val="44"/>
          <w:lang w:val="en-US" w:eastAsia="zh-CN"/>
        </w:rPr>
      </w:pPr>
      <w:r>
        <w:rPr>
          <w:rFonts w:hint="eastAsia" w:ascii="仿宋_GB2312" w:eastAsia="仿宋_GB2312"/>
          <w:sz w:val="32"/>
          <w:szCs w:val="32"/>
        </w:rPr>
        <w:t>坦</w:t>
      </w:r>
      <w:r>
        <w:rPr>
          <w:rFonts w:hint="eastAsia" w:ascii="仿宋_GB2312" w:eastAsia="仿宋_GB2312"/>
          <w:sz w:val="32"/>
          <w:szCs w:val="32"/>
          <w:lang w:eastAsia="zh-CN"/>
        </w:rPr>
        <w:t>政</w:t>
      </w:r>
      <w:r>
        <w:rPr>
          <w:rFonts w:hint="eastAsia" w:ascii="仿宋_GB2312" w:eastAsia="仿宋_GB2312"/>
          <w:sz w:val="32"/>
          <w:szCs w:val="32"/>
        </w:rPr>
        <w:t>发</w:t>
      </w:r>
      <w:r>
        <w:rPr>
          <w:rFonts w:hint="eastAsia" w:ascii="微软雅黑" w:hAnsi="微软雅黑" w:eastAsia="微软雅黑" w:cs="微软雅黑"/>
          <w:sz w:val="32"/>
          <w:szCs w:val="32"/>
        </w:rPr>
        <w:t>〔</w:t>
      </w:r>
      <w:r>
        <w:rPr>
          <w:rFonts w:hint="eastAsia" w:ascii="仿宋_GB2312" w:eastAsia="仿宋_GB2312"/>
          <w:sz w:val="32"/>
          <w:szCs w:val="32"/>
        </w:rPr>
        <w:t>20</w:t>
      </w:r>
      <w:r>
        <w:rPr>
          <w:rFonts w:ascii="仿宋_GB2312" w:eastAsia="仿宋_GB2312"/>
          <w:sz w:val="32"/>
          <w:szCs w:val="32"/>
        </w:rPr>
        <w:t>2</w:t>
      </w:r>
      <w:r>
        <w:rPr>
          <w:rFonts w:hint="eastAsia" w:ascii="仿宋_GB2312" w:eastAsia="仿宋_GB2312"/>
          <w:sz w:val="32"/>
          <w:szCs w:val="32"/>
          <w:lang w:val="en-US" w:eastAsia="zh-CN"/>
        </w:rPr>
        <w:t>2</w:t>
      </w:r>
      <w:r>
        <w:rPr>
          <w:rFonts w:hint="eastAsia" w:ascii="微软雅黑" w:hAnsi="微软雅黑" w:eastAsia="微软雅黑" w:cs="微软雅黑"/>
          <w:sz w:val="32"/>
          <w:szCs w:val="32"/>
        </w:rPr>
        <w:t>〕</w:t>
      </w:r>
      <w:r>
        <w:rPr>
          <w:rFonts w:hint="eastAsia" w:ascii="仿宋_GB2312" w:eastAsia="仿宋_GB2312"/>
          <w:sz w:val="32"/>
          <w:szCs w:val="32"/>
          <w:lang w:val="en-US" w:eastAsia="zh-CN"/>
        </w:rPr>
        <w:t>16</w:t>
      </w:r>
      <w:r>
        <w:rPr>
          <w:rFonts w:hint="eastAsia" w:ascii="仿宋_GB2312" w:eastAsia="仿宋_GB2312"/>
          <w:sz w:val="32"/>
          <w:szCs w:val="32"/>
        </w:rPr>
        <w:t>号</w:t>
      </w:r>
      <w:r>
        <w:rPr>
          <w:rFonts w:hint="eastAsia" w:ascii="方正小标宋简体" w:hAnsi="方正小标宋简体" w:eastAsia="方正小标宋简体" w:cs="方正小标宋简体"/>
          <w:bCs/>
          <w:sz w:val="44"/>
          <w:szCs w:val="44"/>
          <w:lang w:val="en-US" w:eastAsia="zh-CN"/>
        </w:rPr>
        <w:t xml:space="preserve"> </w:t>
      </w:r>
    </w:p>
    <w:p>
      <w:pPr>
        <w:spacing w:line="576" w:lineRule="exact"/>
        <w:jc w:val="center"/>
        <w:rPr>
          <w:rFonts w:hint="eastAsia" w:ascii="方正小标宋简体" w:hAnsi="方正小标宋简体" w:eastAsia="方正小标宋简体" w:cs="方正小标宋简体"/>
          <w:bCs/>
          <w:sz w:val="44"/>
          <w:szCs w:val="44"/>
        </w:rPr>
      </w:pPr>
    </w:p>
    <w:p>
      <w:pPr>
        <w:spacing w:line="576"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关于印发《</w:t>
      </w:r>
      <w:r>
        <w:rPr>
          <w:rFonts w:hint="eastAsia" w:ascii="方正小标宋简体" w:hAnsi="方正小标宋简体" w:eastAsia="方正小标宋简体" w:cs="方正小标宋简体"/>
          <w:bCs/>
          <w:sz w:val="44"/>
          <w:szCs w:val="44"/>
        </w:rPr>
        <w:t>坦渡镇“安全生产屋场会”活动方案</w:t>
      </w:r>
      <w:r>
        <w:rPr>
          <w:rFonts w:hint="eastAsia" w:ascii="方正小标宋简体" w:hAnsi="方正小标宋简体" w:eastAsia="方正小标宋简体" w:cs="方正小标宋简体"/>
          <w:bCs/>
          <w:sz w:val="44"/>
          <w:szCs w:val="44"/>
          <w:lang w:val="en-US" w:eastAsia="zh-CN"/>
        </w:rPr>
        <w:t>》的通知</w:t>
      </w:r>
    </w:p>
    <w:p>
      <w:pPr>
        <w:pStyle w:val="2"/>
        <w:keepNext w:val="0"/>
        <w:keepLines w:val="0"/>
        <w:pageBreakBefore w:val="0"/>
        <w:widowControl w:val="0"/>
        <w:kinsoku/>
        <w:wordWrap/>
        <w:overflowPunct/>
        <w:topLinePunct w:val="0"/>
        <w:autoSpaceDE/>
        <w:autoSpaceDN/>
        <w:bidi w:val="0"/>
        <w:adjustRightInd/>
        <w:snapToGrid/>
        <w:spacing w:before="313" w:beforeLines="100" w:beforeAutospacing="0"/>
        <w:ind w:left="0" w:leftChars="0" w:firstLine="0" w:firstLineChars="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各村（社区）、镇直各单位：</w:t>
      </w:r>
    </w:p>
    <w:p>
      <w:pPr>
        <w:pStyle w:val="2"/>
        <w:keepNext w:val="0"/>
        <w:keepLines w:val="0"/>
        <w:pageBreakBefore w:val="0"/>
        <w:widowControl w:val="0"/>
        <w:kinsoku/>
        <w:wordWrap/>
        <w:overflowPunct/>
        <w:topLinePunct w:val="0"/>
        <w:autoSpaceDE/>
        <w:autoSpaceDN/>
        <w:bidi w:val="0"/>
        <w:adjustRightInd/>
        <w:snapToGrid/>
        <w:spacing w:before="0" w:beforeAutospacing="0"/>
        <w:ind w:left="0" w:leftChars="0"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default" w:ascii="方正仿宋_GB2312" w:hAnsi="方正仿宋_GB2312" w:eastAsia="方正仿宋_GB2312" w:cs="方正仿宋_GB2312"/>
          <w:kern w:val="2"/>
          <w:sz w:val="32"/>
          <w:szCs w:val="32"/>
          <w:lang w:val="en-US" w:eastAsia="zh-CN" w:bidi="ar-SA"/>
        </w:rPr>
        <w:t>《坦渡镇“安全生产屋场会”活动方案》</w:t>
      </w:r>
      <w:r>
        <w:rPr>
          <w:rFonts w:hint="eastAsia" w:ascii="方正仿宋_GB2312" w:hAnsi="方正仿宋_GB2312" w:eastAsia="方正仿宋_GB2312" w:cs="方正仿宋_GB2312"/>
          <w:kern w:val="2"/>
          <w:sz w:val="32"/>
          <w:szCs w:val="32"/>
          <w:lang w:val="en-US" w:eastAsia="zh-CN" w:bidi="ar-SA"/>
        </w:rPr>
        <w:t>已经镇人民政府研究同意，现印发给你们，请认真</w:t>
      </w:r>
      <w:r>
        <w:rPr>
          <w:rFonts w:hint="eastAsia" w:ascii="方正仿宋_GB2312" w:hAnsi="方正仿宋_GB2312" w:eastAsia="方正仿宋_GB2312" w:cs="方正仿宋_GB2312"/>
          <w:sz w:val="32"/>
          <w:szCs w:val="32"/>
        </w:rPr>
        <w:t>遵照执行</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p>
    <w:p>
      <w:pPr>
        <w:pStyle w:val="2"/>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2022</w:t>
      </w:r>
      <w:r>
        <w:rPr>
          <w:rFonts w:hint="eastAsia" w:ascii="方正仿宋_GB2312" w:hAnsi="方正仿宋_GB2312" w:eastAsia="方正仿宋_GB2312" w:cs="方正仿宋_GB2312"/>
          <w:sz w:val="32"/>
          <w:szCs w:val="32"/>
        </w:rPr>
        <w:t>年</w:t>
      </w: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月</w:t>
      </w:r>
      <w:r>
        <w:rPr>
          <w:rFonts w:hint="eastAsia" w:ascii="方正仿宋_GB2312" w:hAnsi="方正仿宋_GB2312" w:eastAsia="方正仿宋_GB2312" w:cs="方正仿宋_GB2312"/>
          <w:sz w:val="32"/>
          <w:szCs w:val="32"/>
          <w:lang w:val="en-US" w:eastAsia="zh-CN"/>
        </w:rPr>
        <w:t>22日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p>
    <w:p>
      <w:pPr>
        <w:pStyle w:val="2"/>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880" w:firstLineChars="200"/>
        <w:textAlignment w:val="auto"/>
        <w:rPr>
          <w:rFonts w:hint="eastAsia" w:ascii="方正仿宋_GB2312" w:hAnsi="方正仿宋_GB2312" w:eastAsia="方正仿宋_GB2312" w:cs="方正仿宋_GB2312"/>
          <w:sz w:val="32"/>
          <w:szCs w:val="32"/>
        </w:rPr>
      </w:pPr>
      <w:r>
        <w:rPr>
          <w:rFonts w:hint="eastAsia" w:ascii="方正小标宋简体" w:hAnsi="方正小标宋简体" w:eastAsia="方正小标宋简体" w:cs="方正小标宋简体"/>
          <w:bCs/>
          <w:sz w:val="44"/>
          <w:szCs w:val="44"/>
        </w:rPr>
        <w:t>坦渡镇“安全生产屋场会”活动方案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方正仿宋_GB2312" w:hAnsi="方正仿宋_GB2312" w:eastAsia="方正仿宋_GB2312" w:cs="方正仿宋_GB2312"/>
          <w:sz w:val="32"/>
          <w:szCs w:val="32"/>
        </w:rPr>
        <w:t>根据《临湘市人民政府安全生产委员会办公室关于在全市开展安全生产屋场会的通知》（临安办发〔2022〕31号）</w:t>
      </w:r>
      <w:r>
        <w:rPr>
          <w:rFonts w:hint="eastAsia" w:ascii="方正仿宋_GB2312" w:hAnsi="方正仿宋_GB2312" w:eastAsia="方正仿宋_GB2312" w:cs="方正仿宋_GB2312"/>
          <w:sz w:val="32"/>
          <w:szCs w:val="32"/>
          <w:lang w:val="en-US" w:eastAsia="zh-CN"/>
        </w:rPr>
        <w:t>文件</w:t>
      </w:r>
      <w:r>
        <w:rPr>
          <w:rFonts w:hint="eastAsia" w:ascii="方正仿宋_GB2312" w:hAnsi="方正仿宋_GB2312" w:eastAsia="方正仿宋_GB2312" w:cs="方正仿宋_GB2312"/>
          <w:sz w:val="32"/>
          <w:szCs w:val="32"/>
        </w:rPr>
        <w:t>要求，结合本镇实际，特制定本活动方案。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一、组织领导</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成立坦渡镇2022年“安全生产屋场会”活动领导小组</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由党委书记向前初同志任政委，镇长李露同志任组长，分管领导袁灿奇同志任常委副组长，赵府臣、权志奎、杨宏军、黎勇、邓达、潘炜同志任副组长，各村（社区）、</w:t>
      </w:r>
      <w:r>
        <w:rPr>
          <w:rFonts w:hint="eastAsia" w:ascii="方正仿宋_GB2312" w:hAnsi="方正仿宋_GB2312" w:eastAsia="方正仿宋_GB2312" w:cs="方正仿宋_GB2312"/>
          <w:sz w:val="32"/>
          <w:szCs w:val="32"/>
          <w:lang w:val="en-US" w:eastAsia="zh-CN"/>
        </w:rPr>
        <w:t>镇直各单位</w:t>
      </w:r>
      <w:r>
        <w:rPr>
          <w:rFonts w:hint="eastAsia" w:ascii="方正仿宋_GB2312" w:hAnsi="方正仿宋_GB2312" w:eastAsia="方正仿宋_GB2312" w:cs="方正仿宋_GB2312"/>
          <w:sz w:val="32"/>
          <w:szCs w:val="32"/>
        </w:rPr>
        <w:t>主要负责人为成员。领导小组</w:t>
      </w:r>
      <w:r>
        <w:rPr>
          <w:rFonts w:hint="eastAsia" w:ascii="方正仿宋_GB2312" w:hAnsi="方正仿宋_GB2312" w:eastAsia="方正仿宋_GB2312" w:cs="方正仿宋_GB2312"/>
          <w:sz w:val="32"/>
          <w:szCs w:val="32"/>
          <w:lang w:val="en-US" w:eastAsia="zh-CN"/>
        </w:rPr>
        <w:t>下设</w:t>
      </w:r>
      <w:r>
        <w:rPr>
          <w:rFonts w:hint="eastAsia" w:ascii="方正仿宋_GB2312" w:hAnsi="方正仿宋_GB2312" w:eastAsia="方正仿宋_GB2312" w:cs="方正仿宋_GB2312"/>
          <w:sz w:val="32"/>
          <w:szCs w:val="32"/>
        </w:rPr>
        <w:t>办公室</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办公地点</w:t>
      </w:r>
      <w:r>
        <w:rPr>
          <w:rFonts w:hint="eastAsia" w:ascii="方正仿宋_GB2312" w:hAnsi="方正仿宋_GB2312" w:eastAsia="方正仿宋_GB2312" w:cs="方正仿宋_GB2312"/>
          <w:sz w:val="32"/>
          <w:szCs w:val="32"/>
        </w:rPr>
        <w:t>设镇应急办，</w:t>
      </w:r>
      <w:r>
        <w:rPr>
          <w:rFonts w:hint="eastAsia" w:ascii="方正仿宋_GB2312" w:hAnsi="方正仿宋_GB2312" w:eastAsia="方正仿宋_GB2312" w:cs="方正仿宋_GB2312"/>
          <w:sz w:val="32"/>
          <w:szCs w:val="32"/>
          <w:lang w:val="en-US" w:eastAsia="zh-CN"/>
        </w:rPr>
        <w:t>由</w:t>
      </w:r>
      <w:r>
        <w:rPr>
          <w:rFonts w:hint="eastAsia" w:ascii="方正仿宋_GB2312" w:hAnsi="方正仿宋_GB2312" w:eastAsia="方正仿宋_GB2312" w:cs="方正仿宋_GB2312"/>
          <w:sz w:val="32"/>
          <w:szCs w:val="32"/>
        </w:rPr>
        <w:t>袁灿奇同志任办公室主任，谢建堤同志任办公室副主任</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具体负责组织、协调、指导工作。</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　</w:t>
      </w:r>
      <w:r>
        <w:rPr>
          <w:rFonts w:hint="eastAsia" w:ascii="黑体" w:hAnsi="黑体" w:eastAsia="黑体" w:cs="黑体"/>
          <w:sz w:val="32"/>
          <w:szCs w:val="32"/>
        </w:rPr>
        <w:t xml:space="preserve">  二、活动主题、时间与地点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活动主题：“ 人人讲安全，人人学安全，人人会安全”。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活动时间与地点：2022年8月22日至12月31日，</w:t>
      </w:r>
      <w:r>
        <w:rPr>
          <w:rFonts w:hint="eastAsia" w:ascii="方正仿宋_GB2312" w:hAnsi="方正仿宋_GB2312" w:eastAsia="方正仿宋_GB2312" w:cs="方正仿宋_GB2312"/>
          <w:sz w:val="32"/>
          <w:szCs w:val="32"/>
          <w:lang w:val="en-US" w:eastAsia="zh-CN"/>
        </w:rPr>
        <w:t>活动</w:t>
      </w:r>
      <w:r>
        <w:rPr>
          <w:rFonts w:hint="eastAsia" w:ascii="方正仿宋_GB2312" w:hAnsi="方正仿宋_GB2312" w:eastAsia="方正仿宋_GB2312" w:cs="方正仿宋_GB2312"/>
          <w:sz w:val="32"/>
          <w:szCs w:val="32"/>
        </w:rPr>
        <w:t>在各村(社区)屋场开展，每月不少于一场次</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三、活动形式</w:t>
      </w:r>
    </w:p>
    <w:p>
      <w:pPr>
        <w:keepNext w:val="0"/>
        <w:keepLines w:val="0"/>
        <w:pageBreakBefore w:val="0"/>
        <w:widowControl w:val="0"/>
        <w:kinsoku/>
        <w:wordWrap/>
        <w:overflowPunct/>
        <w:topLinePunct w:val="0"/>
        <w:autoSpaceDE/>
        <w:autoSpaceDN/>
        <w:bidi w:val="0"/>
        <w:adjustRightInd/>
        <w:snapToGrid/>
        <w:spacing w:line="640" w:lineRule="exact"/>
        <w:ind w:firstLine="321" w:firstLineChars="100"/>
        <w:textAlignment w:val="auto"/>
        <w:rPr>
          <w:rFonts w:hint="eastAsia" w:ascii="楷体" w:hAnsi="楷体" w:eastAsia="楷体" w:cs="楷体"/>
          <w:b/>
          <w:bCs/>
          <w:sz w:val="32"/>
          <w:szCs w:val="32"/>
        </w:rPr>
      </w:pPr>
      <w:r>
        <w:rPr>
          <w:rFonts w:hint="eastAsia" w:ascii="楷体" w:hAnsi="楷体" w:eastAsia="楷体" w:cs="楷体"/>
          <w:b/>
          <w:bCs/>
          <w:sz w:val="32"/>
          <w:szCs w:val="32"/>
        </w:rPr>
        <w:t>　(一)开展“安全生产咨询日屋场会”活动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牵头责任人：</w:t>
      </w:r>
      <w:r>
        <w:rPr>
          <w:rFonts w:hint="eastAsia" w:ascii="方正仿宋_GB2312" w:hAnsi="方正仿宋_GB2312" w:eastAsia="方正仿宋_GB2312" w:cs="方正仿宋_GB2312"/>
          <w:sz w:val="32"/>
          <w:szCs w:val="32"/>
          <w:lang w:val="en-US" w:eastAsia="zh-CN"/>
        </w:rPr>
        <w:t>各村（社区）</w:t>
      </w:r>
      <w:r>
        <w:rPr>
          <w:rFonts w:hint="eastAsia" w:ascii="方正仿宋_GB2312" w:hAnsi="方正仿宋_GB2312" w:eastAsia="方正仿宋_GB2312" w:cs="方正仿宋_GB2312"/>
          <w:sz w:val="32"/>
          <w:szCs w:val="32"/>
        </w:rPr>
        <w:t>办点领导干部</w:t>
      </w:r>
      <w:r>
        <w:rPr>
          <w:rFonts w:hint="eastAsia" w:ascii="方正仿宋_GB2312" w:hAnsi="方正仿宋_GB2312" w:eastAsia="方正仿宋_GB2312" w:cs="方正仿宋_GB2312"/>
          <w:sz w:val="32"/>
          <w:szCs w:val="32"/>
          <w:lang w:val="en-US" w:eastAsia="zh-CN"/>
        </w:rPr>
        <w:t>及</w:t>
      </w:r>
      <w:r>
        <w:rPr>
          <w:rFonts w:hint="eastAsia" w:ascii="方正仿宋_GB2312" w:hAnsi="方正仿宋_GB2312" w:eastAsia="方正仿宋_GB2312" w:cs="方正仿宋_GB2312"/>
          <w:sz w:val="32"/>
          <w:szCs w:val="32"/>
        </w:rPr>
        <w:t>负责人。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活动内容：各村（社</w:t>
      </w:r>
      <w:r>
        <w:rPr>
          <w:rFonts w:hint="eastAsia" w:ascii="方正仿宋_GB2312" w:hAnsi="方正仿宋_GB2312" w:eastAsia="方正仿宋_GB2312" w:cs="方正仿宋_GB2312"/>
          <w:sz w:val="32"/>
          <w:szCs w:val="32"/>
          <w:lang w:val="en-US" w:eastAsia="zh-CN"/>
        </w:rPr>
        <w:t>区</w:t>
      </w:r>
      <w:r>
        <w:rPr>
          <w:rFonts w:hint="eastAsia" w:ascii="方正仿宋_GB2312" w:hAnsi="方正仿宋_GB2312" w:eastAsia="方正仿宋_GB2312" w:cs="方正仿宋_GB2312"/>
          <w:sz w:val="32"/>
          <w:szCs w:val="32"/>
        </w:rPr>
        <w:t>）办点领导干部，亲临屋场会现场督导、指导咨询日活动，现场发放宣传册和入户发放宣传资料宣传党和国家安全生产方针政策、法律法规等，深化群众对安全生产主体责任的认识，推动森林防火、防溺水、道路交通、住宅消防、食品安全、企业生产、防汛抗旱等安全知识深入人心。</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(二)开展“安全警示教育日屋场会”活动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牵头责任人：</w:t>
      </w:r>
      <w:r>
        <w:rPr>
          <w:rFonts w:hint="eastAsia" w:ascii="方正仿宋_GB2312" w:hAnsi="方正仿宋_GB2312" w:eastAsia="方正仿宋_GB2312" w:cs="方正仿宋_GB2312"/>
          <w:sz w:val="32"/>
          <w:szCs w:val="32"/>
          <w:lang w:val="en-US" w:eastAsia="zh-CN"/>
        </w:rPr>
        <w:t>各村（社区）</w:t>
      </w:r>
      <w:r>
        <w:rPr>
          <w:rFonts w:hint="eastAsia" w:ascii="方正仿宋_GB2312" w:hAnsi="方正仿宋_GB2312" w:eastAsia="方正仿宋_GB2312" w:cs="方正仿宋_GB2312"/>
          <w:sz w:val="32"/>
          <w:szCs w:val="32"/>
        </w:rPr>
        <w:t>办点领导干部</w:t>
      </w:r>
      <w:r>
        <w:rPr>
          <w:rFonts w:hint="eastAsia" w:ascii="方正仿宋_GB2312" w:hAnsi="方正仿宋_GB2312" w:eastAsia="方正仿宋_GB2312" w:cs="方正仿宋_GB2312"/>
          <w:sz w:val="32"/>
          <w:szCs w:val="32"/>
          <w:lang w:val="en-US" w:eastAsia="zh-CN"/>
        </w:rPr>
        <w:t>及</w:t>
      </w:r>
      <w:r>
        <w:rPr>
          <w:rFonts w:hint="eastAsia" w:ascii="方正仿宋_GB2312" w:hAnsi="方正仿宋_GB2312" w:eastAsia="方正仿宋_GB2312" w:cs="方正仿宋_GB2312"/>
          <w:sz w:val="32"/>
          <w:szCs w:val="32"/>
        </w:rPr>
        <w:t>负责人。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活动内容：各村(社区)、有关单位要结合本</w:t>
      </w:r>
      <w:r>
        <w:rPr>
          <w:rFonts w:hint="eastAsia" w:ascii="方正仿宋_GB2312" w:hAnsi="方正仿宋_GB2312" w:eastAsia="方正仿宋_GB2312" w:cs="方正仿宋_GB2312"/>
          <w:sz w:val="32"/>
          <w:szCs w:val="32"/>
          <w:lang w:val="en-US" w:eastAsia="zh-CN"/>
        </w:rPr>
        <w:t>辖区</w:t>
      </w:r>
      <w:r>
        <w:rPr>
          <w:rFonts w:hint="eastAsia" w:ascii="方正仿宋_GB2312" w:hAnsi="方正仿宋_GB2312" w:eastAsia="方正仿宋_GB2312" w:cs="方正仿宋_GB2312"/>
          <w:sz w:val="32"/>
          <w:szCs w:val="32"/>
        </w:rPr>
        <w:t>、本行业安全生产特点，突出交通道路、烟花爆竹、非煤矿山、危险化学品、建筑施工、消防、特种设备等重点行业领域，组织动员辖区内企业、屋场群众集中观看安全生产警示教育片《生命重于泰山》、《不可逾越的红线》</w:t>
      </w:r>
      <w:r>
        <w:rPr>
          <w:rFonts w:hint="eastAsia" w:ascii="方正仿宋_GB2312" w:hAnsi="方正仿宋_GB2312" w:eastAsia="方正仿宋_GB2312" w:cs="方正仿宋_GB2312"/>
          <w:sz w:val="32"/>
          <w:szCs w:val="32"/>
          <w:lang w:val="en-US" w:eastAsia="zh-CN"/>
        </w:rPr>
        <w:t>等</w:t>
      </w:r>
      <w:r>
        <w:rPr>
          <w:rFonts w:hint="eastAsia" w:ascii="方正仿宋_GB2312" w:hAnsi="方正仿宋_GB2312" w:eastAsia="方正仿宋_GB2312" w:cs="方正仿宋_GB2312"/>
          <w:sz w:val="32"/>
          <w:szCs w:val="32"/>
        </w:rPr>
        <w:t>，用事故教训推动“安全生产屋场会”走深走实。</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(三)开展“安全生产应急预案演练日屋场会”活动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牵头责任人：</w:t>
      </w:r>
      <w:r>
        <w:rPr>
          <w:rFonts w:hint="eastAsia" w:ascii="方正仿宋_GB2312" w:hAnsi="方正仿宋_GB2312" w:eastAsia="方正仿宋_GB2312" w:cs="方正仿宋_GB2312"/>
          <w:sz w:val="32"/>
          <w:szCs w:val="32"/>
          <w:lang w:val="en-US" w:eastAsia="zh-CN"/>
        </w:rPr>
        <w:t>各村（社区）</w:t>
      </w:r>
      <w:r>
        <w:rPr>
          <w:rFonts w:hint="eastAsia" w:ascii="方正仿宋_GB2312" w:hAnsi="方正仿宋_GB2312" w:eastAsia="方正仿宋_GB2312" w:cs="方正仿宋_GB2312"/>
          <w:sz w:val="32"/>
          <w:szCs w:val="32"/>
        </w:rPr>
        <w:t>办点领导干部</w:t>
      </w:r>
      <w:r>
        <w:rPr>
          <w:rFonts w:hint="eastAsia" w:ascii="方正仿宋_GB2312" w:hAnsi="方正仿宋_GB2312" w:eastAsia="方正仿宋_GB2312" w:cs="方正仿宋_GB2312"/>
          <w:sz w:val="32"/>
          <w:szCs w:val="32"/>
          <w:lang w:val="en-US" w:eastAsia="zh-CN"/>
        </w:rPr>
        <w:t>及</w:t>
      </w:r>
      <w:r>
        <w:rPr>
          <w:rFonts w:hint="eastAsia" w:ascii="方正仿宋_GB2312" w:hAnsi="方正仿宋_GB2312" w:eastAsia="方正仿宋_GB2312" w:cs="方正仿宋_GB2312"/>
          <w:sz w:val="32"/>
          <w:szCs w:val="32"/>
        </w:rPr>
        <w:t>负责人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相关</w:t>
      </w:r>
      <w:r>
        <w:rPr>
          <w:rFonts w:hint="eastAsia" w:ascii="方正仿宋_GB2312" w:hAnsi="方正仿宋_GB2312" w:eastAsia="方正仿宋_GB2312" w:cs="方正仿宋_GB2312"/>
          <w:sz w:val="32"/>
          <w:szCs w:val="32"/>
        </w:rPr>
        <w:t>单位负责人。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活动内容：各村(社区)、有关单位要结合实际，组织开展森林防火、道路交通、消防安全、校园安全、非煤矿山、危险化学品、烟花爆竹及公众聚集场所等行业领域突发事件应急处置和逃生自救疏散演练，组织相关从业人员与基层群众到应急演练活动现场观摩，将演练活动与加强群众的安全知识教育和应急救援培训结合，增强从业人员的安全防范意识，提高群众防灾、避灾和自救、互救能力。</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(四)开展“安全生产集中宣讲屋场会”活动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牵头责任人：</w:t>
      </w:r>
      <w:r>
        <w:rPr>
          <w:rFonts w:hint="eastAsia" w:ascii="方正仿宋_GB2312" w:hAnsi="方正仿宋_GB2312" w:eastAsia="方正仿宋_GB2312" w:cs="方正仿宋_GB2312"/>
          <w:sz w:val="32"/>
          <w:szCs w:val="32"/>
          <w:lang w:val="en-US" w:eastAsia="zh-CN"/>
        </w:rPr>
        <w:t>各村（社区）</w:t>
      </w:r>
      <w:r>
        <w:rPr>
          <w:rFonts w:hint="eastAsia" w:ascii="方正仿宋_GB2312" w:hAnsi="方正仿宋_GB2312" w:eastAsia="方正仿宋_GB2312" w:cs="方正仿宋_GB2312"/>
          <w:sz w:val="32"/>
          <w:szCs w:val="32"/>
        </w:rPr>
        <w:t>办点领导干部</w:t>
      </w:r>
      <w:r>
        <w:rPr>
          <w:rFonts w:hint="eastAsia" w:ascii="方正仿宋_GB2312" w:hAnsi="方正仿宋_GB2312" w:eastAsia="方正仿宋_GB2312" w:cs="方正仿宋_GB2312"/>
          <w:sz w:val="32"/>
          <w:szCs w:val="32"/>
          <w:lang w:val="en-US" w:eastAsia="zh-CN"/>
        </w:rPr>
        <w:t>及</w:t>
      </w:r>
      <w:r>
        <w:rPr>
          <w:rFonts w:hint="eastAsia" w:ascii="方正仿宋_GB2312" w:hAnsi="方正仿宋_GB2312" w:eastAsia="方正仿宋_GB2312" w:cs="方正仿宋_GB2312"/>
          <w:sz w:val="32"/>
          <w:szCs w:val="32"/>
        </w:rPr>
        <w:t>负责人。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活动内容：各村（社区）结合实际，利</w:t>
      </w:r>
      <w:r>
        <w:rPr>
          <w:rFonts w:hint="eastAsia" w:ascii="方正仿宋_GB2312" w:hAnsi="方正仿宋_GB2312" w:eastAsia="方正仿宋_GB2312" w:cs="方正仿宋_GB2312"/>
          <w:sz w:val="32"/>
          <w:szCs w:val="32"/>
          <w:lang w:val="en-US" w:eastAsia="zh-CN"/>
        </w:rPr>
        <w:t>用</w:t>
      </w:r>
      <w:r>
        <w:rPr>
          <w:rFonts w:hint="eastAsia" w:ascii="方正仿宋_GB2312" w:hAnsi="方正仿宋_GB2312" w:eastAsia="方正仿宋_GB2312" w:cs="方正仿宋_GB2312"/>
          <w:sz w:val="32"/>
          <w:szCs w:val="32"/>
        </w:rPr>
        <w:t>广大群众农闲</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午休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晚饭后的空闲时间，积极组织屋场群众，唠家常</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话安全，镇</w:t>
      </w:r>
      <w:r>
        <w:rPr>
          <w:rFonts w:hint="eastAsia" w:ascii="方正仿宋_GB2312" w:hAnsi="方正仿宋_GB2312" w:eastAsia="方正仿宋_GB2312" w:cs="方正仿宋_GB2312"/>
          <w:sz w:val="32"/>
          <w:szCs w:val="32"/>
          <w:lang w:val="en-US" w:eastAsia="zh-CN"/>
        </w:rPr>
        <w:t>主要领导</w:t>
      </w:r>
      <w:r>
        <w:rPr>
          <w:rFonts w:hint="eastAsia" w:ascii="方正仿宋_GB2312" w:hAnsi="方正仿宋_GB2312" w:eastAsia="方正仿宋_GB2312" w:cs="方正仿宋_GB2312"/>
          <w:sz w:val="32"/>
          <w:szCs w:val="32"/>
        </w:rPr>
        <w:t>带头讲</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办点领导主力讲</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办点干部分组讲，逐村逐组推进，以喜闻乐见，互动交流的方式，将安全生产知识送进千家万户，真正做到“ 人人讲安全，人人学安全，人人会安全”。</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黑体" w:hAnsi="黑体" w:eastAsia="黑体" w:cs="黑体"/>
          <w:sz w:val="32"/>
          <w:szCs w:val="32"/>
        </w:rPr>
      </w:pPr>
      <w:r>
        <w:rPr>
          <w:rFonts w:hint="eastAsia" w:ascii="黑体" w:hAnsi="黑体" w:eastAsia="黑体" w:cs="黑体"/>
          <w:sz w:val="32"/>
          <w:szCs w:val="32"/>
        </w:rPr>
        <w:t>　　四、活动要求</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方正仿宋_GB2312" w:hAnsi="方正仿宋_GB2312" w:eastAsia="方正仿宋_GB2312" w:cs="方正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　(一)加强领导</w:t>
      </w:r>
      <w:r>
        <w:rPr>
          <w:rFonts w:hint="eastAsia" w:ascii="仿宋" w:hAnsi="仿宋" w:eastAsia="仿宋" w:cs="仿宋"/>
          <w:sz w:val="32"/>
          <w:szCs w:val="32"/>
        </w:rPr>
        <w:t>。</w:t>
      </w:r>
      <w:r>
        <w:rPr>
          <w:rFonts w:hint="eastAsia" w:ascii="方正仿宋_GB2312" w:hAnsi="方正仿宋_GB2312" w:eastAsia="方正仿宋_GB2312" w:cs="方正仿宋_GB2312"/>
          <w:sz w:val="32"/>
          <w:szCs w:val="32"/>
        </w:rPr>
        <w:t>各办点领导干部要指导各村(社区)和部门精心组织，细致谋划，结合本</w:t>
      </w:r>
      <w:r>
        <w:rPr>
          <w:rFonts w:hint="eastAsia" w:ascii="方正仿宋_GB2312" w:hAnsi="方正仿宋_GB2312" w:eastAsia="方正仿宋_GB2312" w:cs="方正仿宋_GB2312"/>
          <w:sz w:val="32"/>
          <w:szCs w:val="32"/>
          <w:lang w:val="en-US" w:eastAsia="zh-CN"/>
        </w:rPr>
        <w:t>辖区</w:t>
      </w:r>
      <w:r>
        <w:rPr>
          <w:rFonts w:hint="eastAsia" w:ascii="方正仿宋_GB2312" w:hAnsi="方正仿宋_GB2312" w:eastAsia="方正仿宋_GB2312" w:cs="方正仿宋_GB2312"/>
          <w:sz w:val="32"/>
          <w:szCs w:val="32"/>
        </w:rPr>
        <w:t>、本行业实际，制定活动方案，安排活动内容和形式，开展各具特色的活动，确保活动顺利开展。</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rPr>
        <w:t>　(二)协调联动</w:t>
      </w:r>
      <w:r>
        <w:rPr>
          <w:rFonts w:hint="eastAsia" w:ascii="仿宋" w:hAnsi="仿宋" w:eastAsia="仿宋" w:cs="仿宋"/>
          <w:sz w:val="32"/>
          <w:szCs w:val="32"/>
        </w:rPr>
        <w:t>。</w:t>
      </w:r>
      <w:r>
        <w:rPr>
          <w:rFonts w:hint="eastAsia" w:ascii="方正仿宋_GB2312" w:hAnsi="方正仿宋_GB2312" w:eastAsia="方正仿宋_GB2312" w:cs="方正仿宋_GB2312"/>
          <w:sz w:val="32"/>
          <w:szCs w:val="32"/>
        </w:rPr>
        <w:t>“安全生产屋场会”活动领导小组办公室要充分发挥指导协调作用，加强沟通</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上下联动</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左右协调，引导发动有关单位、企业、广大群众积极参与“安全生产屋场会”活动，拓宽参与面，扩大覆盖面，增强影响力。</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方正仿宋_GB2312" w:hAnsi="方正仿宋_GB2312" w:eastAsia="方正仿宋_GB2312" w:cs="方正仿宋_GB2312"/>
          <w:sz w:val="32"/>
          <w:szCs w:val="32"/>
        </w:rPr>
      </w:pPr>
      <w:r>
        <w:rPr>
          <w:rFonts w:hint="eastAsia" w:ascii="楷体" w:hAnsi="楷体" w:eastAsia="楷体" w:cs="楷体"/>
          <w:sz w:val="32"/>
          <w:szCs w:val="32"/>
        </w:rPr>
        <w:t>　</w:t>
      </w:r>
      <w:r>
        <w:rPr>
          <w:rFonts w:hint="eastAsia" w:ascii="楷体" w:hAnsi="楷体" w:eastAsia="楷体" w:cs="楷体"/>
          <w:b/>
          <w:bCs/>
          <w:sz w:val="32"/>
          <w:szCs w:val="32"/>
        </w:rPr>
        <w:t>　(三)营造氛围</w:t>
      </w:r>
      <w:r>
        <w:rPr>
          <w:rFonts w:hint="eastAsia" w:ascii="仿宋" w:hAnsi="仿宋" w:eastAsia="仿宋" w:cs="仿宋"/>
          <w:sz w:val="32"/>
          <w:szCs w:val="32"/>
        </w:rPr>
        <w:t>。</w:t>
      </w:r>
      <w:r>
        <w:rPr>
          <w:rFonts w:hint="eastAsia" w:ascii="方正仿宋_GB2312" w:hAnsi="方正仿宋_GB2312" w:eastAsia="方正仿宋_GB2312" w:cs="方正仿宋_GB2312"/>
          <w:sz w:val="32"/>
          <w:szCs w:val="32"/>
        </w:rPr>
        <w:t>各村(社区)和部门要加强与媒体的协作配合，充分发挥新闻媒体作用，加强正面引导。要围绕“安全生产屋场会”活动主题，开设专版专栏，宣传先进典型，传播安全理念，营造浓厚舆论氛围。</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rPr>
        <w:t>(四)力求实效</w:t>
      </w:r>
      <w:r>
        <w:rPr>
          <w:rFonts w:hint="eastAsia" w:ascii="仿宋" w:hAnsi="仿宋" w:eastAsia="仿宋" w:cs="仿宋"/>
          <w:sz w:val="32"/>
          <w:szCs w:val="32"/>
        </w:rPr>
        <w:t>。</w:t>
      </w:r>
      <w:r>
        <w:rPr>
          <w:rFonts w:hint="eastAsia" w:ascii="方正仿宋_GB2312" w:hAnsi="方正仿宋_GB2312" w:eastAsia="方正仿宋_GB2312" w:cs="方正仿宋_GB2312"/>
          <w:sz w:val="32"/>
          <w:szCs w:val="32"/>
        </w:rPr>
        <w:t xml:space="preserve">各村(社区)和部门要善于总结经验，坚持贴近实际、贴近基层、贴近群众原则，结合自身特点，创新活动形式和内容，增强活动实效。    </w:t>
      </w:r>
      <w:r>
        <w:rPr>
          <w:rFonts w:hint="eastAsia" w:ascii="方正仿宋_GB2312" w:hAnsi="方正仿宋_GB2312" w:eastAsia="方正仿宋_GB2312" w:cs="方正仿宋_GB2312"/>
          <w:sz w:val="32"/>
          <w:szCs w:val="32"/>
          <w:lang w:val="en-US" w:eastAsia="zh-CN"/>
        </w:rPr>
        <w:t xml:space="preserve"> </w:t>
      </w: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line="640" w:lineRule="exact"/>
        <w:ind w:firstLine="640" w:firstLineChars="20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Autospacing="0"/>
        <w:ind w:left="0" w:leftChars="0" w:firstLine="640" w:firstLineChars="200"/>
        <w:textAlignment w:val="auto"/>
        <w:rPr>
          <w:rFonts w:hint="default"/>
          <w:lang w:val="en-US" w:eastAsia="zh-CN"/>
        </w:rPr>
      </w:pPr>
      <w:r>
        <w:rPr>
          <w:rFonts w:hint="eastAsia" w:ascii="仿宋" w:hAnsi="仿宋" w:eastAsia="仿宋" w:cs="仿宋"/>
          <w:sz w:val="32"/>
          <w:szCs w:val="32"/>
          <w:lang w:val="en-US" w:eastAsia="zh-CN"/>
        </w:rPr>
        <w:t>附件：坦渡镇“安全生产屋场会”活动反馈表</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eastAsia" w:ascii="仿宋" w:hAnsi="仿宋" w:eastAsia="仿宋" w:cs="仿宋"/>
          <w:sz w:val="24"/>
          <w:szCs w:val="24"/>
          <w:u w:val="single"/>
        </w:rPr>
      </w:pPr>
      <w:r>
        <w:rPr>
          <w:rFonts w:hint="eastAsia" w:ascii="仿宋" w:hAnsi="仿宋" w:eastAsia="仿宋" w:cs="仿宋"/>
          <w:sz w:val="32"/>
          <w:szCs w:val="32"/>
          <w:lang w:val="en-US" w:eastAsia="zh-CN"/>
        </w:rPr>
        <w:t xml:space="preserve">                      </w:t>
      </w:r>
      <w:r>
        <w:rPr>
          <w:rFonts w:hint="eastAsia" w:ascii="方正仿宋_GB2312" w:hAnsi="方正仿宋_GB2312" w:eastAsia="方正仿宋_GB2312" w:cs="方正仿宋_GB2312"/>
          <w:sz w:val="32"/>
          <w:szCs w:val="32"/>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sz w:val="28"/>
          <w:szCs w:val="28"/>
          <w:u w:val="single"/>
          <w:lang w:val="en-US" w:eastAsia="zh-CN"/>
        </w:rPr>
      </w:pPr>
    </w:p>
    <w:p>
      <w:pPr>
        <w:spacing w:line="576" w:lineRule="exact"/>
        <w:jc w:val="both"/>
        <w:rPr>
          <w:rFonts w:hint="eastAsia" w:ascii="仿宋" w:hAnsi="仿宋" w:eastAsia="仿宋" w:cs="仿宋"/>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before="469" w:beforeLines="150" w:line="576" w:lineRule="exact"/>
        <w:jc w:val="both"/>
        <w:textAlignment w:val="auto"/>
        <w:rPr>
          <w:rFonts w:hint="eastAsia" w:ascii="仿宋" w:hAnsi="仿宋" w:eastAsia="仿宋" w:cs="仿宋"/>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eastAsia="方正小标宋简体" w:cs="方正小标宋简体"/>
          <w:sz w:val="44"/>
          <w:szCs w:val="44"/>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方正仿宋_GB2312" w:hAnsi="方正仿宋_GB2312" w:eastAsia="方正仿宋_GB2312" w:cs="方正仿宋_GB2312"/>
          <w:sz w:val="28"/>
          <w:szCs w:val="28"/>
          <w:u w:val="single"/>
          <w:lang w:val="en-US" w:eastAsia="zh-CN"/>
        </w:rPr>
        <w:t>坦渡镇党政办公室                      2022年8月22日印发</w:t>
      </w:r>
      <w:r>
        <w:rPr>
          <w:rFonts w:hint="eastAsia" w:ascii="方正仿宋_GB2312" w:hAnsi="方正仿宋_GB2312" w:eastAsia="方正仿宋_GB2312" w:cs="方正仿宋_GB2312"/>
          <w:sz w:val="28"/>
          <w:szCs w:val="28"/>
          <w:u w:val="single"/>
        </w:rPr>
        <w:t xml:space="preserve"> </w:t>
      </w:r>
      <w:r>
        <w:rPr>
          <w:rFonts w:hint="eastAsia" w:ascii="仿宋" w:hAnsi="仿宋" w:eastAsia="仿宋" w:cs="仿宋"/>
          <w:sz w:val="28"/>
          <w:szCs w:val="28"/>
          <w:u w:val="single"/>
          <w:lang w:val="en-US" w:eastAsia="zh-CN"/>
        </w:rPr>
        <w:t xml:space="preserve">   </w:t>
      </w:r>
    </w:p>
    <w:p>
      <w:pPr>
        <w:spacing w:line="576"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bookmarkStart w:id="0" w:name="_GoBack"/>
      <w:bookmarkEnd w:id="0"/>
    </w:p>
    <w:p>
      <w:pPr>
        <w:spacing w:line="576" w:lineRule="exact"/>
        <w:jc w:val="center"/>
        <w:rPr>
          <w:sz w:val="44"/>
          <w:szCs w:val="44"/>
        </w:rPr>
      </w:pPr>
      <w:r>
        <w:rPr>
          <w:rFonts w:hint="eastAsia" w:ascii="Times New Roman" w:hAnsi="Times New Roman" w:eastAsia="方正小标宋简体" w:cs="方正小标宋简体"/>
          <w:sz w:val="44"/>
          <w:szCs w:val="44"/>
        </w:rPr>
        <w:t>坦渡镇“安全生产屋场会”活动反馈表</w:t>
      </w:r>
    </w:p>
    <w:p>
      <w:pPr>
        <w:pStyle w:val="4"/>
      </w:pPr>
    </w:p>
    <w:tbl>
      <w:tblPr>
        <w:tblStyle w:val="9"/>
        <w:tblW w:w="9096" w:type="dxa"/>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1082"/>
        <w:gridCol w:w="1206"/>
        <w:gridCol w:w="2645"/>
        <w:gridCol w:w="2170"/>
        <w:gridCol w:w="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trPr>
        <w:tc>
          <w:tcPr>
            <w:tcW w:w="1041" w:type="dxa"/>
            <w:vAlign w:val="center"/>
          </w:tcPr>
          <w:p>
            <w:pPr>
              <w:spacing w:line="400" w:lineRule="exact"/>
              <w:jc w:val="center"/>
              <w:rPr>
                <w:b/>
                <w:bCs/>
                <w:sz w:val="24"/>
                <w:szCs w:val="24"/>
              </w:rPr>
            </w:pPr>
            <w:r>
              <w:rPr>
                <w:rFonts w:hint="eastAsia"/>
                <w:b/>
                <w:bCs/>
                <w:sz w:val="24"/>
                <w:szCs w:val="24"/>
              </w:rPr>
              <w:t>时间</w:t>
            </w:r>
          </w:p>
        </w:tc>
        <w:tc>
          <w:tcPr>
            <w:tcW w:w="1082" w:type="dxa"/>
            <w:vAlign w:val="center"/>
          </w:tcPr>
          <w:p>
            <w:pPr>
              <w:spacing w:line="400" w:lineRule="exact"/>
              <w:jc w:val="center"/>
              <w:rPr>
                <w:b/>
                <w:bCs/>
                <w:sz w:val="24"/>
                <w:szCs w:val="24"/>
              </w:rPr>
            </w:pPr>
            <w:r>
              <w:rPr>
                <w:rFonts w:hint="eastAsia"/>
                <w:b/>
                <w:bCs/>
                <w:sz w:val="24"/>
                <w:szCs w:val="24"/>
              </w:rPr>
              <w:t>地点</w:t>
            </w:r>
          </w:p>
        </w:tc>
        <w:tc>
          <w:tcPr>
            <w:tcW w:w="1206" w:type="dxa"/>
            <w:vAlign w:val="center"/>
          </w:tcPr>
          <w:p>
            <w:pPr>
              <w:spacing w:line="400" w:lineRule="exact"/>
              <w:jc w:val="center"/>
              <w:rPr>
                <w:b/>
                <w:bCs/>
                <w:sz w:val="24"/>
                <w:szCs w:val="24"/>
              </w:rPr>
            </w:pPr>
            <w:r>
              <w:rPr>
                <w:rFonts w:hint="eastAsia"/>
                <w:b/>
                <w:bCs/>
                <w:sz w:val="24"/>
                <w:szCs w:val="24"/>
              </w:rPr>
              <w:t>宣讲人</w:t>
            </w:r>
          </w:p>
        </w:tc>
        <w:tc>
          <w:tcPr>
            <w:tcW w:w="2645" w:type="dxa"/>
            <w:vAlign w:val="center"/>
          </w:tcPr>
          <w:p>
            <w:pPr>
              <w:spacing w:line="400" w:lineRule="exact"/>
              <w:jc w:val="center"/>
              <w:rPr>
                <w:b/>
                <w:bCs/>
                <w:sz w:val="24"/>
                <w:szCs w:val="24"/>
              </w:rPr>
            </w:pPr>
            <w:r>
              <w:rPr>
                <w:rFonts w:hint="eastAsia"/>
                <w:b/>
                <w:bCs/>
                <w:sz w:val="24"/>
                <w:szCs w:val="24"/>
              </w:rPr>
              <w:t>宣讲内容</w:t>
            </w:r>
          </w:p>
        </w:tc>
        <w:tc>
          <w:tcPr>
            <w:tcW w:w="2170" w:type="dxa"/>
            <w:vAlign w:val="center"/>
          </w:tcPr>
          <w:p>
            <w:pPr>
              <w:spacing w:line="400" w:lineRule="exact"/>
              <w:jc w:val="center"/>
              <w:rPr>
                <w:b/>
                <w:bCs/>
                <w:sz w:val="24"/>
                <w:szCs w:val="24"/>
              </w:rPr>
            </w:pPr>
          </w:p>
          <w:p>
            <w:pPr>
              <w:spacing w:line="400" w:lineRule="exact"/>
              <w:jc w:val="center"/>
              <w:rPr>
                <w:b/>
                <w:bCs/>
                <w:sz w:val="24"/>
                <w:szCs w:val="24"/>
              </w:rPr>
            </w:pPr>
            <w:r>
              <w:rPr>
                <w:rFonts w:hint="eastAsia"/>
                <w:b/>
                <w:bCs/>
                <w:sz w:val="24"/>
                <w:szCs w:val="24"/>
              </w:rPr>
              <w:t>活动感想及建议</w:t>
            </w:r>
          </w:p>
          <w:p>
            <w:pPr>
              <w:spacing w:line="400" w:lineRule="exact"/>
              <w:jc w:val="center"/>
              <w:rPr>
                <w:b/>
                <w:bCs/>
                <w:sz w:val="24"/>
                <w:szCs w:val="24"/>
              </w:rPr>
            </w:pPr>
          </w:p>
        </w:tc>
        <w:tc>
          <w:tcPr>
            <w:tcW w:w="952" w:type="dxa"/>
            <w:vAlign w:val="center"/>
          </w:tcPr>
          <w:p>
            <w:pPr>
              <w:pStyle w:val="4"/>
              <w:ind w:firstLine="0" w:firstLineChars="0"/>
              <w:jc w:val="center"/>
              <w:rPr>
                <w:b/>
                <w:bCs/>
                <w:sz w:val="24"/>
                <w:szCs w:val="24"/>
              </w:rPr>
            </w:pPr>
            <w:r>
              <w:rPr>
                <w:rFonts w:hint="eastAsia"/>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1041" w:type="dxa"/>
            <w:vAlign w:val="center"/>
          </w:tcPr>
          <w:p>
            <w:pPr>
              <w:pStyle w:val="4"/>
              <w:ind w:firstLine="320" w:firstLineChars="100"/>
              <w:jc w:val="center"/>
              <w:rPr>
                <w:sz w:val="32"/>
                <w:szCs w:val="32"/>
              </w:rPr>
            </w:pPr>
          </w:p>
        </w:tc>
        <w:tc>
          <w:tcPr>
            <w:tcW w:w="1082" w:type="dxa"/>
            <w:vAlign w:val="center"/>
          </w:tcPr>
          <w:p>
            <w:pPr>
              <w:pStyle w:val="4"/>
              <w:ind w:firstLine="640"/>
              <w:jc w:val="center"/>
              <w:rPr>
                <w:sz w:val="32"/>
                <w:szCs w:val="32"/>
              </w:rPr>
            </w:pPr>
          </w:p>
        </w:tc>
        <w:tc>
          <w:tcPr>
            <w:tcW w:w="1206" w:type="dxa"/>
            <w:vAlign w:val="center"/>
          </w:tcPr>
          <w:p>
            <w:pPr>
              <w:pStyle w:val="4"/>
              <w:ind w:firstLine="320" w:firstLineChars="100"/>
              <w:jc w:val="center"/>
              <w:rPr>
                <w:sz w:val="32"/>
                <w:szCs w:val="32"/>
              </w:rPr>
            </w:pPr>
          </w:p>
        </w:tc>
        <w:tc>
          <w:tcPr>
            <w:tcW w:w="2645" w:type="dxa"/>
            <w:vAlign w:val="center"/>
          </w:tcPr>
          <w:p>
            <w:pPr>
              <w:pStyle w:val="4"/>
              <w:ind w:firstLine="640"/>
              <w:jc w:val="center"/>
              <w:rPr>
                <w:sz w:val="32"/>
                <w:szCs w:val="32"/>
              </w:rPr>
            </w:pPr>
          </w:p>
        </w:tc>
        <w:tc>
          <w:tcPr>
            <w:tcW w:w="2170" w:type="dxa"/>
            <w:vAlign w:val="center"/>
          </w:tcPr>
          <w:p>
            <w:pPr>
              <w:pStyle w:val="4"/>
              <w:ind w:firstLine="640"/>
              <w:jc w:val="center"/>
              <w:rPr>
                <w:sz w:val="32"/>
                <w:szCs w:val="32"/>
              </w:rPr>
            </w:pPr>
          </w:p>
        </w:tc>
        <w:tc>
          <w:tcPr>
            <w:tcW w:w="952" w:type="dxa"/>
            <w:vAlign w:val="center"/>
          </w:tcPr>
          <w:p>
            <w:pPr>
              <w:pStyle w:val="4"/>
              <w:ind w:firstLine="640"/>
              <w:jc w:val="cente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1041" w:type="dxa"/>
            <w:vAlign w:val="center"/>
          </w:tcPr>
          <w:p>
            <w:pPr>
              <w:pStyle w:val="4"/>
              <w:ind w:firstLine="320" w:firstLineChars="100"/>
              <w:jc w:val="center"/>
              <w:rPr>
                <w:sz w:val="32"/>
                <w:szCs w:val="32"/>
              </w:rPr>
            </w:pPr>
          </w:p>
        </w:tc>
        <w:tc>
          <w:tcPr>
            <w:tcW w:w="1082" w:type="dxa"/>
            <w:vAlign w:val="center"/>
          </w:tcPr>
          <w:p>
            <w:pPr>
              <w:pStyle w:val="4"/>
              <w:ind w:firstLine="640"/>
              <w:jc w:val="center"/>
              <w:rPr>
                <w:sz w:val="32"/>
                <w:szCs w:val="32"/>
              </w:rPr>
            </w:pPr>
          </w:p>
        </w:tc>
        <w:tc>
          <w:tcPr>
            <w:tcW w:w="1206" w:type="dxa"/>
            <w:vAlign w:val="center"/>
          </w:tcPr>
          <w:p>
            <w:pPr>
              <w:pStyle w:val="4"/>
              <w:ind w:firstLine="320" w:firstLineChars="100"/>
              <w:jc w:val="center"/>
              <w:rPr>
                <w:sz w:val="32"/>
                <w:szCs w:val="32"/>
              </w:rPr>
            </w:pPr>
          </w:p>
        </w:tc>
        <w:tc>
          <w:tcPr>
            <w:tcW w:w="2645" w:type="dxa"/>
            <w:vAlign w:val="center"/>
          </w:tcPr>
          <w:p>
            <w:pPr>
              <w:pStyle w:val="4"/>
              <w:ind w:firstLine="640"/>
              <w:jc w:val="center"/>
              <w:rPr>
                <w:sz w:val="32"/>
                <w:szCs w:val="32"/>
              </w:rPr>
            </w:pPr>
          </w:p>
        </w:tc>
        <w:tc>
          <w:tcPr>
            <w:tcW w:w="2170" w:type="dxa"/>
            <w:vAlign w:val="center"/>
          </w:tcPr>
          <w:p>
            <w:pPr>
              <w:pStyle w:val="4"/>
              <w:ind w:firstLine="640"/>
              <w:jc w:val="center"/>
              <w:rPr>
                <w:sz w:val="32"/>
                <w:szCs w:val="32"/>
              </w:rPr>
            </w:pPr>
          </w:p>
        </w:tc>
        <w:tc>
          <w:tcPr>
            <w:tcW w:w="952" w:type="dxa"/>
            <w:vAlign w:val="center"/>
          </w:tcPr>
          <w:p>
            <w:pPr>
              <w:pStyle w:val="4"/>
              <w:ind w:firstLine="640"/>
              <w:jc w:val="cente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1041" w:type="dxa"/>
            <w:vAlign w:val="center"/>
          </w:tcPr>
          <w:p>
            <w:pPr>
              <w:pStyle w:val="4"/>
              <w:ind w:firstLine="320" w:firstLineChars="100"/>
              <w:jc w:val="center"/>
              <w:rPr>
                <w:sz w:val="32"/>
                <w:szCs w:val="32"/>
              </w:rPr>
            </w:pPr>
          </w:p>
        </w:tc>
        <w:tc>
          <w:tcPr>
            <w:tcW w:w="1082" w:type="dxa"/>
            <w:vAlign w:val="center"/>
          </w:tcPr>
          <w:p>
            <w:pPr>
              <w:pStyle w:val="4"/>
              <w:ind w:firstLine="640"/>
              <w:jc w:val="center"/>
              <w:rPr>
                <w:sz w:val="32"/>
                <w:szCs w:val="32"/>
              </w:rPr>
            </w:pPr>
          </w:p>
        </w:tc>
        <w:tc>
          <w:tcPr>
            <w:tcW w:w="1206" w:type="dxa"/>
            <w:vAlign w:val="center"/>
          </w:tcPr>
          <w:p>
            <w:pPr>
              <w:pStyle w:val="4"/>
              <w:ind w:firstLine="320" w:firstLineChars="100"/>
              <w:jc w:val="center"/>
              <w:rPr>
                <w:sz w:val="32"/>
                <w:szCs w:val="32"/>
              </w:rPr>
            </w:pPr>
          </w:p>
        </w:tc>
        <w:tc>
          <w:tcPr>
            <w:tcW w:w="2645" w:type="dxa"/>
            <w:vAlign w:val="center"/>
          </w:tcPr>
          <w:p>
            <w:pPr>
              <w:pStyle w:val="4"/>
              <w:ind w:firstLine="640"/>
              <w:jc w:val="center"/>
              <w:rPr>
                <w:sz w:val="32"/>
                <w:szCs w:val="32"/>
              </w:rPr>
            </w:pPr>
          </w:p>
        </w:tc>
        <w:tc>
          <w:tcPr>
            <w:tcW w:w="2170" w:type="dxa"/>
            <w:vAlign w:val="center"/>
          </w:tcPr>
          <w:p>
            <w:pPr>
              <w:pStyle w:val="4"/>
              <w:ind w:firstLine="640"/>
              <w:jc w:val="center"/>
              <w:rPr>
                <w:sz w:val="32"/>
                <w:szCs w:val="32"/>
              </w:rPr>
            </w:pPr>
          </w:p>
        </w:tc>
        <w:tc>
          <w:tcPr>
            <w:tcW w:w="952" w:type="dxa"/>
            <w:vAlign w:val="center"/>
          </w:tcPr>
          <w:p>
            <w:pPr>
              <w:pStyle w:val="4"/>
              <w:ind w:firstLine="640"/>
              <w:jc w:val="cente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1041" w:type="dxa"/>
            <w:vAlign w:val="center"/>
          </w:tcPr>
          <w:p>
            <w:pPr>
              <w:pStyle w:val="4"/>
              <w:ind w:firstLine="320" w:firstLineChars="100"/>
              <w:jc w:val="center"/>
              <w:rPr>
                <w:sz w:val="32"/>
                <w:szCs w:val="32"/>
              </w:rPr>
            </w:pPr>
          </w:p>
        </w:tc>
        <w:tc>
          <w:tcPr>
            <w:tcW w:w="1082" w:type="dxa"/>
            <w:vAlign w:val="center"/>
          </w:tcPr>
          <w:p>
            <w:pPr>
              <w:pStyle w:val="4"/>
              <w:ind w:firstLine="640"/>
              <w:jc w:val="center"/>
              <w:rPr>
                <w:sz w:val="32"/>
                <w:szCs w:val="32"/>
              </w:rPr>
            </w:pPr>
          </w:p>
        </w:tc>
        <w:tc>
          <w:tcPr>
            <w:tcW w:w="1206" w:type="dxa"/>
            <w:vAlign w:val="center"/>
          </w:tcPr>
          <w:p>
            <w:pPr>
              <w:pStyle w:val="4"/>
              <w:ind w:firstLine="320" w:firstLineChars="100"/>
              <w:jc w:val="center"/>
              <w:rPr>
                <w:sz w:val="32"/>
                <w:szCs w:val="32"/>
              </w:rPr>
            </w:pPr>
          </w:p>
        </w:tc>
        <w:tc>
          <w:tcPr>
            <w:tcW w:w="2645" w:type="dxa"/>
            <w:vAlign w:val="center"/>
          </w:tcPr>
          <w:p>
            <w:pPr>
              <w:pStyle w:val="4"/>
              <w:ind w:firstLine="640"/>
              <w:jc w:val="center"/>
              <w:rPr>
                <w:sz w:val="32"/>
                <w:szCs w:val="32"/>
              </w:rPr>
            </w:pPr>
          </w:p>
        </w:tc>
        <w:tc>
          <w:tcPr>
            <w:tcW w:w="2170" w:type="dxa"/>
            <w:vAlign w:val="center"/>
          </w:tcPr>
          <w:p>
            <w:pPr>
              <w:pStyle w:val="4"/>
              <w:ind w:firstLine="640"/>
              <w:jc w:val="center"/>
              <w:rPr>
                <w:sz w:val="32"/>
                <w:szCs w:val="32"/>
              </w:rPr>
            </w:pPr>
          </w:p>
        </w:tc>
        <w:tc>
          <w:tcPr>
            <w:tcW w:w="952" w:type="dxa"/>
            <w:vAlign w:val="center"/>
          </w:tcPr>
          <w:p>
            <w:pPr>
              <w:pStyle w:val="4"/>
              <w:ind w:firstLine="640"/>
              <w:jc w:val="cente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1041" w:type="dxa"/>
            <w:vAlign w:val="center"/>
          </w:tcPr>
          <w:p>
            <w:pPr>
              <w:pStyle w:val="4"/>
              <w:ind w:firstLine="320" w:firstLineChars="100"/>
              <w:jc w:val="center"/>
              <w:rPr>
                <w:sz w:val="32"/>
                <w:szCs w:val="32"/>
              </w:rPr>
            </w:pPr>
          </w:p>
        </w:tc>
        <w:tc>
          <w:tcPr>
            <w:tcW w:w="1082" w:type="dxa"/>
            <w:vAlign w:val="center"/>
          </w:tcPr>
          <w:p>
            <w:pPr>
              <w:pStyle w:val="4"/>
              <w:ind w:firstLine="640"/>
              <w:jc w:val="center"/>
              <w:rPr>
                <w:sz w:val="32"/>
                <w:szCs w:val="32"/>
              </w:rPr>
            </w:pPr>
          </w:p>
        </w:tc>
        <w:tc>
          <w:tcPr>
            <w:tcW w:w="1206" w:type="dxa"/>
            <w:vAlign w:val="center"/>
          </w:tcPr>
          <w:p>
            <w:pPr>
              <w:pStyle w:val="4"/>
              <w:ind w:firstLine="320" w:firstLineChars="100"/>
              <w:jc w:val="center"/>
              <w:rPr>
                <w:sz w:val="32"/>
                <w:szCs w:val="32"/>
              </w:rPr>
            </w:pPr>
          </w:p>
        </w:tc>
        <w:tc>
          <w:tcPr>
            <w:tcW w:w="2645" w:type="dxa"/>
            <w:vAlign w:val="center"/>
          </w:tcPr>
          <w:p>
            <w:pPr>
              <w:pStyle w:val="4"/>
              <w:ind w:firstLine="640"/>
              <w:jc w:val="center"/>
              <w:rPr>
                <w:sz w:val="32"/>
                <w:szCs w:val="32"/>
              </w:rPr>
            </w:pPr>
          </w:p>
        </w:tc>
        <w:tc>
          <w:tcPr>
            <w:tcW w:w="2170" w:type="dxa"/>
            <w:vAlign w:val="center"/>
          </w:tcPr>
          <w:p>
            <w:pPr>
              <w:pStyle w:val="4"/>
              <w:ind w:firstLine="640"/>
              <w:jc w:val="center"/>
              <w:rPr>
                <w:sz w:val="32"/>
                <w:szCs w:val="32"/>
              </w:rPr>
            </w:pPr>
          </w:p>
        </w:tc>
        <w:tc>
          <w:tcPr>
            <w:tcW w:w="952" w:type="dxa"/>
            <w:vAlign w:val="center"/>
          </w:tcPr>
          <w:p>
            <w:pPr>
              <w:pStyle w:val="4"/>
              <w:ind w:firstLine="640"/>
              <w:jc w:val="cente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1041" w:type="dxa"/>
            <w:vAlign w:val="center"/>
          </w:tcPr>
          <w:p>
            <w:pPr>
              <w:pStyle w:val="4"/>
              <w:ind w:firstLine="320" w:firstLineChars="100"/>
              <w:jc w:val="center"/>
              <w:rPr>
                <w:sz w:val="32"/>
                <w:szCs w:val="32"/>
              </w:rPr>
            </w:pPr>
          </w:p>
        </w:tc>
        <w:tc>
          <w:tcPr>
            <w:tcW w:w="1082" w:type="dxa"/>
            <w:vAlign w:val="center"/>
          </w:tcPr>
          <w:p>
            <w:pPr>
              <w:pStyle w:val="4"/>
              <w:ind w:firstLine="640"/>
              <w:jc w:val="center"/>
              <w:rPr>
                <w:sz w:val="32"/>
                <w:szCs w:val="32"/>
              </w:rPr>
            </w:pPr>
          </w:p>
        </w:tc>
        <w:tc>
          <w:tcPr>
            <w:tcW w:w="1206" w:type="dxa"/>
            <w:vAlign w:val="center"/>
          </w:tcPr>
          <w:p>
            <w:pPr>
              <w:pStyle w:val="4"/>
              <w:ind w:firstLine="320" w:firstLineChars="100"/>
              <w:jc w:val="center"/>
              <w:rPr>
                <w:sz w:val="32"/>
                <w:szCs w:val="32"/>
              </w:rPr>
            </w:pPr>
          </w:p>
        </w:tc>
        <w:tc>
          <w:tcPr>
            <w:tcW w:w="2645" w:type="dxa"/>
            <w:vAlign w:val="center"/>
          </w:tcPr>
          <w:p>
            <w:pPr>
              <w:pStyle w:val="4"/>
              <w:ind w:firstLine="640"/>
              <w:jc w:val="center"/>
              <w:rPr>
                <w:sz w:val="32"/>
                <w:szCs w:val="32"/>
              </w:rPr>
            </w:pPr>
          </w:p>
        </w:tc>
        <w:tc>
          <w:tcPr>
            <w:tcW w:w="2170" w:type="dxa"/>
            <w:vAlign w:val="center"/>
          </w:tcPr>
          <w:p>
            <w:pPr>
              <w:pStyle w:val="4"/>
              <w:ind w:firstLine="640"/>
              <w:jc w:val="center"/>
              <w:rPr>
                <w:sz w:val="32"/>
                <w:szCs w:val="32"/>
              </w:rPr>
            </w:pPr>
          </w:p>
        </w:tc>
        <w:tc>
          <w:tcPr>
            <w:tcW w:w="952" w:type="dxa"/>
            <w:vAlign w:val="center"/>
          </w:tcPr>
          <w:p>
            <w:pPr>
              <w:pStyle w:val="4"/>
              <w:ind w:firstLine="640"/>
              <w:jc w:val="cente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1041" w:type="dxa"/>
            <w:vAlign w:val="center"/>
          </w:tcPr>
          <w:p>
            <w:pPr>
              <w:pStyle w:val="4"/>
              <w:ind w:firstLine="320" w:firstLineChars="100"/>
              <w:jc w:val="center"/>
              <w:rPr>
                <w:sz w:val="32"/>
                <w:szCs w:val="32"/>
              </w:rPr>
            </w:pPr>
          </w:p>
        </w:tc>
        <w:tc>
          <w:tcPr>
            <w:tcW w:w="1082" w:type="dxa"/>
            <w:vAlign w:val="center"/>
          </w:tcPr>
          <w:p>
            <w:pPr>
              <w:pStyle w:val="4"/>
              <w:ind w:firstLine="640"/>
              <w:jc w:val="center"/>
              <w:rPr>
                <w:sz w:val="32"/>
                <w:szCs w:val="32"/>
              </w:rPr>
            </w:pPr>
          </w:p>
        </w:tc>
        <w:tc>
          <w:tcPr>
            <w:tcW w:w="1206" w:type="dxa"/>
            <w:vAlign w:val="center"/>
          </w:tcPr>
          <w:p>
            <w:pPr>
              <w:pStyle w:val="4"/>
              <w:ind w:firstLine="320" w:firstLineChars="100"/>
              <w:jc w:val="center"/>
              <w:rPr>
                <w:sz w:val="32"/>
                <w:szCs w:val="32"/>
              </w:rPr>
            </w:pPr>
          </w:p>
        </w:tc>
        <w:tc>
          <w:tcPr>
            <w:tcW w:w="2645" w:type="dxa"/>
            <w:vAlign w:val="center"/>
          </w:tcPr>
          <w:p>
            <w:pPr>
              <w:pStyle w:val="4"/>
              <w:ind w:firstLine="640"/>
              <w:jc w:val="center"/>
              <w:rPr>
                <w:sz w:val="32"/>
                <w:szCs w:val="32"/>
              </w:rPr>
            </w:pPr>
          </w:p>
        </w:tc>
        <w:tc>
          <w:tcPr>
            <w:tcW w:w="2170" w:type="dxa"/>
            <w:vAlign w:val="center"/>
          </w:tcPr>
          <w:p>
            <w:pPr>
              <w:pStyle w:val="4"/>
              <w:ind w:firstLine="640"/>
              <w:jc w:val="center"/>
              <w:rPr>
                <w:sz w:val="32"/>
                <w:szCs w:val="32"/>
              </w:rPr>
            </w:pPr>
          </w:p>
        </w:tc>
        <w:tc>
          <w:tcPr>
            <w:tcW w:w="952" w:type="dxa"/>
            <w:vAlign w:val="center"/>
          </w:tcPr>
          <w:p>
            <w:pPr>
              <w:pStyle w:val="4"/>
              <w:ind w:firstLine="640"/>
              <w:jc w:val="center"/>
              <w:rPr>
                <w:sz w:val="32"/>
                <w:szCs w:val="32"/>
              </w:rPr>
            </w:pPr>
          </w:p>
        </w:tc>
      </w:tr>
    </w:tbl>
    <w:p>
      <w:pPr>
        <w:pStyle w:val="4"/>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A876A0-D9FE-4F8D-A99D-2C5238B7C6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F8366FE-8704-40CD-848B-6534BD3CBE40}"/>
  </w:font>
  <w:font w:name="方正小标宋简体">
    <w:panose1 w:val="02000000000000000000"/>
    <w:charset w:val="86"/>
    <w:family w:val="auto"/>
    <w:pitch w:val="default"/>
    <w:sig w:usb0="00000001" w:usb1="08000000" w:usb2="00000000" w:usb3="00000000" w:csb0="00040000" w:csb1="00000000"/>
    <w:embedRegular r:id="rId3" w:fontKey="{5DA25C80-A8B3-49CE-B5E4-348026E81FD5}"/>
  </w:font>
  <w:font w:name="仿宋_GB2312">
    <w:altName w:val="仿宋"/>
    <w:panose1 w:val="00000000000000000000"/>
    <w:charset w:val="86"/>
    <w:family w:val="auto"/>
    <w:pitch w:val="default"/>
    <w:sig w:usb0="00000000" w:usb1="00000000" w:usb2="00000000" w:usb3="00000000" w:csb0="00040000" w:csb1="00000000"/>
    <w:embedRegular r:id="rId4" w:fontKey="{BD0909B6-F6AD-4BD4-9C9F-F425ADDA46BA}"/>
  </w:font>
  <w:font w:name="仿宋">
    <w:panose1 w:val="02010609060101010101"/>
    <w:charset w:val="86"/>
    <w:family w:val="auto"/>
    <w:pitch w:val="default"/>
    <w:sig w:usb0="800002BF" w:usb1="38CF7CFA" w:usb2="00000016" w:usb3="00000000" w:csb0="00040001" w:csb1="00000000"/>
    <w:embedRegular r:id="rId5" w:fontKey="{0A3BE312-0352-45D0-84B9-1E98B1666D48}"/>
  </w:font>
  <w:font w:name="微软雅黑">
    <w:panose1 w:val="020B0503020204020204"/>
    <w:charset w:val="86"/>
    <w:family w:val="auto"/>
    <w:pitch w:val="default"/>
    <w:sig w:usb0="80000287" w:usb1="2ACF3C50" w:usb2="00000016" w:usb3="00000000" w:csb0="0004001F" w:csb1="00000000"/>
    <w:embedRegular r:id="rId6" w:fontKey="{1E5C73B6-444E-4B00-BE24-8145602A5952}"/>
  </w:font>
  <w:font w:name="方正仿宋_GB2312">
    <w:panose1 w:val="02000000000000000000"/>
    <w:charset w:val="86"/>
    <w:family w:val="auto"/>
    <w:pitch w:val="default"/>
    <w:sig w:usb0="A00002BF" w:usb1="184F6CFA" w:usb2="00000012" w:usb3="00000000" w:csb0="00040001" w:csb1="00000000"/>
    <w:embedRegular r:id="rId7" w:fontKey="{6A21B8C2-EFEC-4B72-A321-E3A87411CB16}"/>
  </w:font>
  <w:font w:name="楷体">
    <w:panose1 w:val="02010609060101010101"/>
    <w:charset w:val="86"/>
    <w:family w:val="auto"/>
    <w:pitch w:val="default"/>
    <w:sig w:usb0="800002BF" w:usb1="38CF7CFA" w:usb2="00000016" w:usb3="00000000" w:csb0="00040001" w:csb1="00000000"/>
    <w:embedRegular r:id="rId8" w:fontKey="{7F4660B7-1B1D-4FDD-801A-9D6F4ACDECE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Y5NjkyMzc1NzU2NTRkZTk2MDIzMTRlOWE1ZjBkZmYifQ=="/>
  </w:docVars>
  <w:rsids>
    <w:rsidRoot w:val="0084289F"/>
    <w:rsid w:val="001103DF"/>
    <w:rsid w:val="001D44FB"/>
    <w:rsid w:val="003B0DCD"/>
    <w:rsid w:val="00413335"/>
    <w:rsid w:val="00413D6B"/>
    <w:rsid w:val="004E69E2"/>
    <w:rsid w:val="005013A1"/>
    <w:rsid w:val="00503CDC"/>
    <w:rsid w:val="005530A3"/>
    <w:rsid w:val="00563EE0"/>
    <w:rsid w:val="005C29B9"/>
    <w:rsid w:val="005D3B72"/>
    <w:rsid w:val="00626C3B"/>
    <w:rsid w:val="0063333D"/>
    <w:rsid w:val="0066130D"/>
    <w:rsid w:val="0067486B"/>
    <w:rsid w:val="00694B84"/>
    <w:rsid w:val="006A5E66"/>
    <w:rsid w:val="006A77F4"/>
    <w:rsid w:val="006E24E9"/>
    <w:rsid w:val="00711C49"/>
    <w:rsid w:val="0073312C"/>
    <w:rsid w:val="0078083B"/>
    <w:rsid w:val="007C3668"/>
    <w:rsid w:val="0084289F"/>
    <w:rsid w:val="00851943"/>
    <w:rsid w:val="00890963"/>
    <w:rsid w:val="008E43EC"/>
    <w:rsid w:val="00901D96"/>
    <w:rsid w:val="0098420F"/>
    <w:rsid w:val="00993ABF"/>
    <w:rsid w:val="009F2157"/>
    <w:rsid w:val="00B31E1A"/>
    <w:rsid w:val="00B34440"/>
    <w:rsid w:val="00B41276"/>
    <w:rsid w:val="00BB1A3F"/>
    <w:rsid w:val="00BF34B4"/>
    <w:rsid w:val="00BF431E"/>
    <w:rsid w:val="00C20F25"/>
    <w:rsid w:val="00D509F0"/>
    <w:rsid w:val="00D93F2C"/>
    <w:rsid w:val="00E51069"/>
    <w:rsid w:val="00EB572F"/>
    <w:rsid w:val="00F06C31"/>
    <w:rsid w:val="00F7204B"/>
    <w:rsid w:val="00F82362"/>
    <w:rsid w:val="00F948AA"/>
    <w:rsid w:val="01A34221"/>
    <w:rsid w:val="021E513C"/>
    <w:rsid w:val="04061637"/>
    <w:rsid w:val="06455201"/>
    <w:rsid w:val="06E6362D"/>
    <w:rsid w:val="08096499"/>
    <w:rsid w:val="08847645"/>
    <w:rsid w:val="094F56FE"/>
    <w:rsid w:val="096703C3"/>
    <w:rsid w:val="161B6AE3"/>
    <w:rsid w:val="16A828A7"/>
    <w:rsid w:val="1E2F6399"/>
    <w:rsid w:val="1F556232"/>
    <w:rsid w:val="207143FF"/>
    <w:rsid w:val="230538AE"/>
    <w:rsid w:val="25415F89"/>
    <w:rsid w:val="272600AB"/>
    <w:rsid w:val="273C1910"/>
    <w:rsid w:val="286230AB"/>
    <w:rsid w:val="2A1A4EED"/>
    <w:rsid w:val="2C826770"/>
    <w:rsid w:val="2DDD71DE"/>
    <w:rsid w:val="3051485C"/>
    <w:rsid w:val="30AD59EF"/>
    <w:rsid w:val="32D57EBA"/>
    <w:rsid w:val="3610312D"/>
    <w:rsid w:val="385C2418"/>
    <w:rsid w:val="3F5D2C61"/>
    <w:rsid w:val="414D7C85"/>
    <w:rsid w:val="43071DC5"/>
    <w:rsid w:val="4411232D"/>
    <w:rsid w:val="45840C83"/>
    <w:rsid w:val="5CB00FA4"/>
    <w:rsid w:val="5E39564B"/>
    <w:rsid w:val="6DCD4228"/>
    <w:rsid w:val="6F8316D5"/>
    <w:rsid w:val="6F841AE7"/>
    <w:rsid w:val="726444FF"/>
    <w:rsid w:val="75303AA8"/>
    <w:rsid w:val="7AF41DB5"/>
    <w:rsid w:val="7EDF0A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ind w:left="0" w:firstLine="420" w:firstLineChars="200"/>
    </w:pPr>
  </w:style>
  <w:style w:type="paragraph" w:styleId="3">
    <w:name w:val="Body Text Indent"/>
    <w:basedOn w:val="1"/>
    <w:qFormat/>
    <w:uiPriority w:val="0"/>
    <w:pPr>
      <w:spacing w:after="120"/>
      <w:ind w:left="420" w:leftChars="200"/>
    </w:pPr>
  </w:style>
  <w:style w:type="paragraph" w:styleId="4">
    <w:name w:val="Normal Indent"/>
    <w:basedOn w:val="1"/>
    <w:semiHidden/>
    <w:qFormat/>
    <w:uiPriority w:val="99"/>
    <w:pPr>
      <w:ind w:firstLine="420" w:firstLineChars="200"/>
    </w:pPr>
  </w:style>
  <w:style w:type="paragraph" w:styleId="5">
    <w:name w:val="Balloon Text"/>
    <w:basedOn w:val="1"/>
    <w:semiHidden/>
    <w:qFormat/>
    <w:uiPriority w:val="0"/>
    <w:rPr>
      <w:sz w:val="18"/>
      <w:szCs w:val="18"/>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Hyperlink"/>
    <w:basedOn w:val="10"/>
    <w:qFormat/>
    <w:uiPriority w:val="0"/>
    <w:rPr>
      <w:color w:val="3665C3"/>
      <w:u w:val="none"/>
    </w:rPr>
  </w:style>
  <w:style w:type="table" w:customStyle="1" w:styleId="13">
    <w:name w:val="Table Normal"/>
    <w:unhideWhenUsed/>
    <w:qFormat/>
    <w:uiPriority w:val="0"/>
    <w:tblPr>
      <w:tblCellMar>
        <w:top w:w="0" w:type="dxa"/>
        <w:left w:w="0" w:type="dxa"/>
        <w:bottom w:w="0" w:type="dxa"/>
        <w:right w:w="0" w:type="dxa"/>
      </w:tblCellMar>
    </w:tblPr>
  </w:style>
  <w:style w:type="character" w:customStyle="1" w:styleId="14">
    <w:name w:val="页眉 Char"/>
    <w:basedOn w:val="10"/>
    <w:link w:val="7"/>
    <w:qFormat/>
    <w:uiPriority w:val="0"/>
    <w:rPr>
      <w:kern w:val="2"/>
      <w:sz w:val="18"/>
      <w:szCs w:val="18"/>
    </w:rPr>
  </w:style>
  <w:style w:type="character" w:customStyle="1" w:styleId="15">
    <w:name w:val="页脚 Char"/>
    <w:basedOn w:val="10"/>
    <w:link w:val="6"/>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1653</Words>
  <Characters>1680</Characters>
  <Lines>12</Lines>
  <Paragraphs>3</Paragraphs>
  <TotalTime>10</TotalTime>
  <ScaleCrop>false</ScaleCrop>
  <LinksUpToDate>false</LinksUpToDate>
  <CharactersWithSpaces>1869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2022-08-22T08:11:00Z</dcterms:created>
  <dc:creator>AutoBVT</dc:creator>
  <cp:lastModifiedBy>徐铁</cp:lastModifiedBy>
  <cp:lastPrinted>2022-08-31T04:33:00Z</cp:lastPrinted>
  <dcterms:modified xsi:type="dcterms:W3CDTF">2022-09-02T07:30:56Z</dcterms:modified>
  <dc:title>桃政发﹝2016﹞ 号</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B9EA97B60078442391F5520BB971CAA1</vt:lpwstr>
  </property>
</Properties>
</file>